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20" w:rsidRDefault="000425B4">
      <w:pPr>
        <w:jc w:val="center"/>
        <w:rPr>
          <w:sz w:val="2"/>
          <w:szCs w:val="2"/>
        </w:rPr>
      </w:pPr>
      <w:r>
        <w:rPr>
          <w:noProof/>
          <w:lang w:val="en-GB" w:eastAsia="en-GB" w:bidi="ar-SA"/>
        </w:rPr>
        <w:drawing>
          <wp:inline distT="0" distB="0" distL="0" distR="0">
            <wp:extent cx="2091055" cy="6769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091055" cy="676910"/>
                    </a:xfrm>
                    <a:prstGeom prst="rect">
                      <a:avLst/>
                    </a:prstGeom>
                  </pic:spPr>
                </pic:pic>
              </a:graphicData>
            </a:graphic>
          </wp:inline>
        </w:drawing>
      </w:r>
    </w:p>
    <w:p w:rsidR="00B71A20" w:rsidRDefault="00B71A20">
      <w:pPr>
        <w:spacing w:after="119" w:line="1" w:lineRule="exact"/>
      </w:pPr>
    </w:p>
    <w:p w:rsidR="00B71A20" w:rsidRDefault="000425B4">
      <w:pPr>
        <w:pStyle w:val="Teksttreci20"/>
        <w:spacing w:after="60"/>
      </w:pPr>
      <w:r w:rsidRPr="000625F6">
        <w:rPr>
          <w:lang w:val="en-GB"/>
        </w:rPr>
        <w:t>EUROPEAN COURT OF HUMAN RIGHTS</w:t>
      </w:r>
    </w:p>
    <w:p w:rsidR="00B71A20" w:rsidRDefault="000425B4">
      <w:pPr>
        <w:pStyle w:val="Teksttreci20"/>
        <w:spacing w:after="3120"/>
      </w:pPr>
      <w:r w:rsidRPr="000625F6">
        <w:rPr>
          <w:lang w:val="en-GB"/>
        </w:rPr>
        <w:t>COUR EUROP</w:t>
      </w:r>
      <w:r w:rsidR="00A06128">
        <w:rPr>
          <w:lang w:val="en-GB"/>
        </w:rPr>
        <w:t>É</w:t>
      </w:r>
      <w:r w:rsidRPr="000625F6">
        <w:rPr>
          <w:lang w:val="en-GB"/>
        </w:rPr>
        <w:t>ENNE DES DROITS DE L'HOMME</w:t>
      </w:r>
    </w:p>
    <w:p w:rsidR="00B71A20" w:rsidRPr="008350FE" w:rsidRDefault="000425B4">
      <w:pPr>
        <w:pStyle w:val="Teksttreci30"/>
        <w:rPr>
          <w:lang w:val="pl-PL"/>
        </w:rPr>
      </w:pPr>
      <w:r w:rsidRPr="008350FE">
        <w:rPr>
          <w:lang w:val="pl"/>
        </w:rPr>
        <w:t>Praktyczny przewodnik</w:t>
      </w:r>
      <w:r w:rsidRPr="008350FE">
        <w:rPr>
          <w:lang w:val="pl"/>
        </w:rPr>
        <w:br/>
        <w:t>w sprawie kryteriów dopuszczalności</w:t>
      </w:r>
    </w:p>
    <w:p w:rsidR="00B71A20" w:rsidRPr="004E79D6" w:rsidRDefault="000425B4">
      <w:pPr>
        <w:pStyle w:val="Teksttreci0"/>
        <w:spacing w:after="5900"/>
        <w:jc w:val="center"/>
        <w:rPr>
          <w:sz w:val="24"/>
          <w:szCs w:val="24"/>
          <w:lang w:val="pl-PL"/>
        </w:rPr>
      </w:pPr>
      <w:r w:rsidRPr="008350FE">
        <w:rPr>
          <w:color w:val="2F2F2F"/>
          <w:sz w:val="24"/>
          <w:szCs w:val="24"/>
          <w:lang w:val="pl"/>
        </w:rPr>
        <w:t>Zaktualizowany 31 sierpnia</w:t>
      </w:r>
      <w:r>
        <w:rPr>
          <w:color w:val="2F2F2F"/>
          <w:sz w:val="24"/>
          <w:szCs w:val="24"/>
          <w:lang w:val="pl"/>
        </w:rPr>
        <w:t xml:space="preserve"> 2022 r.</w:t>
      </w:r>
    </w:p>
    <w:p w:rsidR="00B71A20" w:rsidRPr="000625F6" w:rsidRDefault="000425B4">
      <w:pPr>
        <w:pStyle w:val="Teksttreci0"/>
        <w:spacing w:after="220"/>
        <w:jc w:val="center"/>
        <w:rPr>
          <w:lang w:val="pl-PL"/>
        </w:rPr>
      </w:pPr>
      <w:r>
        <w:rPr>
          <w:lang w:val="pl"/>
        </w:rPr>
        <w:t>Opracowany przez Kancelarię. Nie jest wiążący dla Trybunału.</w:t>
      </w:r>
    </w:p>
    <w:p w:rsidR="00B71A20" w:rsidRDefault="000425B4">
      <w:pPr>
        <w:pStyle w:val="Podpisobrazu0"/>
      </w:pPr>
      <w:r>
        <w:rPr>
          <w:lang w:val="pl"/>
        </w:rPr>
        <w:t>COUNCIL OF EUROPE</w:t>
      </w:r>
    </w:p>
    <w:p w:rsidR="00B71A20" w:rsidRDefault="000425B4">
      <w:pPr>
        <w:jc w:val="center"/>
        <w:rPr>
          <w:sz w:val="2"/>
          <w:szCs w:val="2"/>
        </w:rPr>
      </w:pPr>
      <w:r>
        <w:rPr>
          <w:noProof/>
          <w:lang w:val="en-GB" w:eastAsia="en-GB" w:bidi="ar-SA"/>
        </w:rPr>
        <w:drawing>
          <wp:inline distT="0" distB="0" distL="0" distR="0">
            <wp:extent cx="749935" cy="43878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749935" cy="438785"/>
                    </a:xfrm>
                    <a:prstGeom prst="rect">
                      <a:avLst/>
                    </a:prstGeom>
                  </pic:spPr>
                </pic:pic>
              </a:graphicData>
            </a:graphic>
          </wp:inline>
        </w:drawing>
      </w:r>
    </w:p>
    <w:p w:rsidR="00B71A20" w:rsidRPr="000625F6" w:rsidRDefault="000425B4">
      <w:pPr>
        <w:pStyle w:val="Podpisobrazu0"/>
        <w:rPr>
          <w:lang w:val="pl-PL"/>
        </w:rPr>
        <w:sectPr w:rsidR="00B71A20" w:rsidRPr="000625F6">
          <w:pgSz w:w="11900" w:h="16840"/>
          <w:pgMar w:top="1123" w:right="1410" w:bottom="352" w:left="1408" w:header="695" w:footer="3" w:gutter="0"/>
          <w:pgNumType w:start="1"/>
          <w:cols w:space="720"/>
          <w:noEndnote/>
          <w:docGrid w:linePitch="360"/>
        </w:sectPr>
      </w:pPr>
      <w:r>
        <w:rPr>
          <w:lang w:val="pl"/>
        </w:rPr>
        <w:t>CONSEIL DE L' EUROPE</w:t>
      </w:r>
    </w:p>
    <w:p w:rsidR="00B71A20" w:rsidRPr="000625F6" w:rsidRDefault="000425B4" w:rsidP="00734870">
      <w:pPr>
        <w:pStyle w:val="Teksttreci0"/>
        <w:pBdr>
          <w:top w:val="single" w:sz="4" w:space="8" w:color="auto"/>
          <w:left w:val="single" w:sz="4" w:space="0" w:color="auto"/>
          <w:bottom w:val="single" w:sz="4" w:space="10" w:color="auto"/>
          <w:right w:val="single" w:sz="4" w:space="0" w:color="auto"/>
        </w:pBdr>
        <w:spacing w:before="5180"/>
        <w:ind w:left="261"/>
        <w:jc w:val="both"/>
        <w:rPr>
          <w:lang w:val="pl-PL"/>
        </w:rPr>
      </w:pPr>
      <w:r>
        <w:rPr>
          <w:lang w:val="pl"/>
        </w:rPr>
        <w:lastRenderedPageBreak/>
        <w:t>Wydawców i organizacje zainteresowane powieleniem Przewodnika lub wydaniem jego tłumaczenia w całości lub w części w formie drukowanej bądź elektronicznej zapraszamy do kontaktu pod adresem</w:t>
      </w:r>
      <w:hyperlink r:id="rId10" w:history="1">
        <w:r>
          <w:rPr>
            <w:lang w:val="pl"/>
          </w:rPr>
          <w:t xml:space="preserve"> </w:t>
        </w:r>
        <w:r>
          <w:rPr>
            <w:color w:val="0072BC"/>
            <w:lang w:val="pl"/>
          </w:rPr>
          <w:t>publishing@echr.coe.int</w:t>
        </w:r>
      </w:hyperlink>
      <w:r>
        <w:rPr>
          <w:color w:val="0072BC"/>
          <w:lang w:val="pl"/>
        </w:rPr>
        <w:t xml:space="preserve"> </w:t>
      </w:r>
      <w:r>
        <w:rPr>
          <w:lang w:val="pl"/>
        </w:rPr>
        <w:t>w celu uzyskania informacji o procedurze udzielenia zgody.</w:t>
      </w:r>
    </w:p>
    <w:p w:rsidR="00B71A20" w:rsidRPr="000625F6" w:rsidRDefault="000425B4" w:rsidP="00734870">
      <w:pPr>
        <w:pStyle w:val="Teksttreci0"/>
        <w:pBdr>
          <w:top w:val="single" w:sz="4" w:space="8" w:color="auto"/>
          <w:left w:val="single" w:sz="4" w:space="0" w:color="auto"/>
          <w:bottom w:val="single" w:sz="4" w:space="10" w:color="auto"/>
          <w:right w:val="single" w:sz="4" w:space="0" w:color="auto"/>
        </w:pBdr>
        <w:spacing w:after="4000"/>
        <w:ind w:left="261"/>
        <w:jc w:val="both"/>
        <w:rPr>
          <w:lang w:val="pl-PL"/>
        </w:rPr>
      </w:pPr>
      <w:r>
        <w:rPr>
          <w:lang w:val="pl"/>
        </w:rPr>
        <w:t>Aby dowiedzieć się, które przewodniki po orzecznictwie są obecnie tłumaczone, proszę wejść na stronę</w:t>
      </w:r>
      <w:hyperlink r:id="rId11" w:history="1">
        <w:r>
          <w:rPr>
            <w:lang w:val="pl"/>
          </w:rPr>
          <w:t xml:space="preserve"> </w:t>
        </w:r>
        <w:r>
          <w:rPr>
            <w:color w:val="0072BC"/>
            <w:lang w:val="pl"/>
          </w:rPr>
          <w:t>Pending translations (Tłumaczenia w realizacji)</w:t>
        </w:r>
        <w:r>
          <w:rPr>
            <w:lang w:val="pl"/>
          </w:rPr>
          <w:t>.</w:t>
        </w:r>
      </w:hyperlink>
    </w:p>
    <w:p w:rsidR="00B71A20" w:rsidRPr="000625F6" w:rsidRDefault="000425B4">
      <w:pPr>
        <w:pStyle w:val="Teksttreci0"/>
        <w:jc w:val="both"/>
        <w:rPr>
          <w:sz w:val="20"/>
          <w:szCs w:val="20"/>
          <w:lang w:val="pl-PL"/>
        </w:rPr>
      </w:pPr>
      <w:r>
        <w:rPr>
          <w:color w:val="2F2F2F"/>
          <w:sz w:val="20"/>
          <w:szCs w:val="20"/>
          <w:lang w:val="pl"/>
        </w:rPr>
        <w:t>Przewodnik sporządzono w języku angielskim. Jest systematycznie aktualizowany, ostatnio 31 sierpnia 2022 r. Może podlegać korekcie wydawniczej.</w:t>
      </w:r>
    </w:p>
    <w:p w:rsidR="00B71A20" w:rsidRDefault="000425B4">
      <w:pPr>
        <w:pStyle w:val="Teksttreci0"/>
        <w:jc w:val="both"/>
        <w:rPr>
          <w:color w:val="2F2F2F"/>
          <w:sz w:val="20"/>
          <w:szCs w:val="20"/>
          <w:lang w:val="pl"/>
        </w:rPr>
      </w:pPr>
      <w:r>
        <w:rPr>
          <w:color w:val="0072BC"/>
          <w:sz w:val="20"/>
          <w:szCs w:val="20"/>
          <w:lang w:val="pl"/>
        </w:rPr>
        <w:t xml:space="preserve">Przewodnik w sprawie kryteriów dopuszczalności </w:t>
      </w:r>
      <w:r>
        <w:rPr>
          <w:color w:val="2F2F2F"/>
          <w:sz w:val="20"/>
          <w:szCs w:val="20"/>
          <w:lang w:val="pl"/>
        </w:rPr>
        <w:t xml:space="preserve">i </w:t>
      </w:r>
      <w:r>
        <w:rPr>
          <w:color w:val="0072BC"/>
          <w:sz w:val="20"/>
          <w:szCs w:val="20"/>
          <w:lang w:val="pl"/>
        </w:rPr>
        <w:t xml:space="preserve">przewodniki po orzecznictwie </w:t>
      </w:r>
      <w:r>
        <w:rPr>
          <w:color w:val="2F2F2F"/>
          <w:sz w:val="20"/>
          <w:szCs w:val="20"/>
          <w:lang w:val="pl"/>
        </w:rPr>
        <w:t>można pobrać ze strony</w:t>
      </w:r>
      <w:hyperlink r:id="rId12" w:history="1">
        <w:r>
          <w:rPr>
            <w:color w:val="2F2F2F"/>
            <w:sz w:val="20"/>
            <w:szCs w:val="20"/>
            <w:lang w:val="pl"/>
          </w:rPr>
          <w:t xml:space="preserve"> </w:t>
        </w:r>
        <w:r>
          <w:rPr>
            <w:color w:val="0072BC"/>
            <w:sz w:val="20"/>
            <w:szCs w:val="20"/>
            <w:lang w:val="pl"/>
          </w:rPr>
          <w:t xml:space="preserve">www.echr.coe.int </w:t>
        </w:r>
      </w:hyperlink>
      <w:r>
        <w:rPr>
          <w:color w:val="2F2F2F"/>
          <w:sz w:val="20"/>
          <w:szCs w:val="20"/>
          <w:lang w:val="pl"/>
        </w:rPr>
        <w:t xml:space="preserve">(Case-law - Case-law analysis - Admissibility guide / Orzecznictwo - Informacje o orzecznictwie - Przewodnik w sprawie kryteriów dopuszczalności). Informacje o aktualizacjach publikacji są zamieszczane na koncie Trybunału na Twitterze pod adresem </w:t>
      </w:r>
      <w:hyperlink r:id="rId13" w:history="1">
        <w:r>
          <w:rPr>
            <w:i/>
            <w:iCs/>
            <w:color w:val="0072BC"/>
            <w:sz w:val="20"/>
            <w:szCs w:val="20"/>
            <w:lang w:val="pl"/>
          </w:rPr>
          <w:t>https://twitter.com/ECHR_CEDH</w:t>
        </w:r>
      </w:hyperlink>
      <w:r>
        <w:rPr>
          <w:color w:val="2F2F2F"/>
          <w:sz w:val="20"/>
          <w:szCs w:val="20"/>
          <w:lang w:val="pl"/>
        </w:rPr>
        <w:t>.</w:t>
      </w:r>
    </w:p>
    <w:p w:rsidR="006F0427" w:rsidRPr="000625F6" w:rsidRDefault="006F0427">
      <w:pPr>
        <w:pStyle w:val="Teksttreci0"/>
        <w:jc w:val="both"/>
        <w:rPr>
          <w:color w:val="2F2F2F"/>
          <w:sz w:val="20"/>
          <w:szCs w:val="20"/>
          <w:lang w:val="pl"/>
        </w:rPr>
      </w:pPr>
      <w:r w:rsidRPr="006F0427">
        <w:rPr>
          <w:color w:val="2F2F2F"/>
          <w:sz w:val="20"/>
          <w:szCs w:val="20"/>
          <w:lang w:val="pl"/>
        </w:rPr>
        <w:t>Niniejsze tłumaczenie opublikowano za porozumieniem z Radą Europy i Europejskim Trybunałem Praw Człowieka oraz na wyłączną odpowiedzialność Ministerstwa Spraw Zagranicznych Rzeczypospolitej Polskiej.</w:t>
      </w:r>
    </w:p>
    <w:p w:rsidR="00B71A20" w:rsidRPr="00C31F37" w:rsidRDefault="000425B4">
      <w:pPr>
        <w:pStyle w:val="Teksttreci0"/>
        <w:jc w:val="both"/>
        <w:rPr>
          <w:sz w:val="20"/>
          <w:szCs w:val="20"/>
          <w:lang w:val="pl-PL"/>
        </w:rPr>
      </w:pPr>
      <w:r w:rsidRPr="00C31F37">
        <w:rPr>
          <w:color w:val="2F2F2F"/>
          <w:sz w:val="20"/>
          <w:szCs w:val="20"/>
          <w:lang w:val="pl-PL"/>
        </w:rPr>
        <w:t xml:space="preserve">© </w:t>
      </w:r>
      <w:r w:rsidR="00C31F37" w:rsidRPr="00C31F37">
        <w:rPr>
          <w:color w:val="2F2F2F"/>
          <w:sz w:val="20"/>
          <w:szCs w:val="20"/>
          <w:lang w:val="pl-PL"/>
        </w:rPr>
        <w:t>Rada Europy</w:t>
      </w:r>
      <w:r w:rsidRPr="00C31F37">
        <w:rPr>
          <w:color w:val="2F2F2F"/>
          <w:sz w:val="20"/>
          <w:szCs w:val="20"/>
          <w:lang w:val="pl-PL"/>
        </w:rPr>
        <w:t>/</w:t>
      </w:r>
      <w:r w:rsidR="00C31F37" w:rsidRPr="00C31F37">
        <w:rPr>
          <w:color w:val="2F2F2F"/>
          <w:sz w:val="20"/>
          <w:szCs w:val="20"/>
          <w:lang w:val="pl-PL"/>
        </w:rPr>
        <w:t>Europejski Trybunał Praw Człowieka</w:t>
      </w:r>
      <w:r w:rsidRPr="00C31F37">
        <w:rPr>
          <w:color w:val="2F2F2F"/>
          <w:sz w:val="20"/>
          <w:szCs w:val="20"/>
          <w:lang w:val="pl-PL"/>
        </w:rPr>
        <w:t>, 2022</w:t>
      </w:r>
      <w:bookmarkStart w:id="0" w:name="_GoBack"/>
      <w:bookmarkEnd w:id="0"/>
    </w:p>
    <w:p w:rsidR="00B71A20" w:rsidRDefault="000425B4">
      <w:pPr>
        <w:pStyle w:val="Teksttreci30"/>
        <w:spacing w:after="580"/>
      </w:pPr>
      <w:r>
        <w:rPr>
          <w:b/>
          <w:bCs/>
          <w:lang w:val="pl"/>
        </w:rPr>
        <w:lastRenderedPageBreak/>
        <w:t>Spis treści</w:t>
      </w:r>
    </w:p>
    <w:sdt>
      <w:sdtPr>
        <w:rPr>
          <w:lang w:val="en-GB"/>
        </w:rPr>
        <w:id w:val="-1447694020"/>
        <w:docPartObj>
          <w:docPartGallery w:val="Table of Contents"/>
          <w:docPartUnique/>
        </w:docPartObj>
      </w:sdtPr>
      <w:sdtEndPr>
        <w:rPr>
          <w:bCs w:val="0"/>
        </w:rPr>
      </w:sdtEndPr>
      <w:sdtContent>
        <w:p w:rsidR="00356BC9" w:rsidRDefault="00CC2C19">
          <w:pPr>
            <w:pStyle w:val="Spistreci1"/>
            <w:rPr>
              <w:rFonts w:eastAsiaTheme="minorEastAsia" w:cstheme="minorBidi"/>
              <w:b w:val="0"/>
              <w:bCs w:val="0"/>
              <w:color w:val="auto"/>
              <w:sz w:val="22"/>
              <w:szCs w:val="22"/>
              <w:lang w:val="en-GB" w:eastAsia="en-GB" w:bidi="ar-SA"/>
            </w:rPr>
          </w:pPr>
          <w:r>
            <w:rPr>
              <w:color w:val="0D0D0D" w:themeColor="text1" w:themeTint="F2"/>
              <w:lang w:val="en-GB"/>
            </w:rPr>
            <w:fldChar w:fldCharType="begin"/>
          </w:r>
          <w:r>
            <w:rPr>
              <w:color w:val="0D0D0D" w:themeColor="text1" w:themeTint="F2"/>
              <w:lang w:val="en-GB"/>
            </w:rPr>
            <w:instrText xml:space="preserve"> TOC \o "1-5" \h \z \u </w:instrText>
          </w:r>
          <w:r>
            <w:rPr>
              <w:color w:val="0D0D0D" w:themeColor="text1" w:themeTint="F2"/>
              <w:lang w:val="en-GB"/>
            </w:rPr>
            <w:fldChar w:fldCharType="separate"/>
          </w:r>
          <w:hyperlink w:anchor="_Toc126660553" w:history="1">
            <w:r w:rsidR="00356BC9" w:rsidRPr="00434959">
              <w:rPr>
                <w:rStyle w:val="Hipercze"/>
              </w:rPr>
              <w:t>Do czytelników</w:t>
            </w:r>
            <w:r w:rsidR="00356BC9">
              <w:rPr>
                <w:webHidden/>
              </w:rPr>
              <w:tab/>
            </w:r>
            <w:r w:rsidR="00356BC9">
              <w:rPr>
                <w:webHidden/>
              </w:rPr>
              <w:fldChar w:fldCharType="begin"/>
            </w:r>
            <w:r w:rsidR="00356BC9">
              <w:rPr>
                <w:webHidden/>
              </w:rPr>
              <w:instrText xml:space="preserve"> PAGEREF _Toc126660553 \h </w:instrText>
            </w:r>
            <w:r w:rsidR="00356BC9">
              <w:rPr>
                <w:webHidden/>
              </w:rPr>
            </w:r>
            <w:r w:rsidR="00356BC9">
              <w:rPr>
                <w:webHidden/>
              </w:rPr>
              <w:fldChar w:fldCharType="separate"/>
            </w:r>
            <w:r w:rsidR="00220724">
              <w:rPr>
                <w:webHidden/>
              </w:rPr>
              <w:t>6</w:t>
            </w:r>
            <w:r w:rsidR="00356BC9">
              <w:rPr>
                <w:webHidden/>
              </w:rPr>
              <w:fldChar w:fldCharType="end"/>
            </w:r>
          </w:hyperlink>
        </w:p>
        <w:p w:rsidR="00356BC9" w:rsidRDefault="00356BC9">
          <w:pPr>
            <w:pStyle w:val="Spistreci1"/>
            <w:rPr>
              <w:rFonts w:eastAsiaTheme="minorEastAsia" w:cstheme="minorBidi"/>
              <w:b w:val="0"/>
              <w:bCs w:val="0"/>
              <w:color w:val="auto"/>
              <w:sz w:val="22"/>
              <w:szCs w:val="22"/>
              <w:lang w:val="en-GB" w:eastAsia="en-GB" w:bidi="ar-SA"/>
            </w:rPr>
          </w:pPr>
          <w:hyperlink w:anchor="_Toc126660554" w:history="1">
            <w:r w:rsidRPr="00434959">
              <w:rPr>
                <w:rStyle w:val="Hipercze"/>
              </w:rPr>
              <w:t>Wstęp</w:t>
            </w:r>
            <w:r>
              <w:rPr>
                <w:webHidden/>
              </w:rPr>
              <w:tab/>
            </w:r>
            <w:r>
              <w:rPr>
                <w:webHidden/>
              </w:rPr>
              <w:fldChar w:fldCharType="begin"/>
            </w:r>
            <w:r>
              <w:rPr>
                <w:webHidden/>
              </w:rPr>
              <w:instrText xml:space="preserve"> PAGEREF _Toc126660554 \h </w:instrText>
            </w:r>
            <w:r>
              <w:rPr>
                <w:webHidden/>
              </w:rPr>
            </w:r>
            <w:r>
              <w:rPr>
                <w:webHidden/>
              </w:rPr>
              <w:fldChar w:fldCharType="separate"/>
            </w:r>
            <w:r w:rsidR="00220724">
              <w:rPr>
                <w:webHidden/>
              </w:rPr>
              <w:t>7</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555" w:history="1">
            <w:r w:rsidRPr="00434959">
              <w:rPr>
                <w:rStyle w:val="Hipercze"/>
                <w:noProof/>
                <w:lang w:val="pl"/>
              </w:rPr>
              <w:t>A. Skarga indywidualna</w:t>
            </w:r>
            <w:r>
              <w:rPr>
                <w:noProof/>
                <w:webHidden/>
              </w:rPr>
              <w:tab/>
            </w:r>
            <w:r>
              <w:rPr>
                <w:noProof/>
                <w:webHidden/>
              </w:rPr>
              <w:fldChar w:fldCharType="begin"/>
            </w:r>
            <w:r>
              <w:rPr>
                <w:noProof/>
                <w:webHidden/>
              </w:rPr>
              <w:instrText xml:space="preserve"> PAGEREF _Toc126660555 \h </w:instrText>
            </w:r>
            <w:r>
              <w:rPr>
                <w:noProof/>
                <w:webHidden/>
              </w:rPr>
            </w:r>
            <w:r>
              <w:rPr>
                <w:noProof/>
                <w:webHidden/>
              </w:rPr>
              <w:fldChar w:fldCharType="separate"/>
            </w:r>
            <w:r w:rsidR="00220724">
              <w:rPr>
                <w:noProof/>
                <w:webHidden/>
              </w:rPr>
              <w:t>9</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56" w:history="1">
            <w:r w:rsidRPr="00434959">
              <w:rPr>
                <w:rStyle w:val="Hipercze"/>
                <w:lang w:val="pl"/>
              </w:rPr>
              <w:t>1.  Cel przepisu</w:t>
            </w:r>
            <w:r>
              <w:rPr>
                <w:webHidden/>
              </w:rPr>
              <w:tab/>
            </w:r>
            <w:r>
              <w:rPr>
                <w:webHidden/>
              </w:rPr>
              <w:fldChar w:fldCharType="begin"/>
            </w:r>
            <w:r>
              <w:rPr>
                <w:webHidden/>
              </w:rPr>
              <w:instrText xml:space="preserve"> PAGEREF _Toc126660556 \h </w:instrText>
            </w:r>
            <w:r>
              <w:rPr>
                <w:webHidden/>
              </w:rPr>
            </w:r>
            <w:r>
              <w:rPr>
                <w:webHidden/>
              </w:rPr>
              <w:fldChar w:fldCharType="separate"/>
            </w:r>
            <w:r w:rsidR="00220724">
              <w:rPr>
                <w:webHidden/>
              </w:rPr>
              <w:t>9</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57" w:history="1">
            <w:r w:rsidRPr="00434959">
              <w:rPr>
                <w:rStyle w:val="Hipercze"/>
                <w:lang w:val="pl"/>
              </w:rPr>
              <w:t>2.  Kategorie skarżących</w:t>
            </w:r>
            <w:r>
              <w:rPr>
                <w:webHidden/>
              </w:rPr>
              <w:tab/>
            </w:r>
            <w:r>
              <w:rPr>
                <w:webHidden/>
              </w:rPr>
              <w:fldChar w:fldCharType="begin"/>
            </w:r>
            <w:r>
              <w:rPr>
                <w:webHidden/>
              </w:rPr>
              <w:instrText xml:space="preserve"> PAGEREF _Toc126660557 \h </w:instrText>
            </w:r>
            <w:r>
              <w:rPr>
                <w:webHidden/>
              </w:rPr>
            </w:r>
            <w:r>
              <w:rPr>
                <w:webHidden/>
              </w:rPr>
              <w:fldChar w:fldCharType="separate"/>
            </w:r>
            <w:r w:rsidR="00220724">
              <w:rPr>
                <w:webHidden/>
              </w:rPr>
              <w:t>9</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58" w:history="1">
            <w:r w:rsidRPr="00434959">
              <w:rPr>
                <w:rStyle w:val="Hipercze"/>
                <w:noProof/>
                <w:lang w:val="pl-PL"/>
              </w:rPr>
              <w:t>a.  Osoby fizyczne</w:t>
            </w:r>
            <w:r>
              <w:rPr>
                <w:noProof/>
                <w:webHidden/>
              </w:rPr>
              <w:tab/>
            </w:r>
            <w:r>
              <w:rPr>
                <w:noProof/>
                <w:webHidden/>
              </w:rPr>
              <w:fldChar w:fldCharType="begin"/>
            </w:r>
            <w:r>
              <w:rPr>
                <w:noProof/>
                <w:webHidden/>
              </w:rPr>
              <w:instrText xml:space="preserve"> PAGEREF _Toc126660558 \h </w:instrText>
            </w:r>
            <w:r>
              <w:rPr>
                <w:noProof/>
                <w:webHidden/>
              </w:rPr>
            </w:r>
            <w:r>
              <w:rPr>
                <w:noProof/>
                <w:webHidden/>
              </w:rPr>
              <w:fldChar w:fldCharType="separate"/>
            </w:r>
            <w:r w:rsidR="00220724">
              <w:rPr>
                <w:noProof/>
                <w:webHidden/>
              </w:rPr>
              <w:t>9</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59" w:history="1">
            <w:r w:rsidRPr="00434959">
              <w:rPr>
                <w:rStyle w:val="Hipercze"/>
                <w:noProof/>
              </w:rPr>
              <w:t>b.  Osoby prawne</w:t>
            </w:r>
            <w:r>
              <w:rPr>
                <w:noProof/>
                <w:webHidden/>
              </w:rPr>
              <w:tab/>
            </w:r>
            <w:r>
              <w:rPr>
                <w:noProof/>
                <w:webHidden/>
              </w:rPr>
              <w:fldChar w:fldCharType="begin"/>
            </w:r>
            <w:r>
              <w:rPr>
                <w:noProof/>
                <w:webHidden/>
              </w:rPr>
              <w:instrText xml:space="preserve"> PAGEREF _Toc126660559 \h </w:instrText>
            </w:r>
            <w:r>
              <w:rPr>
                <w:noProof/>
                <w:webHidden/>
              </w:rPr>
            </w:r>
            <w:r>
              <w:rPr>
                <w:noProof/>
                <w:webHidden/>
              </w:rPr>
              <w:fldChar w:fldCharType="separate"/>
            </w:r>
            <w:r w:rsidR="00220724">
              <w:rPr>
                <w:noProof/>
                <w:webHidden/>
              </w:rPr>
              <w:t>9</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0" w:history="1">
            <w:r w:rsidRPr="00434959">
              <w:rPr>
                <w:rStyle w:val="Hipercze"/>
                <w:noProof/>
              </w:rPr>
              <w:t>c.  Grupa osób</w:t>
            </w:r>
            <w:r>
              <w:rPr>
                <w:noProof/>
                <w:webHidden/>
              </w:rPr>
              <w:tab/>
            </w:r>
            <w:r>
              <w:rPr>
                <w:noProof/>
                <w:webHidden/>
              </w:rPr>
              <w:fldChar w:fldCharType="begin"/>
            </w:r>
            <w:r>
              <w:rPr>
                <w:noProof/>
                <w:webHidden/>
              </w:rPr>
              <w:instrText xml:space="preserve"> PAGEREF _Toc126660560 \h </w:instrText>
            </w:r>
            <w:r>
              <w:rPr>
                <w:noProof/>
                <w:webHidden/>
              </w:rPr>
            </w:r>
            <w:r>
              <w:rPr>
                <w:noProof/>
                <w:webHidden/>
              </w:rPr>
              <w:fldChar w:fldCharType="separate"/>
            </w:r>
            <w:r w:rsidR="00220724">
              <w:rPr>
                <w:noProof/>
                <w:webHidden/>
              </w:rPr>
              <w:t>10</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61" w:history="1">
            <w:r w:rsidRPr="00434959">
              <w:rPr>
                <w:rStyle w:val="Hipercze"/>
                <w:lang w:val="pl"/>
              </w:rPr>
              <w:t>3.  Status ofiary</w:t>
            </w:r>
            <w:r>
              <w:rPr>
                <w:webHidden/>
              </w:rPr>
              <w:tab/>
            </w:r>
            <w:r>
              <w:rPr>
                <w:webHidden/>
              </w:rPr>
              <w:fldChar w:fldCharType="begin"/>
            </w:r>
            <w:r>
              <w:rPr>
                <w:webHidden/>
              </w:rPr>
              <w:instrText xml:space="preserve"> PAGEREF _Toc126660561 \h </w:instrText>
            </w:r>
            <w:r>
              <w:rPr>
                <w:webHidden/>
              </w:rPr>
            </w:r>
            <w:r>
              <w:rPr>
                <w:webHidden/>
              </w:rPr>
              <w:fldChar w:fldCharType="separate"/>
            </w:r>
            <w:r w:rsidR="00220724">
              <w:rPr>
                <w:webHidden/>
              </w:rPr>
              <w:t>11</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2" w:history="1">
            <w:r w:rsidRPr="00434959">
              <w:rPr>
                <w:rStyle w:val="Hipercze"/>
                <w:noProof/>
                <w:lang w:val="pl"/>
              </w:rPr>
              <w:t>a.  Pojęcie „ofiary”</w:t>
            </w:r>
            <w:r>
              <w:rPr>
                <w:noProof/>
                <w:webHidden/>
              </w:rPr>
              <w:tab/>
            </w:r>
            <w:r>
              <w:rPr>
                <w:noProof/>
                <w:webHidden/>
              </w:rPr>
              <w:fldChar w:fldCharType="begin"/>
            </w:r>
            <w:r>
              <w:rPr>
                <w:noProof/>
                <w:webHidden/>
              </w:rPr>
              <w:instrText xml:space="preserve"> PAGEREF _Toc126660562 \h </w:instrText>
            </w:r>
            <w:r>
              <w:rPr>
                <w:noProof/>
                <w:webHidden/>
              </w:rPr>
            </w:r>
            <w:r>
              <w:rPr>
                <w:noProof/>
                <w:webHidden/>
              </w:rPr>
              <w:fldChar w:fldCharType="separate"/>
            </w:r>
            <w:r w:rsidR="00220724">
              <w:rPr>
                <w:noProof/>
                <w:webHidden/>
              </w:rPr>
              <w:t>11</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3" w:history="1">
            <w:r w:rsidRPr="00434959">
              <w:rPr>
                <w:rStyle w:val="Hipercze"/>
                <w:noProof/>
                <w:lang w:val="pl"/>
              </w:rPr>
              <w:t>b.  Ofiara bezpośrednia</w:t>
            </w:r>
            <w:r>
              <w:rPr>
                <w:noProof/>
                <w:webHidden/>
              </w:rPr>
              <w:tab/>
            </w:r>
            <w:r>
              <w:rPr>
                <w:noProof/>
                <w:webHidden/>
              </w:rPr>
              <w:fldChar w:fldCharType="begin"/>
            </w:r>
            <w:r>
              <w:rPr>
                <w:noProof/>
                <w:webHidden/>
              </w:rPr>
              <w:instrText xml:space="preserve"> PAGEREF _Toc126660563 \h </w:instrText>
            </w:r>
            <w:r>
              <w:rPr>
                <w:noProof/>
                <w:webHidden/>
              </w:rPr>
            </w:r>
            <w:r>
              <w:rPr>
                <w:noProof/>
                <w:webHidden/>
              </w:rPr>
              <w:fldChar w:fldCharType="separate"/>
            </w:r>
            <w:r w:rsidR="00220724">
              <w:rPr>
                <w:noProof/>
                <w:webHidden/>
              </w:rPr>
              <w:t>11</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4" w:history="1">
            <w:r w:rsidRPr="00434959">
              <w:rPr>
                <w:rStyle w:val="Hipercze"/>
                <w:noProof/>
                <w:lang w:val="pl"/>
              </w:rPr>
              <w:t>c.  Ofiara pośrednia</w:t>
            </w:r>
            <w:r>
              <w:rPr>
                <w:noProof/>
                <w:webHidden/>
              </w:rPr>
              <w:tab/>
            </w:r>
            <w:r>
              <w:rPr>
                <w:noProof/>
                <w:webHidden/>
              </w:rPr>
              <w:fldChar w:fldCharType="begin"/>
            </w:r>
            <w:r>
              <w:rPr>
                <w:noProof/>
                <w:webHidden/>
              </w:rPr>
              <w:instrText xml:space="preserve"> PAGEREF _Toc126660564 \h </w:instrText>
            </w:r>
            <w:r>
              <w:rPr>
                <w:noProof/>
                <w:webHidden/>
              </w:rPr>
            </w:r>
            <w:r>
              <w:rPr>
                <w:noProof/>
                <w:webHidden/>
              </w:rPr>
              <w:fldChar w:fldCharType="separate"/>
            </w:r>
            <w:r w:rsidR="00220724">
              <w:rPr>
                <w:noProof/>
                <w:webHidden/>
              </w:rPr>
              <w:t>12</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5" w:history="1">
            <w:r w:rsidRPr="00434959">
              <w:rPr>
                <w:rStyle w:val="Hipercze"/>
                <w:noProof/>
                <w:lang w:val="pl"/>
              </w:rPr>
              <w:t xml:space="preserve">d.  Potencjalne ofiary i </w:t>
            </w:r>
            <w:r w:rsidRPr="00434959">
              <w:rPr>
                <w:rStyle w:val="Hipercze"/>
                <w:i/>
                <w:iCs/>
                <w:noProof/>
                <w:lang w:val="pl"/>
              </w:rPr>
              <w:t>actio popularis</w:t>
            </w:r>
            <w:r>
              <w:rPr>
                <w:noProof/>
                <w:webHidden/>
              </w:rPr>
              <w:tab/>
            </w:r>
            <w:r>
              <w:rPr>
                <w:noProof/>
                <w:webHidden/>
              </w:rPr>
              <w:fldChar w:fldCharType="begin"/>
            </w:r>
            <w:r>
              <w:rPr>
                <w:noProof/>
                <w:webHidden/>
              </w:rPr>
              <w:instrText xml:space="preserve"> PAGEREF _Toc126660565 \h </w:instrText>
            </w:r>
            <w:r>
              <w:rPr>
                <w:noProof/>
                <w:webHidden/>
              </w:rPr>
            </w:r>
            <w:r>
              <w:rPr>
                <w:noProof/>
                <w:webHidden/>
              </w:rPr>
              <w:fldChar w:fldCharType="separate"/>
            </w:r>
            <w:r w:rsidR="00220724">
              <w:rPr>
                <w:noProof/>
                <w:webHidden/>
              </w:rPr>
              <w:t>15</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6" w:history="1">
            <w:r w:rsidRPr="00434959">
              <w:rPr>
                <w:rStyle w:val="Hipercze"/>
                <w:noProof/>
                <w:lang w:val="pl"/>
              </w:rPr>
              <w:t>e.  Utrata statusu ofiary</w:t>
            </w:r>
            <w:r>
              <w:rPr>
                <w:noProof/>
                <w:webHidden/>
              </w:rPr>
              <w:tab/>
            </w:r>
            <w:r>
              <w:rPr>
                <w:noProof/>
                <w:webHidden/>
              </w:rPr>
              <w:fldChar w:fldCharType="begin"/>
            </w:r>
            <w:r>
              <w:rPr>
                <w:noProof/>
                <w:webHidden/>
              </w:rPr>
              <w:instrText xml:space="preserve"> PAGEREF _Toc126660566 \h </w:instrText>
            </w:r>
            <w:r>
              <w:rPr>
                <w:noProof/>
                <w:webHidden/>
              </w:rPr>
            </w:r>
            <w:r>
              <w:rPr>
                <w:noProof/>
                <w:webHidden/>
              </w:rPr>
              <w:fldChar w:fldCharType="separate"/>
            </w:r>
            <w:r w:rsidR="00220724">
              <w:rPr>
                <w:noProof/>
                <w:webHidden/>
              </w:rPr>
              <w:t>16</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67" w:history="1">
            <w:r w:rsidRPr="00434959">
              <w:rPr>
                <w:rStyle w:val="Hipercze"/>
                <w:noProof/>
                <w:lang w:val="pl"/>
              </w:rPr>
              <w:t>f.  Śmierć skarżącego</w:t>
            </w:r>
            <w:r>
              <w:rPr>
                <w:noProof/>
                <w:webHidden/>
              </w:rPr>
              <w:tab/>
            </w:r>
            <w:r>
              <w:rPr>
                <w:noProof/>
                <w:webHidden/>
              </w:rPr>
              <w:fldChar w:fldCharType="begin"/>
            </w:r>
            <w:r>
              <w:rPr>
                <w:noProof/>
                <w:webHidden/>
              </w:rPr>
              <w:instrText xml:space="preserve"> PAGEREF _Toc126660567 \h </w:instrText>
            </w:r>
            <w:r>
              <w:rPr>
                <w:noProof/>
                <w:webHidden/>
              </w:rPr>
            </w:r>
            <w:r>
              <w:rPr>
                <w:noProof/>
                <w:webHidden/>
              </w:rPr>
              <w:fldChar w:fldCharType="separate"/>
            </w:r>
            <w:r w:rsidR="00220724">
              <w:rPr>
                <w:noProof/>
                <w:webHidden/>
              </w:rPr>
              <w:t>19</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68" w:history="1">
            <w:r w:rsidRPr="00434959">
              <w:rPr>
                <w:rStyle w:val="Hipercze"/>
                <w:lang w:val="pl"/>
              </w:rPr>
              <w:t>4.  Reprezentacja</w:t>
            </w:r>
            <w:r>
              <w:rPr>
                <w:webHidden/>
              </w:rPr>
              <w:tab/>
            </w:r>
            <w:r>
              <w:rPr>
                <w:webHidden/>
              </w:rPr>
              <w:fldChar w:fldCharType="begin"/>
            </w:r>
            <w:r>
              <w:rPr>
                <w:webHidden/>
              </w:rPr>
              <w:instrText xml:space="preserve"> PAGEREF _Toc126660568 \h </w:instrText>
            </w:r>
            <w:r>
              <w:rPr>
                <w:webHidden/>
              </w:rPr>
            </w:r>
            <w:r>
              <w:rPr>
                <w:webHidden/>
              </w:rPr>
              <w:fldChar w:fldCharType="separate"/>
            </w:r>
            <w:r w:rsidR="00220724">
              <w:rPr>
                <w:webHidden/>
              </w:rPr>
              <w:t>19</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569" w:history="1">
            <w:r w:rsidRPr="00434959">
              <w:rPr>
                <w:rStyle w:val="Hipercze"/>
                <w:noProof/>
                <w:lang w:val="pl"/>
              </w:rPr>
              <w:t>B. Swoboda korzystania z prawa do skargi indywidualnej</w:t>
            </w:r>
            <w:r>
              <w:rPr>
                <w:noProof/>
                <w:webHidden/>
              </w:rPr>
              <w:tab/>
            </w:r>
            <w:r>
              <w:rPr>
                <w:noProof/>
                <w:webHidden/>
              </w:rPr>
              <w:fldChar w:fldCharType="begin"/>
            </w:r>
            <w:r>
              <w:rPr>
                <w:noProof/>
                <w:webHidden/>
              </w:rPr>
              <w:instrText xml:space="preserve"> PAGEREF _Toc126660569 \h </w:instrText>
            </w:r>
            <w:r>
              <w:rPr>
                <w:noProof/>
                <w:webHidden/>
              </w:rPr>
            </w:r>
            <w:r>
              <w:rPr>
                <w:noProof/>
                <w:webHidden/>
              </w:rPr>
              <w:fldChar w:fldCharType="separate"/>
            </w:r>
            <w:r w:rsidR="00220724">
              <w:rPr>
                <w:noProof/>
                <w:webHidden/>
              </w:rPr>
              <w:t>21</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70" w:history="1">
            <w:r w:rsidRPr="00434959">
              <w:rPr>
                <w:rStyle w:val="Hipercze"/>
                <w:lang w:val="pl"/>
              </w:rPr>
              <w:t>1.  Zasady i przykłady</w:t>
            </w:r>
            <w:r>
              <w:rPr>
                <w:webHidden/>
              </w:rPr>
              <w:tab/>
            </w:r>
            <w:r>
              <w:rPr>
                <w:webHidden/>
              </w:rPr>
              <w:fldChar w:fldCharType="begin"/>
            </w:r>
            <w:r>
              <w:rPr>
                <w:webHidden/>
              </w:rPr>
              <w:instrText xml:space="preserve"> PAGEREF _Toc126660570 \h </w:instrText>
            </w:r>
            <w:r>
              <w:rPr>
                <w:webHidden/>
              </w:rPr>
            </w:r>
            <w:r>
              <w:rPr>
                <w:webHidden/>
              </w:rPr>
              <w:fldChar w:fldCharType="separate"/>
            </w:r>
            <w:r w:rsidR="00220724">
              <w:rPr>
                <w:webHidden/>
              </w:rPr>
              <w:t>21</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71" w:history="1">
            <w:r w:rsidRPr="00434959">
              <w:rPr>
                <w:rStyle w:val="Hipercze"/>
                <w:lang w:val="pl"/>
              </w:rPr>
              <w:t>2.  Obowiązki pozwanego państwa</w:t>
            </w:r>
            <w:r>
              <w:rPr>
                <w:webHidden/>
              </w:rPr>
              <w:tab/>
            </w:r>
            <w:r>
              <w:rPr>
                <w:webHidden/>
              </w:rPr>
              <w:fldChar w:fldCharType="begin"/>
            </w:r>
            <w:r>
              <w:rPr>
                <w:webHidden/>
              </w:rPr>
              <w:instrText xml:space="preserve"> PAGEREF _Toc126660571 \h </w:instrText>
            </w:r>
            <w:r>
              <w:rPr>
                <w:webHidden/>
              </w:rPr>
            </w:r>
            <w:r>
              <w:rPr>
                <w:webHidden/>
              </w:rPr>
              <w:fldChar w:fldCharType="separate"/>
            </w:r>
            <w:r w:rsidR="00220724">
              <w:rPr>
                <w:webHidden/>
              </w:rPr>
              <w:t>23</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72" w:history="1">
            <w:r w:rsidRPr="00434959">
              <w:rPr>
                <w:rStyle w:val="Hipercze"/>
                <w:noProof/>
                <w:lang w:val="pl"/>
              </w:rPr>
              <w:t>a.  Reguła 39 Regulaminu Trybunału</w:t>
            </w:r>
            <w:r>
              <w:rPr>
                <w:noProof/>
                <w:webHidden/>
              </w:rPr>
              <w:tab/>
            </w:r>
            <w:r>
              <w:rPr>
                <w:noProof/>
                <w:webHidden/>
              </w:rPr>
              <w:fldChar w:fldCharType="begin"/>
            </w:r>
            <w:r>
              <w:rPr>
                <w:noProof/>
                <w:webHidden/>
              </w:rPr>
              <w:instrText xml:space="preserve"> PAGEREF _Toc126660572 \h </w:instrText>
            </w:r>
            <w:r>
              <w:rPr>
                <w:noProof/>
                <w:webHidden/>
              </w:rPr>
            </w:r>
            <w:r>
              <w:rPr>
                <w:noProof/>
                <w:webHidden/>
              </w:rPr>
              <w:fldChar w:fldCharType="separate"/>
            </w:r>
            <w:r w:rsidR="00220724">
              <w:rPr>
                <w:noProof/>
                <w:webHidden/>
              </w:rPr>
              <w:t>23</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73" w:history="1">
            <w:r w:rsidRPr="00434959">
              <w:rPr>
                <w:rStyle w:val="Hipercze"/>
                <w:noProof/>
                <w:lang w:val="pl"/>
              </w:rPr>
              <w:t>b.  Ustalenie faktów</w:t>
            </w:r>
            <w:r>
              <w:rPr>
                <w:noProof/>
                <w:webHidden/>
              </w:rPr>
              <w:tab/>
            </w:r>
            <w:r>
              <w:rPr>
                <w:noProof/>
                <w:webHidden/>
              </w:rPr>
              <w:fldChar w:fldCharType="begin"/>
            </w:r>
            <w:r>
              <w:rPr>
                <w:noProof/>
                <w:webHidden/>
              </w:rPr>
              <w:instrText xml:space="preserve"> PAGEREF _Toc126660573 \h </w:instrText>
            </w:r>
            <w:r>
              <w:rPr>
                <w:noProof/>
                <w:webHidden/>
              </w:rPr>
            </w:r>
            <w:r>
              <w:rPr>
                <w:noProof/>
                <w:webHidden/>
              </w:rPr>
              <w:fldChar w:fldCharType="separate"/>
            </w:r>
            <w:r w:rsidR="00220724">
              <w:rPr>
                <w:noProof/>
                <w:webHidden/>
              </w:rPr>
              <w:t>24</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74" w:history="1">
            <w:r w:rsidRPr="00434959">
              <w:rPr>
                <w:rStyle w:val="Hipercze"/>
                <w:noProof/>
                <w:lang w:val="pl"/>
              </w:rPr>
              <w:t>c.  Dochodzenia</w:t>
            </w:r>
            <w:r>
              <w:rPr>
                <w:noProof/>
                <w:webHidden/>
              </w:rPr>
              <w:tab/>
            </w:r>
            <w:r>
              <w:rPr>
                <w:noProof/>
                <w:webHidden/>
              </w:rPr>
              <w:fldChar w:fldCharType="begin"/>
            </w:r>
            <w:r>
              <w:rPr>
                <w:noProof/>
                <w:webHidden/>
              </w:rPr>
              <w:instrText xml:space="preserve"> PAGEREF _Toc126660574 \h </w:instrText>
            </w:r>
            <w:r>
              <w:rPr>
                <w:noProof/>
                <w:webHidden/>
              </w:rPr>
            </w:r>
            <w:r>
              <w:rPr>
                <w:noProof/>
                <w:webHidden/>
              </w:rPr>
              <w:fldChar w:fldCharType="separate"/>
            </w:r>
            <w:r w:rsidR="00220724">
              <w:rPr>
                <w:noProof/>
                <w:webHidden/>
              </w:rPr>
              <w:t>25</w:t>
            </w:r>
            <w:r>
              <w:rPr>
                <w:noProof/>
                <w:webHidden/>
              </w:rPr>
              <w:fldChar w:fldCharType="end"/>
            </w:r>
          </w:hyperlink>
        </w:p>
        <w:p w:rsidR="00356BC9" w:rsidRDefault="00356BC9">
          <w:pPr>
            <w:pStyle w:val="Spistreci1"/>
            <w:rPr>
              <w:rFonts w:eastAsiaTheme="minorEastAsia" w:cstheme="minorBidi"/>
              <w:b w:val="0"/>
              <w:bCs w:val="0"/>
              <w:color w:val="auto"/>
              <w:sz w:val="22"/>
              <w:szCs w:val="22"/>
              <w:lang w:val="en-GB" w:eastAsia="en-GB" w:bidi="ar-SA"/>
            </w:rPr>
          </w:pPr>
          <w:hyperlink w:anchor="_Toc126660575" w:history="1">
            <w:r w:rsidRPr="00434959">
              <w:rPr>
                <w:rStyle w:val="Hipercze"/>
              </w:rPr>
              <w:t>I.  Proceduralne podstawy niedopuszczalności</w:t>
            </w:r>
            <w:r>
              <w:rPr>
                <w:webHidden/>
              </w:rPr>
              <w:tab/>
            </w:r>
            <w:r>
              <w:rPr>
                <w:webHidden/>
              </w:rPr>
              <w:fldChar w:fldCharType="begin"/>
            </w:r>
            <w:r>
              <w:rPr>
                <w:webHidden/>
              </w:rPr>
              <w:instrText xml:space="preserve"> PAGEREF _Toc126660575 \h </w:instrText>
            </w:r>
            <w:r>
              <w:rPr>
                <w:webHidden/>
              </w:rPr>
            </w:r>
            <w:r>
              <w:rPr>
                <w:webHidden/>
              </w:rPr>
              <w:fldChar w:fldCharType="separate"/>
            </w:r>
            <w:r w:rsidR="00220724">
              <w:rPr>
                <w:webHidden/>
              </w:rPr>
              <w:t>25</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576" w:history="1">
            <w:r w:rsidRPr="00434959">
              <w:rPr>
                <w:rStyle w:val="Hipercze"/>
                <w:noProof/>
                <w:lang w:val="pl"/>
              </w:rPr>
              <w:t>A.  Niewyczerpanie krajowych środków odwoławczych</w:t>
            </w:r>
            <w:r>
              <w:rPr>
                <w:noProof/>
                <w:webHidden/>
              </w:rPr>
              <w:tab/>
            </w:r>
            <w:r>
              <w:rPr>
                <w:noProof/>
                <w:webHidden/>
              </w:rPr>
              <w:fldChar w:fldCharType="begin"/>
            </w:r>
            <w:r>
              <w:rPr>
                <w:noProof/>
                <w:webHidden/>
              </w:rPr>
              <w:instrText xml:space="preserve"> PAGEREF _Toc126660576 \h </w:instrText>
            </w:r>
            <w:r>
              <w:rPr>
                <w:noProof/>
                <w:webHidden/>
              </w:rPr>
            </w:r>
            <w:r>
              <w:rPr>
                <w:noProof/>
                <w:webHidden/>
              </w:rPr>
              <w:fldChar w:fldCharType="separate"/>
            </w:r>
            <w:r w:rsidR="00220724">
              <w:rPr>
                <w:noProof/>
                <w:webHidden/>
              </w:rPr>
              <w:t>25</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77" w:history="1">
            <w:r w:rsidRPr="00434959">
              <w:rPr>
                <w:rStyle w:val="Hipercze"/>
                <w:lang w:val="pl"/>
              </w:rPr>
              <w:t>1.  Cel zasady</w:t>
            </w:r>
            <w:r>
              <w:rPr>
                <w:webHidden/>
              </w:rPr>
              <w:tab/>
            </w:r>
            <w:r>
              <w:rPr>
                <w:webHidden/>
              </w:rPr>
              <w:fldChar w:fldCharType="begin"/>
            </w:r>
            <w:r>
              <w:rPr>
                <w:webHidden/>
              </w:rPr>
              <w:instrText xml:space="preserve"> PAGEREF _Toc126660577 \h </w:instrText>
            </w:r>
            <w:r>
              <w:rPr>
                <w:webHidden/>
              </w:rPr>
            </w:r>
            <w:r>
              <w:rPr>
                <w:webHidden/>
              </w:rPr>
              <w:fldChar w:fldCharType="separate"/>
            </w:r>
            <w:r w:rsidR="00220724">
              <w:rPr>
                <w:webHidden/>
              </w:rPr>
              <w:t>26</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78" w:history="1">
            <w:r w:rsidRPr="00434959">
              <w:rPr>
                <w:rStyle w:val="Hipercze"/>
                <w:lang w:val="pl"/>
              </w:rPr>
              <w:t>2.  Zastosowanie zasady</w:t>
            </w:r>
            <w:r>
              <w:rPr>
                <w:webHidden/>
              </w:rPr>
              <w:tab/>
            </w:r>
            <w:r>
              <w:rPr>
                <w:webHidden/>
              </w:rPr>
              <w:fldChar w:fldCharType="begin"/>
            </w:r>
            <w:r>
              <w:rPr>
                <w:webHidden/>
              </w:rPr>
              <w:instrText xml:space="preserve"> PAGEREF _Toc126660578 \h </w:instrText>
            </w:r>
            <w:r>
              <w:rPr>
                <w:webHidden/>
              </w:rPr>
            </w:r>
            <w:r>
              <w:rPr>
                <w:webHidden/>
              </w:rPr>
              <w:fldChar w:fldCharType="separate"/>
            </w:r>
            <w:r w:rsidR="00220724">
              <w:rPr>
                <w:webHidden/>
              </w:rPr>
              <w:t>27</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79" w:history="1">
            <w:r w:rsidRPr="00434959">
              <w:rPr>
                <w:rStyle w:val="Hipercze"/>
                <w:noProof/>
                <w:lang w:val="pl"/>
              </w:rPr>
              <w:t>a.  Elastyczność</w:t>
            </w:r>
            <w:r>
              <w:rPr>
                <w:noProof/>
                <w:webHidden/>
              </w:rPr>
              <w:tab/>
            </w:r>
            <w:r>
              <w:rPr>
                <w:noProof/>
                <w:webHidden/>
              </w:rPr>
              <w:fldChar w:fldCharType="begin"/>
            </w:r>
            <w:r>
              <w:rPr>
                <w:noProof/>
                <w:webHidden/>
              </w:rPr>
              <w:instrText xml:space="preserve"> PAGEREF _Toc126660579 \h </w:instrText>
            </w:r>
            <w:r>
              <w:rPr>
                <w:noProof/>
                <w:webHidden/>
              </w:rPr>
            </w:r>
            <w:r>
              <w:rPr>
                <w:noProof/>
                <w:webHidden/>
              </w:rPr>
              <w:fldChar w:fldCharType="separate"/>
            </w:r>
            <w:r w:rsidR="00220724">
              <w:rPr>
                <w:noProof/>
                <w:webHidden/>
              </w:rPr>
              <w:t>27</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80" w:history="1">
            <w:r w:rsidRPr="00434959">
              <w:rPr>
                <w:rStyle w:val="Hipercze"/>
                <w:noProof/>
                <w:lang w:val="pl"/>
              </w:rPr>
              <w:t>b.  Zgodność z przepisami i ograniczeniami krajowymi</w:t>
            </w:r>
            <w:r>
              <w:rPr>
                <w:noProof/>
                <w:webHidden/>
              </w:rPr>
              <w:tab/>
            </w:r>
            <w:r>
              <w:rPr>
                <w:noProof/>
                <w:webHidden/>
              </w:rPr>
              <w:fldChar w:fldCharType="begin"/>
            </w:r>
            <w:r>
              <w:rPr>
                <w:noProof/>
                <w:webHidden/>
              </w:rPr>
              <w:instrText xml:space="preserve"> PAGEREF _Toc126660580 \h </w:instrText>
            </w:r>
            <w:r>
              <w:rPr>
                <w:noProof/>
                <w:webHidden/>
              </w:rPr>
            </w:r>
            <w:r>
              <w:rPr>
                <w:noProof/>
                <w:webHidden/>
              </w:rPr>
              <w:fldChar w:fldCharType="separate"/>
            </w:r>
            <w:r w:rsidR="00220724">
              <w:rPr>
                <w:noProof/>
                <w:webHidden/>
              </w:rPr>
              <w:t>27</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81" w:history="1">
            <w:r w:rsidRPr="00434959">
              <w:rPr>
                <w:rStyle w:val="Hipercze"/>
                <w:noProof/>
                <w:lang w:val="pl"/>
              </w:rPr>
              <w:t>c.  Istnienie kilku środków odwoławczych</w:t>
            </w:r>
            <w:r>
              <w:rPr>
                <w:noProof/>
                <w:webHidden/>
              </w:rPr>
              <w:tab/>
            </w:r>
            <w:r>
              <w:rPr>
                <w:noProof/>
                <w:webHidden/>
              </w:rPr>
              <w:fldChar w:fldCharType="begin"/>
            </w:r>
            <w:r>
              <w:rPr>
                <w:noProof/>
                <w:webHidden/>
              </w:rPr>
              <w:instrText xml:space="preserve"> PAGEREF _Toc126660581 \h </w:instrText>
            </w:r>
            <w:r>
              <w:rPr>
                <w:noProof/>
                <w:webHidden/>
              </w:rPr>
            </w:r>
            <w:r>
              <w:rPr>
                <w:noProof/>
                <w:webHidden/>
              </w:rPr>
              <w:fldChar w:fldCharType="separate"/>
            </w:r>
            <w:r w:rsidR="00220724">
              <w:rPr>
                <w:noProof/>
                <w:webHidden/>
              </w:rPr>
              <w:t>28</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82" w:history="1">
            <w:r w:rsidRPr="00434959">
              <w:rPr>
                <w:rStyle w:val="Hipercze"/>
                <w:noProof/>
                <w:lang w:val="pl"/>
              </w:rPr>
              <w:t>d.  Skarga wniesiona co do istoty</w:t>
            </w:r>
            <w:r>
              <w:rPr>
                <w:noProof/>
                <w:webHidden/>
              </w:rPr>
              <w:tab/>
            </w:r>
            <w:r>
              <w:rPr>
                <w:noProof/>
                <w:webHidden/>
              </w:rPr>
              <w:fldChar w:fldCharType="begin"/>
            </w:r>
            <w:r>
              <w:rPr>
                <w:noProof/>
                <w:webHidden/>
              </w:rPr>
              <w:instrText xml:space="preserve"> PAGEREF _Toc126660582 \h </w:instrText>
            </w:r>
            <w:r>
              <w:rPr>
                <w:noProof/>
                <w:webHidden/>
              </w:rPr>
            </w:r>
            <w:r>
              <w:rPr>
                <w:noProof/>
                <w:webHidden/>
              </w:rPr>
              <w:fldChar w:fldCharType="separate"/>
            </w:r>
            <w:r w:rsidR="00220724">
              <w:rPr>
                <w:noProof/>
                <w:webHidden/>
              </w:rPr>
              <w:t>28</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83" w:history="1">
            <w:r w:rsidRPr="00434959">
              <w:rPr>
                <w:rStyle w:val="Hipercze"/>
                <w:noProof/>
                <w:lang w:val="pl"/>
              </w:rPr>
              <w:t>e.  Istnienie i adekwatność</w:t>
            </w:r>
            <w:r>
              <w:rPr>
                <w:noProof/>
                <w:webHidden/>
              </w:rPr>
              <w:tab/>
            </w:r>
            <w:r>
              <w:rPr>
                <w:noProof/>
                <w:webHidden/>
              </w:rPr>
              <w:fldChar w:fldCharType="begin"/>
            </w:r>
            <w:r>
              <w:rPr>
                <w:noProof/>
                <w:webHidden/>
              </w:rPr>
              <w:instrText xml:space="preserve"> PAGEREF _Toc126660583 \h </w:instrText>
            </w:r>
            <w:r>
              <w:rPr>
                <w:noProof/>
                <w:webHidden/>
              </w:rPr>
            </w:r>
            <w:r>
              <w:rPr>
                <w:noProof/>
                <w:webHidden/>
              </w:rPr>
              <w:fldChar w:fldCharType="separate"/>
            </w:r>
            <w:r w:rsidR="00220724">
              <w:rPr>
                <w:noProof/>
                <w:webHidden/>
              </w:rPr>
              <w:t>29</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84" w:history="1">
            <w:r w:rsidRPr="00434959">
              <w:rPr>
                <w:rStyle w:val="Hipercze"/>
                <w:noProof/>
                <w:lang w:val="pl"/>
              </w:rPr>
              <w:t>f.  Dostępność i skuteczność</w:t>
            </w:r>
            <w:r>
              <w:rPr>
                <w:noProof/>
                <w:webHidden/>
              </w:rPr>
              <w:tab/>
            </w:r>
            <w:r>
              <w:rPr>
                <w:noProof/>
                <w:webHidden/>
              </w:rPr>
              <w:fldChar w:fldCharType="begin"/>
            </w:r>
            <w:r>
              <w:rPr>
                <w:noProof/>
                <w:webHidden/>
              </w:rPr>
              <w:instrText xml:space="preserve"> PAGEREF _Toc126660584 \h </w:instrText>
            </w:r>
            <w:r>
              <w:rPr>
                <w:noProof/>
                <w:webHidden/>
              </w:rPr>
            </w:r>
            <w:r>
              <w:rPr>
                <w:noProof/>
                <w:webHidden/>
              </w:rPr>
              <w:fldChar w:fldCharType="separate"/>
            </w:r>
            <w:r w:rsidR="00220724">
              <w:rPr>
                <w:noProof/>
                <w:webHidden/>
              </w:rPr>
              <w:t>30</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85" w:history="1">
            <w:r w:rsidRPr="00434959">
              <w:rPr>
                <w:rStyle w:val="Hipercze"/>
                <w:lang w:val="pl"/>
              </w:rPr>
              <w:t>3.  Ograniczenia w zastosowaniu zasady</w:t>
            </w:r>
            <w:r>
              <w:rPr>
                <w:webHidden/>
              </w:rPr>
              <w:tab/>
            </w:r>
            <w:r>
              <w:rPr>
                <w:webHidden/>
              </w:rPr>
              <w:fldChar w:fldCharType="begin"/>
            </w:r>
            <w:r>
              <w:rPr>
                <w:webHidden/>
              </w:rPr>
              <w:instrText xml:space="preserve"> PAGEREF _Toc126660585 \h </w:instrText>
            </w:r>
            <w:r>
              <w:rPr>
                <w:webHidden/>
              </w:rPr>
            </w:r>
            <w:r>
              <w:rPr>
                <w:webHidden/>
              </w:rPr>
              <w:fldChar w:fldCharType="separate"/>
            </w:r>
            <w:r w:rsidR="00220724">
              <w:rPr>
                <w:webHidden/>
              </w:rPr>
              <w:t>33</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86" w:history="1">
            <w:r w:rsidRPr="00434959">
              <w:rPr>
                <w:rStyle w:val="Hipercze"/>
                <w:lang w:val="pl"/>
              </w:rPr>
              <w:t>4.  Rozłożenie ciężaru dowodu</w:t>
            </w:r>
            <w:r>
              <w:rPr>
                <w:webHidden/>
              </w:rPr>
              <w:tab/>
            </w:r>
            <w:r>
              <w:rPr>
                <w:webHidden/>
              </w:rPr>
              <w:fldChar w:fldCharType="begin"/>
            </w:r>
            <w:r>
              <w:rPr>
                <w:webHidden/>
              </w:rPr>
              <w:instrText xml:space="preserve"> PAGEREF _Toc126660586 \h </w:instrText>
            </w:r>
            <w:r>
              <w:rPr>
                <w:webHidden/>
              </w:rPr>
            </w:r>
            <w:r>
              <w:rPr>
                <w:webHidden/>
              </w:rPr>
              <w:fldChar w:fldCharType="separate"/>
            </w:r>
            <w:r w:rsidR="00220724">
              <w:rPr>
                <w:webHidden/>
              </w:rPr>
              <w:t>33</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87" w:history="1">
            <w:r w:rsidRPr="00434959">
              <w:rPr>
                <w:rStyle w:val="Hipercze"/>
                <w:lang w:val="pl"/>
              </w:rPr>
              <w:t>5.  Aspekty proceduralne</w:t>
            </w:r>
            <w:r>
              <w:rPr>
                <w:webHidden/>
              </w:rPr>
              <w:tab/>
            </w:r>
            <w:r>
              <w:rPr>
                <w:webHidden/>
              </w:rPr>
              <w:fldChar w:fldCharType="begin"/>
            </w:r>
            <w:r>
              <w:rPr>
                <w:webHidden/>
              </w:rPr>
              <w:instrText xml:space="preserve"> PAGEREF _Toc126660587 \h </w:instrText>
            </w:r>
            <w:r>
              <w:rPr>
                <w:webHidden/>
              </w:rPr>
            </w:r>
            <w:r>
              <w:rPr>
                <w:webHidden/>
              </w:rPr>
              <w:fldChar w:fldCharType="separate"/>
            </w:r>
            <w:r w:rsidR="00220724">
              <w:rPr>
                <w:webHidden/>
              </w:rPr>
              <w:t>35</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88" w:history="1">
            <w:r w:rsidRPr="00434959">
              <w:rPr>
                <w:rStyle w:val="Hipercze"/>
                <w:lang w:val="pl"/>
              </w:rPr>
              <w:t>6.  Tworzenie nowych środków odwoławczych</w:t>
            </w:r>
            <w:r>
              <w:rPr>
                <w:webHidden/>
              </w:rPr>
              <w:tab/>
            </w:r>
            <w:r>
              <w:rPr>
                <w:webHidden/>
              </w:rPr>
              <w:fldChar w:fldCharType="begin"/>
            </w:r>
            <w:r>
              <w:rPr>
                <w:webHidden/>
              </w:rPr>
              <w:instrText xml:space="preserve"> PAGEREF _Toc126660588 \h </w:instrText>
            </w:r>
            <w:r>
              <w:rPr>
                <w:webHidden/>
              </w:rPr>
            </w:r>
            <w:r>
              <w:rPr>
                <w:webHidden/>
              </w:rPr>
              <w:fldChar w:fldCharType="separate"/>
            </w:r>
            <w:r w:rsidR="00220724">
              <w:rPr>
                <w:webHidden/>
              </w:rPr>
              <w:t>36</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589" w:history="1">
            <w:r w:rsidRPr="00434959">
              <w:rPr>
                <w:rStyle w:val="Hipercze"/>
                <w:noProof/>
                <w:lang w:val="pl"/>
              </w:rPr>
              <w:t>B.  Niezachowanie czteromiesięcznego terminu</w:t>
            </w:r>
            <w:r>
              <w:rPr>
                <w:noProof/>
                <w:webHidden/>
              </w:rPr>
              <w:tab/>
            </w:r>
            <w:r>
              <w:rPr>
                <w:noProof/>
                <w:webHidden/>
              </w:rPr>
              <w:fldChar w:fldCharType="begin"/>
            </w:r>
            <w:r>
              <w:rPr>
                <w:noProof/>
                <w:webHidden/>
              </w:rPr>
              <w:instrText xml:space="preserve"> PAGEREF _Toc126660589 \h </w:instrText>
            </w:r>
            <w:r>
              <w:rPr>
                <w:noProof/>
                <w:webHidden/>
              </w:rPr>
            </w:r>
            <w:r>
              <w:rPr>
                <w:noProof/>
                <w:webHidden/>
              </w:rPr>
              <w:fldChar w:fldCharType="separate"/>
            </w:r>
            <w:r w:rsidR="00220724">
              <w:rPr>
                <w:noProof/>
                <w:webHidden/>
              </w:rPr>
              <w:t>38</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90" w:history="1">
            <w:r w:rsidRPr="00434959">
              <w:rPr>
                <w:rStyle w:val="Hipercze"/>
                <w:lang w:val="pl"/>
              </w:rPr>
              <w:t>1.  Cel zasady</w:t>
            </w:r>
            <w:r>
              <w:rPr>
                <w:webHidden/>
              </w:rPr>
              <w:tab/>
            </w:r>
            <w:r>
              <w:rPr>
                <w:webHidden/>
              </w:rPr>
              <w:fldChar w:fldCharType="begin"/>
            </w:r>
            <w:r>
              <w:rPr>
                <w:webHidden/>
              </w:rPr>
              <w:instrText xml:space="preserve"> PAGEREF _Toc126660590 \h </w:instrText>
            </w:r>
            <w:r>
              <w:rPr>
                <w:webHidden/>
              </w:rPr>
            </w:r>
            <w:r>
              <w:rPr>
                <w:webHidden/>
              </w:rPr>
              <w:fldChar w:fldCharType="separate"/>
            </w:r>
            <w:r w:rsidR="00220724">
              <w:rPr>
                <w:webHidden/>
              </w:rPr>
              <w:t>38</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91" w:history="1">
            <w:r w:rsidRPr="00434959">
              <w:rPr>
                <w:rStyle w:val="Hipercze"/>
                <w:lang w:val="pl"/>
              </w:rPr>
              <w:t>2.  Data rozpoczęcia biegu czteromiesięcznego terminu</w:t>
            </w:r>
            <w:r>
              <w:rPr>
                <w:webHidden/>
              </w:rPr>
              <w:tab/>
            </w:r>
            <w:r>
              <w:rPr>
                <w:webHidden/>
              </w:rPr>
              <w:fldChar w:fldCharType="begin"/>
            </w:r>
            <w:r>
              <w:rPr>
                <w:webHidden/>
              </w:rPr>
              <w:instrText xml:space="preserve"> PAGEREF _Toc126660591 \h </w:instrText>
            </w:r>
            <w:r>
              <w:rPr>
                <w:webHidden/>
              </w:rPr>
            </w:r>
            <w:r>
              <w:rPr>
                <w:webHidden/>
              </w:rPr>
              <w:fldChar w:fldCharType="separate"/>
            </w:r>
            <w:r w:rsidR="00220724">
              <w:rPr>
                <w:webHidden/>
              </w:rPr>
              <w:t>39</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92" w:history="1">
            <w:r w:rsidRPr="00434959">
              <w:rPr>
                <w:rStyle w:val="Hipercze"/>
                <w:noProof/>
                <w:lang w:val="pl"/>
              </w:rPr>
              <w:t>a.  Ostateczna decyzja</w:t>
            </w:r>
            <w:r>
              <w:rPr>
                <w:noProof/>
                <w:webHidden/>
              </w:rPr>
              <w:tab/>
            </w:r>
            <w:r>
              <w:rPr>
                <w:noProof/>
                <w:webHidden/>
              </w:rPr>
              <w:fldChar w:fldCharType="begin"/>
            </w:r>
            <w:r>
              <w:rPr>
                <w:noProof/>
                <w:webHidden/>
              </w:rPr>
              <w:instrText xml:space="preserve"> PAGEREF _Toc126660592 \h </w:instrText>
            </w:r>
            <w:r>
              <w:rPr>
                <w:noProof/>
                <w:webHidden/>
              </w:rPr>
            </w:r>
            <w:r>
              <w:rPr>
                <w:noProof/>
                <w:webHidden/>
              </w:rPr>
              <w:fldChar w:fldCharType="separate"/>
            </w:r>
            <w:r w:rsidR="00220724">
              <w:rPr>
                <w:noProof/>
                <w:webHidden/>
              </w:rPr>
              <w:t>39</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593" w:history="1">
            <w:r w:rsidRPr="00434959">
              <w:rPr>
                <w:rStyle w:val="Hipercze"/>
                <w:noProof/>
                <w:lang w:val="pl"/>
              </w:rPr>
              <w:t>b.  Moment rozpoczęcia biegu terminu</w:t>
            </w:r>
            <w:r>
              <w:rPr>
                <w:noProof/>
                <w:webHidden/>
              </w:rPr>
              <w:tab/>
            </w:r>
            <w:r>
              <w:rPr>
                <w:noProof/>
                <w:webHidden/>
              </w:rPr>
              <w:fldChar w:fldCharType="begin"/>
            </w:r>
            <w:r>
              <w:rPr>
                <w:noProof/>
                <w:webHidden/>
              </w:rPr>
              <w:instrText xml:space="preserve"> PAGEREF _Toc126660593 \h </w:instrText>
            </w:r>
            <w:r>
              <w:rPr>
                <w:noProof/>
                <w:webHidden/>
              </w:rPr>
            </w:r>
            <w:r>
              <w:rPr>
                <w:noProof/>
                <w:webHidden/>
              </w:rPr>
              <w:fldChar w:fldCharType="separate"/>
            </w:r>
            <w:r w:rsidR="00220724">
              <w:rPr>
                <w:noProof/>
                <w:webHidden/>
              </w:rPr>
              <w:t>40</w:t>
            </w:r>
            <w:r>
              <w:rPr>
                <w:noProof/>
                <w:webHidden/>
              </w:rPr>
              <w:fldChar w:fldCharType="end"/>
            </w:r>
          </w:hyperlink>
        </w:p>
        <w:p w:rsidR="00356BC9" w:rsidRDefault="00356BC9">
          <w:pPr>
            <w:pStyle w:val="Spistreci5"/>
            <w:tabs>
              <w:tab w:val="right" w:leader="dot" w:pos="9072"/>
            </w:tabs>
            <w:rPr>
              <w:rFonts w:eastAsiaTheme="minorEastAsia" w:cstheme="minorBidi"/>
              <w:noProof/>
              <w:color w:val="auto"/>
              <w:szCs w:val="22"/>
              <w:lang w:val="en-GB" w:eastAsia="en-GB" w:bidi="ar-SA"/>
            </w:rPr>
          </w:pPr>
          <w:hyperlink w:anchor="_Toc126660594" w:history="1">
            <w:r w:rsidRPr="00434959">
              <w:rPr>
                <w:rStyle w:val="Hipercze"/>
                <w:noProof/>
                <w:lang w:val="pl"/>
              </w:rPr>
              <w:t>i.  Wiedza o decyzji</w:t>
            </w:r>
            <w:r>
              <w:rPr>
                <w:noProof/>
                <w:webHidden/>
              </w:rPr>
              <w:tab/>
            </w:r>
            <w:r>
              <w:rPr>
                <w:noProof/>
                <w:webHidden/>
              </w:rPr>
              <w:fldChar w:fldCharType="begin"/>
            </w:r>
            <w:r>
              <w:rPr>
                <w:noProof/>
                <w:webHidden/>
              </w:rPr>
              <w:instrText xml:space="preserve"> PAGEREF _Toc126660594 \h </w:instrText>
            </w:r>
            <w:r>
              <w:rPr>
                <w:noProof/>
                <w:webHidden/>
              </w:rPr>
            </w:r>
            <w:r>
              <w:rPr>
                <w:noProof/>
                <w:webHidden/>
              </w:rPr>
              <w:fldChar w:fldCharType="separate"/>
            </w:r>
            <w:r w:rsidR="00220724">
              <w:rPr>
                <w:noProof/>
                <w:webHidden/>
              </w:rPr>
              <w:t>41</w:t>
            </w:r>
            <w:r>
              <w:rPr>
                <w:noProof/>
                <w:webHidden/>
              </w:rPr>
              <w:fldChar w:fldCharType="end"/>
            </w:r>
          </w:hyperlink>
        </w:p>
        <w:p w:rsidR="00356BC9" w:rsidRDefault="00356BC9">
          <w:pPr>
            <w:pStyle w:val="Spistreci5"/>
            <w:tabs>
              <w:tab w:val="right" w:leader="dot" w:pos="9072"/>
            </w:tabs>
            <w:rPr>
              <w:rFonts w:eastAsiaTheme="minorEastAsia" w:cstheme="minorBidi"/>
              <w:noProof/>
              <w:color w:val="auto"/>
              <w:szCs w:val="22"/>
              <w:lang w:val="en-GB" w:eastAsia="en-GB" w:bidi="ar-SA"/>
            </w:rPr>
          </w:pPr>
          <w:hyperlink w:anchor="_Toc126660595" w:history="1">
            <w:r w:rsidRPr="00434959">
              <w:rPr>
                <w:rStyle w:val="Hipercze"/>
                <w:noProof/>
                <w:lang w:val="pl"/>
              </w:rPr>
              <w:t>ii.  Doręczenie decyzji</w:t>
            </w:r>
            <w:r>
              <w:rPr>
                <w:noProof/>
                <w:webHidden/>
              </w:rPr>
              <w:tab/>
            </w:r>
            <w:r>
              <w:rPr>
                <w:noProof/>
                <w:webHidden/>
              </w:rPr>
              <w:fldChar w:fldCharType="begin"/>
            </w:r>
            <w:r>
              <w:rPr>
                <w:noProof/>
                <w:webHidden/>
              </w:rPr>
              <w:instrText xml:space="preserve"> PAGEREF _Toc126660595 \h </w:instrText>
            </w:r>
            <w:r>
              <w:rPr>
                <w:noProof/>
                <w:webHidden/>
              </w:rPr>
            </w:r>
            <w:r>
              <w:rPr>
                <w:noProof/>
                <w:webHidden/>
              </w:rPr>
              <w:fldChar w:fldCharType="separate"/>
            </w:r>
            <w:r w:rsidR="00220724">
              <w:rPr>
                <w:noProof/>
                <w:webHidden/>
              </w:rPr>
              <w:t>41</w:t>
            </w:r>
            <w:r>
              <w:rPr>
                <w:noProof/>
                <w:webHidden/>
              </w:rPr>
              <w:fldChar w:fldCharType="end"/>
            </w:r>
          </w:hyperlink>
        </w:p>
        <w:p w:rsidR="00356BC9" w:rsidRDefault="00356BC9">
          <w:pPr>
            <w:pStyle w:val="Spistreci5"/>
            <w:tabs>
              <w:tab w:val="right" w:leader="dot" w:pos="9072"/>
            </w:tabs>
            <w:rPr>
              <w:rFonts w:eastAsiaTheme="minorEastAsia" w:cstheme="minorBidi"/>
              <w:noProof/>
              <w:color w:val="auto"/>
              <w:szCs w:val="22"/>
              <w:lang w:val="en-GB" w:eastAsia="en-GB" w:bidi="ar-SA"/>
            </w:rPr>
          </w:pPr>
          <w:hyperlink w:anchor="_Toc126660596" w:history="1">
            <w:r w:rsidRPr="00434959">
              <w:rPr>
                <w:rStyle w:val="Hipercze"/>
                <w:noProof/>
                <w:lang w:val="pl"/>
              </w:rPr>
              <w:t>iii.  Brak doręczenia decyzji</w:t>
            </w:r>
            <w:r>
              <w:rPr>
                <w:noProof/>
                <w:webHidden/>
              </w:rPr>
              <w:tab/>
            </w:r>
            <w:r>
              <w:rPr>
                <w:noProof/>
                <w:webHidden/>
              </w:rPr>
              <w:fldChar w:fldCharType="begin"/>
            </w:r>
            <w:r>
              <w:rPr>
                <w:noProof/>
                <w:webHidden/>
              </w:rPr>
              <w:instrText xml:space="preserve"> PAGEREF _Toc126660596 \h </w:instrText>
            </w:r>
            <w:r>
              <w:rPr>
                <w:noProof/>
                <w:webHidden/>
              </w:rPr>
            </w:r>
            <w:r>
              <w:rPr>
                <w:noProof/>
                <w:webHidden/>
              </w:rPr>
              <w:fldChar w:fldCharType="separate"/>
            </w:r>
            <w:r w:rsidR="00220724">
              <w:rPr>
                <w:noProof/>
                <w:webHidden/>
              </w:rPr>
              <w:t>41</w:t>
            </w:r>
            <w:r>
              <w:rPr>
                <w:noProof/>
                <w:webHidden/>
              </w:rPr>
              <w:fldChar w:fldCharType="end"/>
            </w:r>
          </w:hyperlink>
        </w:p>
        <w:p w:rsidR="00356BC9" w:rsidRDefault="00356BC9">
          <w:pPr>
            <w:pStyle w:val="Spistreci5"/>
            <w:tabs>
              <w:tab w:val="right" w:leader="dot" w:pos="9072"/>
            </w:tabs>
            <w:rPr>
              <w:rFonts w:eastAsiaTheme="minorEastAsia" w:cstheme="minorBidi"/>
              <w:noProof/>
              <w:color w:val="auto"/>
              <w:szCs w:val="22"/>
              <w:lang w:val="en-GB" w:eastAsia="en-GB" w:bidi="ar-SA"/>
            </w:rPr>
          </w:pPr>
          <w:hyperlink w:anchor="_Toc126660597" w:history="1">
            <w:r w:rsidRPr="00434959">
              <w:rPr>
                <w:rStyle w:val="Hipercze"/>
                <w:noProof/>
                <w:lang w:val="pl"/>
              </w:rPr>
              <w:t>iv.  Brak dostępnych środków odwoławczych</w:t>
            </w:r>
            <w:r>
              <w:rPr>
                <w:noProof/>
                <w:webHidden/>
              </w:rPr>
              <w:tab/>
            </w:r>
            <w:r>
              <w:rPr>
                <w:noProof/>
                <w:webHidden/>
              </w:rPr>
              <w:fldChar w:fldCharType="begin"/>
            </w:r>
            <w:r>
              <w:rPr>
                <w:noProof/>
                <w:webHidden/>
              </w:rPr>
              <w:instrText xml:space="preserve"> PAGEREF _Toc126660597 \h </w:instrText>
            </w:r>
            <w:r>
              <w:rPr>
                <w:noProof/>
                <w:webHidden/>
              </w:rPr>
            </w:r>
            <w:r>
              <w:rPr>
                <w:noProof/>
                <w:webHidden/>
              </w:rPr>
              <w:fldChar w:fldCharType="separate"/>
            </w:r>
            <w:r w:rsidR="00220724">
              <w:rPr>
                <w:noProof/>
                <w:webHidden/>
              </w:rPr>
              <w:t>41</w:t>
            </w:r>
            <w:r>
              <w:rPr>
                <w:noProof/>
                <w:webHidden/>
              </w:rPr>
              <w:fldChar w:fldCharType="end"/>
            </w:r>
          </w:hyperlink>
        </w:p>
        <w:p w:rsidR="00356BC9" w:rsidRDefault="00356BC9">
          <w:pPr>
            <w:pStyle w:val="Spistreci5"/>
            <w:tabs>
              <w:tab w:val="right" w:leader="dot" w:pos="9072"/>
            </w:tabs>
            <w:rPr>
              <w:rFonts w:eastAsiaTheme="minorEastAsia" w:cstheme="minorBidi"/>
              <w:noProof/>
              <w:color w:val="auto"/>
              <w:szCs w:val="22"/>
              <w:lang w:val="en-GB" w:eastAsia="en-GB" w:bidi="ar-SA"/>
            </w:rPr>
          </w:pPr>
          <w:hyperlink w:anchor="_Toc126660598" w:history="1">
            <w:r w:rsidRPr="00434959">
              <w:rPr>
                <w:rStyle w:val="Hipercze"/>
                <w:noProof/>
                <w:lang w:val="pl"/>
              </w:rPr>
              <w:t>v.  Sytuacja utrzymująca się</w:t>
            </w:r>
            <w:r>
              <w:rPr>
                <w:noProof/>
                <w:webHidden/>
              </w:rPr>
              <w:tab/>
            </w:r>
            <w:r>
              <w:rPr>
                <w:noProof/>
                <w:webHidden/>
              </w:rPr>
              <w:fldChar w:fldCharType="begin"/>
            </w:r>
            <w:r>
              <w:rPr>
                <w:noProof/>
                <w:webHidden/>
              </w:rPr>
              <w:instrText xml:space="preserve"> PAGEREF _Toc126660598 \h </w:instrText>
            </w:r>
            <w:r>
              <w:rPr>
                <w:noProof/>
                <w:webHidden/>
              </w:rPr>
            </w:r>
            <w:r>
              <w:rPr>
                <w:noProof/>
                <w:webHidden/>
              </w:rPr>
              <w:fldChar w:fldCharType="separate"/>
            </w:r>
            <w:r w:rsidR="00220724">
              <w:rPr>
                <w:noProof/>
                <w:webHidden/>
              </w:rPr>
              <w:t>41</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599" w:history="1">
            <w:r w:rsidRPr="00434959">
              <w:rPr>
                <w:rStyle w:val="Hipercze"/>
                <w:lang w:val="pl"/>
              </w:rPr>
              <w:t>3.  Wygaśnięcie czteromiesięcznego terminu</w:t>
            </w:r>
            <w:r>
              <w:rPr>
                <w:webHidden/>
              </w:rPr>
              <w:tab/>
            </w:r>
            <w:r>
              <w:rPr>
                <w:webHidden/>
              </w:rPr>
              <w:fldChar w:fldCharType="begin"/>
            </w:r>
            <w:r>
              <w:rPr>
                <w:webHidden/>
              </w:rPr>
              <w:instrText xml:space="preserve"> PAGEREF _Toc126660599 \h </w:instrText>
            </w:r>
            <w:r>
              <w:rPr>
                <w:webHidden/>
              </w:rPr>
            </w:r>
            <w:r>
              <w:rPr>
                <w:webHidden/>
              </w:rPr>
              <w:fldChar w:fldCharType="separate"/>
            </w:r>
            <w:r w:rsidR="00220724">
              <w:rPr>
                <w:webHidden/>
              </w:rPr>
              <w:t>42</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00" w:history="1">
            <w:r w:rsidRPr="00434959">
              <w:rPr>
                <w:rStyle w:val="Hipercze"/>
                <w:lang w:val="pl"/>
              </w:rPr>
              <w:t>4.  Data wniesienia skargi</w:t>
            </w:r>
            <w:r>
              <w:rPr>
                <w:webHidden/>
              </w:rPr>
              <w:tab/>
            </w:r>
            <w:r>
              <w:rPr>
                <w:webHidden/>
              </w:rPr>
              <w:fldChar w:fldCharType="begin"/>
            </w:r>
            <w:r>
              <w:rPr>
                <w:webHidden/>
              </w:rPr>
              <w:instrText xml:space="preserve"> PAGEREF _Toc126660600 \h </w:instrText>
            </w:r>
            <w:r>
              <w:rPr>
                <w:webHidden/>
              </w:rPr>
            </w:r>
            <w:r>
              <w:rPr>
                <w:webHidden/>
              </w:rPr>
              <w:fldChar w:fldCharType="separate"/>
            </w:r>
            <w:r w:rsidR="00220724">
              <w:rPr>
                <w:webHidden/>
              </w:rPr>
              <w:t>43</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1" w:history="1">
            <w:r w:rsidRPr="00434959">
              <w:rPr>
                <w:rStyle w:val="Hipercze"/>
                <w:noProof/>
                <w:lang w:val="pl"/>
              </w:rPr>
              <w:t>a.  Wypełniony formularz skargi</w:t>
            </w:r>
            <w:r>
              <w:rPr>
                <w:noProof/>
                <w:webHidden/>
              </w:rPr>
              <w:tab/>
            </w:r>
            <w:r>
              <w:rPr>
                <w:noProof/>
                <w:webHidden/>
              </w:rPr>
              <w:fldChar w:fldCharType="begin"/>
            </w:r>
            <w:r>
              <w:rPr>
                <w:noProof/>
                <w:webHidden/>
              </w:rPr>
              <w:instrText xml:space="preserve"> PAGEREF _Toc126660601 \h </w:instrText>
            </w:r>
            <w:r>
              <w:rPr>
                <w:noProof/>
                <w:webHidden/>
              </w:rPr>
            </w:r>
            <w:r>
              <w:rPr>
                <w:noProof/>
                <w:webHidden/>
              </w:rPr>
              <w:fldChar w:fldCharType="separate"/>
            </w:r>
            <w:r w:rsidR="00220724">
              <w:rPr>
                <w:noProof/>
                <w:webHidden/>
              </w:rPr>
              <w:t>43</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2" w:history="1">
            <w:r w:rsidRPr="00434959">
              <w:rPr>
                <w:rStyle w:val="Hipercze"/>
                <w:noProof/>
                <w:lang w:val="pl"/>
              </w:rPr>
              <w:t>b.  Data wysłania</w:t>
            </w:r>
            <w:r>
              <w:rPr>
                <w:noProof/>
                <w:webHidden/>
              </w:rPr>
              <w:tab/>
            </w:r>
            <w:r>
              <w:rPr>
                <w:noProof/>
                <w:webHidden/>
              </w:rPr>
              <w:fldChar w:fldCharType="begin"/>
            </w:r>
            <w:r>
              <w:rPr>
                <w:noProof/>
                <w:webHidden/>
              </w:rPr>
              <w:instrText xml:space="preserve"> PAGEREF _Toc126660602 \h </w:instrText>
            </w:r>
            <w:r>
              <w:rPr>
                <w:noProof/>
                <w:webHidden/>
              </w:rPr>
            </w:r>
            <w:r>
              <w:rPr>
                <w:noProof/>
                <w:webHidden/>
              </w:rPr>
              <w:fldChar w:fldCharType="separate"/>
            </w:r>
            <w:r w:rsidR="00220724">
              <w:rPr>
                <w:noProof/>
                <w:webHidden/>
              </w:rPr>
              <w:t>43</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3" w:history="1">
            <w:r w:rsidRPr="00434959">
              <w:rPr>
                <w:rStyle w:val="Hipercze"/>
                <w:noProof/>
                <w:lang w:val="pl"/>
              </w:rPr>
              <w:t>c.  Nadanie faksem</w:t>
            </w:r>
            <w:r>
              <w:rPr>
                <w:noProof/>
                <w:webHidden/>
              </w:rPr>
              <w:tab/>
            </w:r>
            <w:r>
              <w:rPr>
                <w:noProof/>
                <w:webHidden/>
              </w:rPr>
              <w:fldChar w:fldCharType="begin"/>
            </w:r>
            <w:r>
              <w:rPr>
                <w:noProof/>
                <w:webHidden/>
              </w:rPr>
              <w:instrText xml:space="preserve"> PAGEREF _Toc126660603 \h </w:instrText>
            </w:r>
            <w:r>
              <w:rPr>
                <w:noProof/>
                <w:webHidden/>
              </w:rPr>
            </w:r>
            <w:r>
              <w:rPr>
                <w:noProof/>
                <w:webHidden/>
              </w:rPr>
              <w:fldChar w:fldCharType="separate"/>
            </w:r>
            <w:r w:rsidR="00220724">
              <w:rPr>
                <w:noProof/>
                <w:webHidden/>
              </w:rPr>
              <w:t>44</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4" w:history="1">
            <w:r w:rsidRPr="00434959">
              <w:rPr>
                <w:rStyle w:val="Hipercze"/>
                <w:noProof/>
                <w:lang w:val="pl"/>
              </w:rPr>
              <w:t>d.  Charakterystyka skargi</w:t>
            </w:r>
            <w:r>
              <w:rPr>
                <w:noProof/>
                <w:webHidden/>
              </w:rPr>
              <w:tab/>
            </w:r>
            <w:r>
              <w:rPr>
                <w:noProof/>
                <w:webHidden/>
              </w:rPr>
              <w:fldChar w:fldCharType="begin"/>
            </w:r>
            <w:r>
              <w:rPr>
                <w:noProof/>
                <w:webHidden/>
              </w:rPr>
              <w:instrText xml:space="preserve"> PAGEREF _Toc126660604 \h </w:instrText>
            </w:r>
            <w:r>
              <w:rPr>
                <w:noProof/>
                <w:webHidden/>
              </w:rPr>
            </w:r>
            <w:r>
              <w:rPr>
                <w:noProof/>
                <w:webHidden/>
              </w:rPr>
              <w:fldChar w:fldCharType="separate"/>
            </w:r>
            <w:r w:rsidR="00220724">
              <w:rPr>
                <w:noProof/>
                <w:webHidden/>
              </w:rPr>
              <w:t>44</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5" w:history="1">
            <w:r w:rsidRPr="00434959">
              <w:rPr>
                <w:rStyle w:val="Hipercze"/>
                <w:noProof/>
                <w:lang w:val="pl"/>
              </w:rPr>
              <w:t>e.  Kolejne skargi</w:t>
            </w:r>
            <w:r>
              <w:rPr>
                <w:noProof/>
                <w:webHidden/>
              </w:rPr>
              <w:tab/>
            </w:r>
            <w:r>
              <w:rPr>
                <w:noProof/>
                <w:webHidden/>
              </w:rPr>
              <w:fldChar w:fldCharType="begin"/>
            </w:r>
            <w:r>
              <w:rPr>
                <w:noProof/>
                <w:webHidden/>
              </w:rPr>
              <w:instrText xml:space="preserve"> PAGEREF _Toc126660605 \h </w:instrText>
            </w:r>
            <w:r>
              <w:rPr>
                <w:noProof/>
                <w:webHidden/>
              </w:rPr>
            </w:r>
            <w:r>
              <w:rPr>
                <w:noProof/>
                <w:webHidden/>
              </w:rPr>
              <w:fldChar w:fldCharType="separate"/>
            </w:r>
            <w:r w:rsidR="00220724">
              <w:rPr>
                <w:noProof/>
                <w:webHidden/>
              </w:rPr>
              <w:t>44</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06" w:history="1">
            <w:r w:rsidRPr="00434959">
              <w:rPr>
                <w:rStyle w:val="Hipercze"/>
                <w:lang w:val="pl"/>
              </w:rPr>
              <w:t>5.  Szczególne sytuacje</w:t>
            </w:r>
            <w:r>
              <w:rPr>
                <w:webHidden/>
              </w:rPr>
              <w:tab/>
            </w:r>
            <w:r>
              <w:rPr>
                <w:webHidden/>
              </w:rPr>
              <w:fldChar w:fldCharType="begin"/>
            </w:r>
            <w:r>
              <w:rPr>
                <w:webHidden/>
              </w:rPr>
              <w:instrText xml:space="preserve"> PAGEREF _Toc126660606 \h </w:instrText>
            </w:r>
            <w:r>
              <w:rPr>
                <w:webHidden/>
              </w:rPr>
            </w:r>
            <w:r>
              <w:rPr>
                <w:webHidden/>
              </w:rPr>
              <w:fldChar w:fldCharType="separate"/>
            </w:r>
            <w:r w:rsidR="00220724">
              <w:rPr>
                <w:webHidden/>
              </w:rPr>
              <w:t>45</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7" w:history="1">
            <w:r w:rsidRPr="00434959">
              <w:rPr>
                <w:rStyle w:val="Hipercze"/>
                <w:noProof/>
                <w:lang w:val="pl-PL"/>
              </w:rPr>
              <w:t xml:space="preserve">a.  </w:t>
            </w:r>
            <w:r w:rsidRPr="00434959">
              <w:rPr>
                <w:rStyle w:val="Hipercze"/>
                <w:noProof/>
                <w:lang w:val="pl"/>
              </w:rPr>
              <w:t>Zastosowanie ograniczeń czasowych do utrzymujących się sytuacji dotyczących prawa do życia, mieszkania i własności</w:t>
            </w:r>
            <w:r>
              <w:rPr>
                <w:noProof/>
                <w:webHidden/>
              </w:rPr>
              <w:tab/>
            </w:r>
            <w:r>
              <w:rPr>
                <w:noProof/>
                <w:webHidden/>
              </w:rPr>
              <w:fldChar w:fldCharType="begin"/>
            </w:r>
            <w:r>
              <w:rPr>
                <w:noProof/>
                <w:webHidden/>
              </w:rPr>
              <w:instrText xml:space="preserve"> PAGEREF _Toc126660607 \h </w:instrText>
            </w:r>
            <w:r>
              <w:rPr>
                <w:noProof/>
                <w:webHidden/>
              </w:rPr>
            </w:r>
            <w:r>
              <w:rPr>
                <w:noProof/>
                <w:webHidden/>
              </w:rPr>
              <w:fldChar w:fldCharType="separate"/>
            </w:r>
            <w:r w:rsidR="00220724">
              <w:rPr>
                <w:noProof/>
                <w:webHidden/>
              </w:rPr>
              <w:t>45</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8" w:history="1">
            <w:r w:rsidRPr="00434959">
              <w:rPr>
                <w:rStyle w:val="Hipercze"/>
                <w:noProof/>
                <w:lang w:val="pl-PL"/>
              </w:rPr>
              <w:t xml:space="preserve">b.  </w:t>
            </w:r>
            <w:r w:rsidRPr="00434959">
              <w:rPr>
                <w:rStyle w:val="Hipercze"/>
                <w:noProof/>
                <w:lang w:val="pl"/>
              </w:rPr>
              <w:t>Zastosowanie ograniczenia czasowego w związku z brakiem skutecznego postępowania przygotowawczego w sprawie śmierci i złego traktowania</w:t>
            </w:r>
            <w:r>
              <w:rPr>
                <w:noProof/>
                <w:webHidden/>
              </w:rPr>
              <w:tab/>
            </w:r>
            <w:r>
              <w:rPr>
                <w:noProof/>
                <w:webHidden/>
              </w:rPr>
              <w:fldChar w:fldCharType="begin"/>
            </w:r>
            <w:r>
              <w:rPr>
                <w:noProof/>
                <w:webHidden/>
              </w:rPr>
              <w:instrText xml:space="preserve"> PAGEREF _Toc126660608 \h </w:instrText>
            </w:r>
            <w:r>
              <w:rPr>
                <w:noProof/>
                <w:webHidden/>
              </w:rPr>
            </w:r>
            <w:r>
              <w:rPr>
                <w:noProof/>
                <w:webHidden/>
              </w:rPr>
              <w:fldChar w:fldCharType="separate"/>
            </w:r>
            <w:r w:rsidR="00220724">
              <w:rPr>
                <w:noProof/>
                <w:webHidden/>
              </w:rPr>
              <w:t>46</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09" w:history="1">
            <w:r w:rsidRPr="00434959">
              <w:rPr>
                <w:rStyle w:val="Hipercze"/>
                <w:noProof/>
                <w:lang w:val="pl"/>
              </w:rPr>
              <w:t>c.  Zastosowanie zasady czteromiesięcznego terminu w odniesieniu do warunków pozbawienia wolności</w:t>
            </w:r>
            <w:r>
              <w:rPr>
                <w:noProof/>
                <w:webHidden/>
              </w:rPr>
              <w:tab/>
            </w:r>
            <w:r>
              <w:rPr>
                <w:noProof/>
                <w:webHidden/>
              </w:rPr>
              <w:fldChar w:fldCharType="begin"/>
            </w:r>
            <w:r>
              <w:rPr>
                <w:noProof/>
                <w:webHidden/>
              </w:rPr>
              <w:instrText xml:space="preserve"> PAGEREF _Toc126660609 \h </w:instrText>
            </w:r>
            <w:r>
              <w:rPr>
                <w:noProof/>
                <w:webHidden/>
              </w:rPr>
            </w:r>
            <w:r>
              <w:rPr>
                <w:noProof/>
                <w:webHidden/>
              </w:rPr>
              <w:fldChar w:fldCharType="separate"/>
            </w:r>
            <w:r w:rsidR="00220724">
              <w:rPr>
                <w:noProof/>
                <w:webHidden/>
              </w:rPr>
              <w:t>47</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10" w:history="1">
            <w:r w:rsidRPr="00434959">
              <w:rPr>
                <w:rStyle w:val="Hipercze"/>
                <w:noProof/>
                <w:lang w:val="pl-PL"/>
              </w:rPr>
              <w:t xml:space="preserve">d.  </w:t>
            </w:r>
            <w:r w:rsidRPr="00434959">
              <w:rPr>
                <w:rStyle w:val="Hipercze"/>
                <w:noProof/>
                <w:lang w:val="pl"/>
              </w:rPr>
              <w:t>Warunki zastosowania zasady czteromiesięcznego terminu w przypadku kilku okresów pozbawienia wolności zgodnie z art. 5 ust. 3 Konwencji</w:t>
            </w:r>
            <w:r>
              <w:rPr>
                <w:noProof/>
                <w:webHidden/>
              </w:rPr>
              <w:tab/>
            </w:r>
            <w:r>
              <w:rPr>
                <w:noProof/>
                <w:webHidden/>
              </w:rPr>
              <w:fldChar w:fldCharType="begin"/>
            </w:r>
            <w:r>
              <w:rPr>
                <w:noProof/>
                <w:webHidden/>
              </w:rPr>
              <w:instrText xml:space="preserve"> PAGEREF _Toc126660610 \h </w:instrText>
            </w:r>
            <w:r>
              <w:rPr>
                <w:noProof/>
                <w:webHidden/>
              </w:rPr>
            </w:r>
            <w:r>
              <w:rPr>
                <w:noProof/>
                <w:webHidden/>
              </w:rPr>
              <w:fldChar w:fldCharType="separate"/>
            </w:r>
            <w:r w:rsidR="00220724">
              <w:rPr>
                <w:noProof/>
                <w:webHidden/>
              </w:rPr>
              <w:t>47</w:t>
            </w:r>
            <w:r>
              <w:rPr>
                <w:noProof/>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11" w:history="1">
            <w:r w:rsidRPr="00434959">
              <w:rPr>
                <w:rStyle w:val="Hipercze"/>
                <w:noProof/>
                <w:lang w:val="pl"/>
              </w:rPr>
              <w:t>C. Skarga anonimowa</w:t>
            </w:r>
            <w:r>
              <w:rPr>
                <w:noProof/>
                <w:webHidden/>
              </w:rPr>
              <w:tab/>
            </w:r>
            <w:r>
              <w:rPr>
                <w:noProof/>
                <w:webHidden/>
              </w:rPr>
              <w:fldChar w:fldCharType="begin"/>
            </w:r>
            <w:r>
              <w:rPr>
                <w:noProof/>
                <w:webHidden/>
              </w:rPr>
              <w:instrText xml:space="preserve"> PAGEREF _Toc126660611 \h </w:instrText>
            </w:r>
            <w:r>
              <w:rPr>
                <w:noProof/>
                <w:webHidden/>
              </w:rPr>
            </w:r>
            <w:r>
              <w:rPr>
                <w:noProof/>
                <w:webHidden/>
              </w:rPr>
              <w:fldChar w:fldCharType="separate"/>
            </w:r>
            <w:r w:rsidR="00220724">
              <w:rPr>
                <w:noProof/>
                <w:webHidden/>
              </w:rPr>
              <w:t>48</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12" w:history="1">
            <w:r w:rsidRPr="00434959">
              <w:rPr>
                <w:rStyle w:val="Hipercze"/>
                <w:lang w:val="pl"/>
              </w:rPr>
              <w:t>1.</w:t>
            </w:r>
            <w:r>
              <w:rPr>
                <w:rFonts w:eastAsiaTheme="minorEastAsia" w:cstheme="minorBidi"/>
                <w:iCs w:val="0"/>
                <w:color w:val="auto"/>
                <w:lang w:val="en-GB" w:eastAsia="en-GB" w:bidi="ar-SA"/>
              </w:rPr>
              <w:tab/>
            </w:r>
            <w:r w:rsidRPr="00434959">
              <w:rPr>
                <w:rStyle w:val="Hipercze"/>
                <w:lang w:val="pl"/>
              </w:rPr>
              <w:t>Skarga anonimowa</w:t>
            </w:r>
            <w:r>
              <w:rPr>
                <w:webHidden/>
              </w:rPr>
              <w:tab/>
            </w:r>
            <w:r>
              <w:rPr>
                <w:webHidden/>
              </w:rPr>
              <w:fldChar w:fldCharType="begin"/>
            </w:r>
            <w:r>
              <w:rPr>
                <w:webHidden/>
              </w:rPr>
              <w:instrText xml:space="preserve"> PAGEREF _Toc126660612 \h </w:instrText>
            </w:r>
            <w:r>
              <w:rPr>
                <w:webHidden/>
              </w:rPr>
            </w:r>
            <w:r>
              <w:rPr>
                <w:webHidden/>
              </w:rPr>
              <w:fldChar w:fldCharType="separate"/>
            </w:r>
            <w:r w:rsidR="00220724">
              <w:rPr>
                <w:webHidden/>
              </w:rPr>
              <w:t>48</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13" w:history="1">
            <w:r w:rsidRPr="00434959">
              <w:rPr>
                <w:rStyle w:val="Hipercze"/>
                <w:lang w:val="pl"/>
              </w:rPr>
              <w:t>2.</w:t>
            </w:r>
            <w:r>
              <w:rPr>
                <w:rFonts w:eastAsiaTheme="minorEastAsia" w:cstheme="minorBidi"/>
                <w:iCs w:val="0"/>
                <w:color w:val="auto"/>
                <w:lang w:val="en-GB" w:eastAsia="en-GB" w:bidi="ar-SA"/>
              </w:rPr>
              <w:tab/>
            </w:r>
            <w:r w:rsidRPr="00434959">
              <w:rPr>
                <w:rStyle w:val="Hipercze"/>
                <w:lang w:val="pl"/>
              </w:rPr>
              <w:t>Skarga nieanonimowa</w:t>
            </w:r>
            <w:r>
              <w:rPr>
                <w:webHidden/>
              </w:rPr>
              <w:tab/>
            </w:r>
            <w:r>
              <w:rPr>
                <w:webHidden/>
              </w:rPr>
              <w:fldChar w:fldCharType="begin"/>
            </w:r>
            <w:r>
              <w:rPr>
                <w:webHidden/>
              </w:rPr>
              <w:instrText xml:space="preserve"> PAGEREF _Toc126660613 \h </w:instrText>
            </w:r>
            <w:r>
              <w:rPr>
                <w:webHidden/>
              </w:rPr>
            </w:r>
            <w:r>
              <w:rPr>
                <w:webHidden/>
              </w:rPr>
              <w:fldChar w:fldCharType="separate"/>
            </w:r>
            <w:r w:rsidR="00220724">
              <w:rPr>
                <w:webHidden/>
              </w:rPr>
              <w:t>48</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14" w:history="1">
            <w:r w:rsidRPr="00434959">
              <w:rPr>
                <w:rStyle w:val="Hipercze"/>
                <w:noProof/>
                <w:lang w:val="pl"/>
              </w:rPr>
              <w:t>D. Skarga identyczna co do istoty</w:t>
            </w:r>
            <w:r>
              <w:rPr>
                <w:noProof/>
                <w:webHidden/>
              </w:rPr>
              <w:tab/>
            </w:r>
            <w:r>
              <w:rPr>
                <w:noProof/>
                <w:webHidden/>
              </w:rPr>
              <w:fldChar w:fldCharType="begin"/>
            </w:r>
            <w:r>
              <w:rPr>
                <w:noProof/>
                <w:webHidden/>
              </w:rPr>
              <w:instrText xml:space="preserve"> PAGEREF _Toc126660614 \h </w:instrText>
            </w:r>
            <w:r>
              <w:rPr>
                <w:noProof/>
                <w:webHidden/>
              </w:rPr>
            </w:r>
            <w:r>
              <w:rPr>
                <w:noProof/>
                <w:webHidden/>
              </w:rPr>
              <w:fldChar w:fldCharType="separate"/>
            </w:r>
            <w:r w:rsidR="00220724">
              <w:rPr>
                <w:noProof/>
                <w:webHidden/>
              </w:rPr>
              <w:t>49</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15" w:history="1">
            <w:r w:rsidRPr="00434959">
              <w:rPr>
                <w:rStyle w:val="Hipercze"/>
                <w:lang w:val="pl"/>
              </w:rPr>
              <w:t>1.  Skarga co do istoty identyczna ze sprawą już rozpatrzoną przez Trybunał</w:t>
            </w:r>
            <w:r>
              <w:rPr>
                <w:webHidden/>
              </w:rPr>
              <w:tab/>
            </w:r>
            <w:r>
              <w:rPr>
                <w:webHidden/>
              </w:rPr>
              <w:fldChar w:fldCharType="begin"/>
            </w:r>
            <w:r>
              <w:rPr>
                <w:webHidden/>
              </w:rPr>
              <w:instrText xml:space="preserve"> PAGEREF _Toc126660615 \h </w:instrText>
            </w:r>
            <w:r>
              <w:rPr>
                <w:webHidden/>
              </w:rPr>
            </w:r>
            <w:r>
              <w:rPr>
                <w:webHidden/>
              </w:rPr>
              <w:fldChar w:fldCharType="separate"/>
            </w:r>
            <w:r w:rsidR="00220724">
              <w:rPr>
                <w:webHidden/>
              </w:rPr>
              <w:t>49</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16" w:history="1">
            <w:r w:rsidRPr="00434959">
              <w:rPr>
                <w:rStyle w:val="Hipercze"/>
                <w:lang w:val="pl"/>
              </w:rPr>
              <w:t>2.  Skarga co do istoty identyczna ze sprawą, która została poddana innej międzynarodowej procedurze dochodzenia lub rozstrzygnięcia</w:t>
            </w:r>
            <w:r>
              <w:rPr>
                <w:webHidden/>
              </w:rPr>
              <w:tab/>
            </w:r>
            <w:r>
              <w:rPr>
                <w:webHidden/>
              </w:rPr>
              <w:fldChar w:fldCharType="begin"/>
            </w:r>
            <w:r>
              <w:rPr>
                <w:webHidden/>
              </w:rPr>
              <w:instrText xml:space="preserve"> PAGEREF _Toc126660616 \h </w:instrText>
            </w:r>
            <w:r>
              <w:rPr>
                <w:webHidden/>
              </w:rPr>
            </w:r>
            <w:r>
              <w:rPr>
                <w:webHidden/>
              </w:rPr>
              <w:fldChar w:fldCharType="separate"/>
            </w:r>
            <w:r w:rsidR="00220724">
              <w:rPr>
                <w:webHidden/>
              </w:rPr>
              <w:t>50</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17" w:history="1">
            <w:r w:rsidRPr="00434959">
              <w:rPr>
                <w:rStyle w:val="Hipercze"/>
                <w:noProof/>
                <w:lang w:val="pl"/>
              </w:rPr>
              <w:t>a.  Ocena podobieństwa spraw</w:t>
            </w:r>
            <w:r>
              <w:rPr>
                <w:noProof/>
                <w:webHidden/>
              </w:rPr>
              <w:tab/>
            </w:r>
            <w:r>
              <w:rPr>
                <w:noProof/>
                <w:webHidden/>
              </w:rPr>
              <w:fldChar w:fldCharType="begin"/>
            </w:r>
            <w:r>
              <w:rPr>
                <w:noProof/>
                <w:webHidden/>
              </w:rPr>
              <w:instrText xml:space="preserve"> PAGEREF _Toc126660617 \h </w:instrText>
            </w:r>
            <w:r>
              <w:rPr>
                <w:noProof/>
                <w:webHidden/>
              </w:rPr>
            </w:r>
            <w:r>
              <w:rPr>
                <w:noProof/>
                <w:webHidden/>
              </w:rPr>
              <w:fldChar w:fldCharType="separate"/>
            </w:r>
            <w:r w:rsidR="00220724">
              <w:rPr>
                <w:noProof/>
                <w:webHidden/>
              </w:rPr>
              <w:t>50</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18" w:history="1">
            <w:r w:rsidRPr="00434959">
              <w:rPr>
                <w:rStyle w:val="Hipercze"/>
                <w:noProof/>
                <w:lang w:val="pl"/>
              </w:rPr>
              <w:t>b.  Pojęcie „innej międzynarodowej procedury dochodzenia lub rozstrzygnięcia”</w:t>
            </w:r>
            <w:r>
              <w:rPr>
                <w:noProof/>
                <w:webHidden/>
              </w:rPr>
              <w:tab/>
            </w:r>
            <w:r>
              <w:rPr>
                <w:noProof/>
                <w:webHidden/>
              </w:rPr>
              <w:fldChar w:fldCharType="begin"/>
            </w:r>
            <w:r>
              <w:rPr>
                <w:noProof/>
                <w:webHidden/>
              </w:rPr>
              <w:instrText xml:space="preserve"> PAGEREF _Toc126660618 \h </w:instrText>
            </w:r>
            <w:r>
              <w:rPr>
                <w:noProof/>
                <w:webHidden/>
              </w:rPr>
            </w:r>
            <w:r>
              <w:rPr>
                <w:noProof/>
                <w:webHidden/>
              </w:rPr>
              <w:fldChar w:fldCharType="separate"/>
            </w:r>
            <w:r w:rsidR="00220724">
              <w:rPr>
                <w:noProof/>
                <w:webHidden/>
              </w:rPr>
              <w:t>51</w:t>
            </w:r>
            <w:r>
              <w:rPr>
                <w:noProof/>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19" w:history="1">
            <w:r w:rsidRPr="00434959">
              <w:rPr>
                <w:rStyle w:val="Hipercze"/>
                <w:noProof/>
                <w:lang w:val="pl"/>
              </w:rPr>
              <w:t>E. Nadużycie prawa do skargi</w:t>
            </w:r>
            <w:r>
              <w:rPr>
                <w:noProof/>
                <w:webHidden/>
              </w:rPr>
              <w:tab/>
            </w:r>
            <w:r>
              <w:rPr>
                <w:noProof/>
                <w:webHidden/>
              </w:rPr>
              <w:fldChar w:fldCharType="begin"/>
            </w:r>
            <w:r>
              <w:rPr>
                <w:noProof/>
                <w:webHidden/>
              </w:rPr>
              <w:instrText xml:space="preserve"> PAGEREF _Toc126660619 \h </w:instrText>
            </w:r>
            <w:r>
              <w:rPr>
                <w:noProof/>
                <w:webHidden/>
              </w:rPr>
            </w:r>
            <w:r>
              <w:rPr>
                <w:noProof/>
                <w:webHidden/>
              </w:rPr>
              <w:fldChar w:fldCharType="separate"/>
            </w:r>
            <w:r w:rsidR="00220724">
              <w:rPr>
                <w:noProof/>
                <w:webHidden/>
              </w:rPr>
              <w:t>52</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0" w:history="1">
            <w:r w:rsidRPr="00434959">
              <w:rPr>
                <w:rStyle w:val="Hipercze"/>
                <w:lang w:val="pl"/>
              </w:rPr>
              <w:t>1.  Ogólna definicja</w:t>
            </w:r>
            <w:r>
              <w:rPr>
                <w:webHidden/>
              </w:rPr>
              <w:tab/>
            </w:r>
            <w:r>
              <w:rPr>
                <w:webHidden/>
              </w:rPr>
              <w:fldChar w:fldCharType="begin"/>
            </w:r>
            <w:r>
              <w:rPr>
                <w:webHidden/>
              </w:rPr>
              <w:instrText xml:space="preserve"> PAGEREF _Toc126660620 \h </w:instrText>
            </w:r>
            <w:r>
              <w:rPr>
                <w:webHidden/>
              </w:rPr>
            </w:r>
            <w:r>
              <w:rPr>
                <w:webHidden/>
              </w:rPr>
              <w:fldChar w:fldCharType="separate"/>
            </w:r>
            <w:r w:rsidR="00220724">
              <w:rPr>
                <w:webHidden/>
              </w:rPr>
              <w:t>52</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1" w:history="1">
            <w:r w:rsidRPr="00434959">
              <w:rPr>
                <w:rStyle w:val="Hipercze"/>
                <w:lang w:val="pl"/>
              </w:rPr>
              <w:t>2.  Wprowadzanie Trybunału w błąd</w:t>
            </w:r>
            <w:r>
              <w:rPr>
                <w:webHidden/>
              </w:rPr>
              <w:tab/>
            </w:r>
            <w:r>
              <w:rPr>
                <w:webHidden/>
              </w:rPr>
              <w:fldChar w:fldCharType="begin"/>
            </w:r>
            <w:r>
              <w:rPr>
                <w:webHidden/>
              </w:rPr>
              <w:instrText xml:space="preserve"> PAGEREF _Toc126660621 \h </w:instrText>
            </w:r>
            <w:r>
              <w:rPr>
                <w:webHidden/>
              </w:rPr>
            </w:r>
            <w:r>
              <w:rPr>
                <w:webHidden/>
              </w:rPr>
              <w:fldChar w:fldCharType="separate"/>
            </w:r>
            <w:r w:rsidR="00220724">
              <w:rPr>
                <w:webHidden/>
              </w:rPr>
              <w:t>52</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2" w:history="1">
            <w:r w:rsidRPr="00434959">
              <w:rPr>
                <w:rStyle w:val="Hipercze"/>
                <w:lang w:val="pl"/>
              </w:rPr>
              <w:t>3.  Obraźliwy język</w:t>
            </w:r>
            <w:r>
              <w:rPr>
                <w:webHidden/>
              </w:rPr>
              <w:tab/>
            </w:r>
            <w:r>
              <w:rPr>
                <w:webHidden/>
              </w:rPr>
              <w:fldChar w:fldCharType="begin"/>
            </w:r>
            <w:r>
              <w:rPr>
                <w:webHidden/>
              </w:rPr>
              <w:instrText xml:space="preserve"> PAGEREF _Toc126660622 \h </w:instrText>
            </w:r>
            <w:r>
              <w:rPr>
                <w:webHidden/>
              </w:rPr>
            </w:r>
            <w:r>
              <w:rPr>
                <w:webHidden/>
              </w:rPr>
              <w:fldChar w:fldCharType="separate"/>
            </w:r>
            <w:r w:rsidR="00220724">
              <w:rPr>
                <w:webHidden/>
              </w:rPr>
              <w:t>53</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3" w:history="1">
            <w:r w:rsidRPr="00434959">
              <w:rPr>
                <w:rStyle w:val="Hipercze"/>
                <w:lang w:val="pl"/>
              </w:rPr>
              <w:t>4.  Naruszenie zasady poufności procedury polubownego rozstrzygania sporów</w:t>
            </w:r>
            <w:r>
              <w:rPr>
                <w:webHidden/>
              </w:rPr>
              <w:tab/>
            </w:r>
            <w:r>
              <w:rPr>
                <w:webHidden/>
              </w:rPr>
              <w:fldChar w:fldCharType="begin"/>
            </w:r>
            <w:r>
              <w:rPr>
                <w:webHidden/>
              </w:rPr>
              <w:instrText xml:space="preserve"> PAGEREF _Toc126660623 \h </w:instrText>
            </w:r>
            <w:r>
              <w:rPr>
                <w:webHidden/>
              </w:rPr>
            </w:r>
            <w:r>
              <w:rPr>
                <w:webHidden/>
              </w:rPr>
              <w:fldChar w:fldCharType="separate"/>
            </w:r>
            <w:r w:rsidR="00220724">
              <w:rPr>
                <w:webHidden/>
              </w:rPr>
              <w:t>54</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4" w:history="1">
            <w:r w:rsidRPr="00434959">
              <w:rPr>
                <w:rStyle w:val="Hipercze"/>
                <w:lang w:val="pl"/>
              </w:rPr>
              <w:t>5.  Skarga w sposób oczywisty wniesiona w złej wierze lub pozbawiona rzeczywistego celu</w:t>
            </w:r>
            <w:r>
              <w:rPr>
                <w:webHidden/>
              </w:rPr>
              <w:tab/>
            </w:r>
            <w:r>
              <w:rPr>
                <w:webHidden/>
              </w:rPr>
              <w:fldChar w:fldCharType="begin"/>
            </w:r>
            <w:r>
              <w:rPr>
                <w:webHidden/>
              </w:rPr>
              <w:instrText xml:space="preserve"> PAGEREF _Toc126660624 \h </w:instrText>
            </w:r>
            <w:r>
              <w:rPr>
                <w:webHidden/>
              </w:rPr>
            </w:r>
            <w:r>
              <w:rPr>
                <w:webHidden/>
              </w:rPr>
              <w:fldChar w:fldCharType="separate"/>
            </w:r>
            <w:r w:rsidR="00220724">
              <w:rPr>
                <w:webHidden/>
              </w:rPr>
              <w:t>55</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5" w:history="1">
            <w:r w:rsidRPr="00434959">
              <w:rPr>
                <w:rStyle w:val="Hipercze"/>
                <w:lang w:val="pl"/>
              </w:rPr>
              <w:t>6.  Inne przypadki</w:t>
            </w:r>
            <w:r>
              <w:rPr>
                <w:webHidden/>
              </w:rPr>
              <w:tab/>
            </w:r>
            <w:r>
              <w:rPr>
                <w:webHidden/>
              </w:rPr>
              <w:fldChar w:fldCharType="begin"/>
            </w:r>
            <w:r>
              <w:rPr>
                <w:webHidden/>
              </w:rPr>
              <w:instrText xml:space="preserve"> PAGEREF _Toc126660625 \h </w:instrText>
            </w:r>
            <w:r>
              <w:rPr>
                <w:webHidden/>
              </w:rPr>
            </w:r>
            <w:r>
              <w:rPr>
                <w:webHidden/>
              </w:rPr>
              <w:fldChar w:fldCharType="separate"/>
            </w:r>
            <w:r w:rsidR="00220724">
              <w:rPr>
                <w:webHidden/>
              </w:rPr>
              <w:t>55</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6" w:history="1">
            <w:r w:rsidRPr="00434959">
              <w:rPr>
                <w:rStyle w:val="Hipercze"/>
                <w:lang w:val="pl"/>
              </w:rPr>
              <w:t>7.  Podejście, jakie powinien przyjąć pozwany rząd</w:t>
            </w:r>
            <w:r>
              <w:rPr>
                <w:webHidden/>
              </w:rPr>
              <w:tab/>
            </w:r>
            <w:r>
              <w:rPr>
                <w:webHidden/>
              </w:rPr>
              <w:fldChar w:fldCharType="begin"/>
            </w:r>
            <w:r>
              <w:rPr>
                <w:webHidden/>
              </w:rPr>
              <w:instrText xml:space="preserve"> PAGEREF _Toc126660626 \h </w:instrText>
            </w:r>
            <w:r>
              <w:rPr>
                <w:webHidden/>
              </w:rPr>
            </w:r>
            <w:r>
              <w:rPr>
                <w:webHidden/>
              </w:rPr>
              <w:fldChar w:fldCharType="separate"/>
            </w:r>
            <w:r w:rsidR="00220724">
              <w:rPr>
                <w:webHidden/>
              </w:rPr>
              <w:t>56</w:t>
            </w:r>
            <w:r>
              <w:rPr>
                <w:webHidden/>
              </w:rPr>
              <w:fldChar w:fldCharType="end"/>
            </w:r>
          </w:hyperlink>
        </w:p>
        <w:p w:rsidR="00356BC9" w:rsidRDefault="00356BC9">
          <w:pPr>
            <w:pStyle w:val="Spistreci1"/>
            <w:rPr>
              <w:rFonts w:eastAsiaTheme="minorEastAsia" w:cstheme="minorBidi"/>
              <w:b w:val="0"/>
              <w:bCs w:val="0"/>
              <w:color w:val="auto"/>
              <w:sz w:val="22"/>
              <w:szCs w:val="22"/>
              <w:lang w:val="en-GB" w:eastAsia="en-GB" w:bidi="ar-SA"/>
            </w:rPr>
          </w:pPr>
          <w:hyperlink w:anchor="_Toc126660627" w:history="1">
            <w:r w:rsidRPr="00434959">
              <w:rPr>
                <w:rStyle w:val="Hipercze"/>
                <w:lang w:val="pl-PL"/>
              </w:rPr>
              <w:t xml:space="preserve">II.  </w:t>
            </w:r>
            <w:r w:rsidRPr="00434959">
              <w:rPr>
                <w:rStyle w:val="Hipercze"/>
              </w:rPr>
              <w:t>Podstawy niedopuszczalności odnoszące się do właściwości Trybunału</w:t>
            </w:r>
            <w:r>
              <w:rPr>
                <w:webHidden/>
              </w:rPr>
              <w:tab/>
            </w:r>
            <w:r>
              <w:rPr>
                <w:webHidden/>
              </w:rPr>
              <w:fldChar w:fldCharType="begin"/>
            </w:r>
            <w:r>
              <w:rPr>
                <w:webHidden/>
              </w:rPr>
              <w:instrText xml:space="preserve"> PAGEREF _Toc126660627 \h </w:instrText>
            </w:r>
            <w:r>
              <w:rPr>
                <w:webHidden/>
              </w:rPr>
            </w:r>
            <w:r>
              <w:rPr>
                <w:webHidden/>
              </w:rPr>
              <w:fldChar w:fldCharType="separate"/>
            </w:r>
            <w:r w:rsidR="00220724">
              <w:rPr>
                <w:webHidden/>
              </w:rPr>
              <w:t>56</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28" w:history="1">
            <w:r w:rsidRPr="00434959">
              <w:rPr>
                <w:rStyle w:val="Hipercze"/>
                <w:noProof/>
                <w:lang w:val="pl"/>
              </w:rPr>
              <w:t xml:space="preserve">A. Niezgodność </w:t>
            </w:r>
            <w:r w:rsidRPr="00434959">
              <w:rPr>
                <w:rStyle w:val="Hipercze"/>
                <w:i/>
                <w:iCs/>
                <w:noProof/>
                <w:lang w:val="pl"/>
              </w:rPr>
              <w:t>ratione personae</w:t>
            </w:r>
            <w:r>
              <w:rPr>
                <w:noProof/>
                <w:webHidden/>
              </w:rPr>
              <w:tab/>
            </w:r>
            <w:r>
              <w:rPr>
                <w:noProof/>
                <w:webHidden/>
              </w:rPr>
              <w:fldChar w:fldCharType="begin"/>
            </w:r>
            <w:r>
              <w:rPr>
                <w:noProof/>
                <w:webHidden/>
              </w:rPr>
              <w:instrText xml:space="preserve"> PAGEREF _Toc126660628 \h </w:instrText>
            </w:r>
            <w:r>
              <w:rPr>
                <w:noProof/>
                <w:webHidden/>
              </w:rPr>
            </w:r>
            <w:r>
              <w:rPr>
                <w:noProof/>
                <w:webHidden/>
              </w:rPr>
              <w:fldChar w:fldCharType="separate"/>
            </w:r>
            <w:r w:rsidR="00220724">
              <w:rPr>
                <w:noProof/>
                <w:webHidden/>
              </w:rPr>
              <w:t>56</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29" w:history="1">
            <w:r w:rsidRPr="00434959">
              <w:rPr>
                <w:rStyle w:val="Hipercze"/>
                <w:lang w:val="pl"/>
              </w:rPr>
              <w:t>1.  Zasady</w:t>
            </w:r>
            <w:r>
              <w:rPr>
                <w:webHidden/>
              </w:rPr>
              <w:tab/>
            </w:r>
            <w:r>
              <w:rPr>
                <w:webHidden/>
              </w:rPr>
              <w:fldChar w:fldCharType="begin"/>
            </w:r>
            <w:r>
              <w:rPr>
                <w:webHidden/>
              </w:rPr>
              <w:instrText xml:space="preserve"> PAGEREF _Toc126660629 \h </w:instrText>
            </w:r>
            <w:r>
              <w:rPr>
                <w:webHidden/>
              </w:rPr>
            </w:r>
            <w:r>
              <w:rPr>
                <w:webHidden/>
              </w:rPr>
              <w:fldChar w:fldCharType="separate"/>
            </w:r>
            <w:r w:rsidR="00220724">
              <w:rPr>
                <w:webHidden/>
              </w:rPr>
              <w:t>56</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0" w:history="1">
            <w:r w:rsidRPr="00434959">
              <w:rPr>
                <w:rStyle w:val="Hipercze"/>
                <w:lang w:val="pl"/>
              </w:rPr>
              <w:t>2.  Jurysdykcja</w:t>
            </w:r>
            <w:r>
              <w:rPr>
                <w:webHidden/>
              </w:rPr>
              <w:tab/>
            </w:r>
            <w:r>
              <w:rPr>
                <w:webHidden/>
              </w:rPr>
              <w:fldChar w:fldCharType="begin"/>
            </w:r>
            <w:r>
              <w:rPr>
                <w:webHidden/>
              </w:rPr>
              <w:instrText xml:space="preserve"> PAGEREF _Toc126660630 \h </w:instrText>
            </w:r>
            <w:r>
              <w:rPr>
                <w:webHidden/>
              </w:rPr>
            </w:r>
            <w:r>
              <w:rPr>
                <w:webHidden/>
              </w:rPr>
              <w:fldChar w:fldCharType="separate"/>
            </w:r>
            <w:r w:rsidR="00220724">
              <w:rPr>
                <w:webHidden/>
              </w:rPr>
              <w:t>57</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1" w:history="1">
            <w:r w:rsidRPr="00434959">
              <w:rPr>
                <w:rStyle w:val="Hipercze"/>
                <w:lang w:val="pl"/>
              </w:rPr>
              <w:t>3.  Odpowiedzialność i przyczynowość</w:t>
            </w:r>
            <w:r>
              <w:rPr>
                <w:webHidden/>
              </w:rPr>
              <w:tab/>
            </w:r>
            <w:r>
              <w:rPr>
                <w:webHidden/>
              </w:rPr>
              <w:fldChar w:fldCharType="begin"/>
            </w:r>
            <w:r>
              <w:rPr>
                <w:webHidden/>
              </w:rPr>
              <w:instrText xml:space="preserve"> PAGEREF _Toc126660631 \h </w:instrText>
            </w:r>
            <w:r>
              <w:rPr>
                <w:webHidden/>
              </w:rPr>
            </w:r>
            <w:r>
              <w:rPr>
                <w:webHidden/>
              </w:rPr>
              <w:fldChar w:fldCharType="separate"/>
            </w:r>
            <w:r w:rsidR="00220724">
              <w:rPr>
                <w:webHidden/>
              </w:rPr>
              <w:t>60</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2" w:history="1">
            <w:r w:rsidRPr="00434959">
              <w:rPr>
                <w:rStyle w:val="Hipercze"/>
                <w:lang w:val="pl"/>
              </w:rPr>
              <w:t>4.  Kwestie dotyczące możliwej odpowiedzialności państw-stron Konwencji z tytułu działań lub zaniechań związanych z ich członkostwem w organizacji międzynarodowej</w:t>
            </w:r>
            <w:r>
              <w:rPr>
                <w:webHidden/>
              </w:rPr>
              <w:tab/>
            </w:r>
            <w:r>
              <w:rPr>
                <w:webHidden/>
              </w:rPr>
              <w:fldChar w:fldCharType="begin"/>
            </w:r>
            <w:r>
              <w:rPr>
                <w:webHidden/>
              </w:rPr>
              <w:instrText xml:space="preserve"> PAGEREF _Toc126660632 \h </w:instrText>
            </w:r>
            <w:r>
              <w:rPr>
                <w:webHidden/>
              </w:rPr>
            </w:r>
            <w:r>
              <w:rPr>
                <w:webHidden/>
              </w:rPr>
              <w:fldChar w:fldCharType="separate"/>
            </w:r>
            <w:r w:rsidR="00220724">
              <w:rPr>
                <w:webHidden/>
              </w:rPr>
              <w:t>61</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33" w:history="1">
            <w:r w:rsidRPr="00434959">
              <w:rPr>
                <w:rStyle w:val="Hipercze"/>
                <w:noProof/>
                <w:lang w:val="pl"/>
              </w:rPr>
              <w:t xml:space="preserve">B. Niezgodność </w:t>
            </w:r>
            <w:r w:rsidRPr="00434959">
              <w:rPr>
                <w:rStyle w:val="Hipercze"/>
                <w:i/>
                <w:iCs/>
                <w:noProof/>
                <w:lang w:val="pl"/>
              </w:rPr>
              <w:t>ratione loci</w:t>
            </w:r>
            <w:r>
              <w:rPr>
                <w:noProof/>
                <w:webHidden/>
              </w:rPr>
              <w:tab/>
            </w:r>
            <w:r>
              <w:rPr>
                <w:noProof/>
                <w:webHidden/>
              </w:rPr>
              <w:fldChar w:fldCharType="begin"/>
            </w:r>
            <w:r>
              <w:rPr>
                <w:noProof/>
                <w:webHidden/>
              </w:rPr>
              <w:instrText xml:space="preserve"> PAGEREF _Toc126660633 \h </w:instrText>
            </w:r>
            <w:r>
              <w:rPr>
                <w:noProof/>
                <w:webHidden/>
              </w:rPr>
            </w:r>
            <w:r>
              <w:rPr>
                <w:noProof/>
                <w:webHidden/>
              </w:rPr>
              <w:fldChar w:fldCharType="separate"/>
            </w:r>
            <w:r w:rsidR="00220724">
              <w:rPr>
                <w:noProof/>
                <w:webHidden/>
              </w:rPr>
              <w:t>63</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4" w:history="1">
            <w:r w:rsidRPr="00434959">
              <w:rPr>
                <w:rStyle w:val="Hipercze"/>
                <w:lang w:val="pl"/>
              </w:rPr>
              <w:t>1.  Zasady</w:t>
            </w:r>
            <w:r>
              <w:rPr>
                <w:webHidden/>
              </w:rPr>
              <w:tab/>
            </w:r>
            <w:r>
              <w:rPr>
                <w:webHidden/>
              </w:rPr>
              <w:fldChar w:fldCharType="begin"/>
            </w:r>
            <w:r>
              <w:rPr>
                <w:webHidden/>
              </w:rPr>
              <w:instrText xml:space="preserve"> PAGEREF _Toc126660634 \h </w:instrText>
            </w:r>
            <w:r>
              <w:rPr>
                <w:webHidden/>
              </w:rPr>
            </w:r>
            <w:r>
              <w:rPr>
                <w:webHidden/>
              </w:rPr>
              <w:fldChar w:fldCharType="separate"/>
            </w:r>
            <w:r w:rsidR="00220724">
              <w:rPr>
                <w:webHidden/>
              </w:rPr>
              <w:t>63</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5" w:history="1">
            <w:r w:rsidRPr="00434959">
              <w:rPr>
                <w:rStyle w:val="Hipercze"/>
                <w:lang w:val="pl"/>
              </w:rPr>
              <w:t>2.  Szczególne przypadki</w:t>
            </w:r>
            <w:r>
              <w:rPr>
                <w:webHidden/>
              </w:rPr>
              <w:tab/>
            </w:r>
            <w:r>
              <w:rPr>
                <w:webHidden/>
              </w:rPr>
              <w:fldChar w:fldCharType="begin"/>
            </w:r>
            <w:r>
              <w:rPr>
                <w:webHidden/>
              </w:rPr>
              <w:instrText xml:space="preserve"> PAGEREF _Toc126660635 \h </w:instrText>
            </w:r>
            <w:r>
              <w:rPr>
                <w:webHidden/>
              </w:rPr>
            </w:r>
            <w:r>
              <w:rPr>
                <w:webHidden/>
              </w:rPr>
              <w:fldChar w:fldCharType="separate"/>
            </w:r>
            <w:r w:rsidR="00220724">
              <w:rPr>
                <w:webHidden/>
              </w:rPr>
              <w:t>63</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36" w:history="1">
            <w:r w:rsidRPr="00434959">
              <w:rPr>
                <w:rStyle w:val="Hipercze"/>
                <w:noProof/>
                <w:lang w:val="pl"/>
              </w:rPr>
              <w:t xml:space="preserve">C. Niezgodność </w:t>
            </w:r>
            <w:r w:rsidRPr="00434959">
              <w:rPr>
                <w:rStyle w:val="Hipercze"/>
                <w:i/>
                <w:iCs/>
                <w:noProof/>
                <w:lang w:val="pl"/>
              </w:rPr>
              <w:t>ratione temporis</w:t>
            </w:r>
            <w:r>
              <w:rPr>
                <w:noProof/>
                <w:webHidden/>
              </w:rPr>
              <w:tab/>
            </w:r>
            <w:r>
              <w:rPr>
                <w:noProof/>
                <w:webHidden/>
              </w:rPr>
              <w:fldChar w:fldCharType="begin"/>
            </w:r>
            <w:r>
              <w:rPr>
                <w:noProof/>
                <w:webHidden/>
              </w:rPr>
              <w:instrText xml:space="preserve"> PAGEREF _Toc126660636 \h </w:instrText>
            </w:r>
            <w:r>
              <w:rPr>
                <w:noProof/>
                <w:webHidden/>
              </w:rPr>
            </w:r>
            <w:r>
              <w:rPr>
                <w:noProof/>
                <w:webHidden/>
              </w:rPr>
              <w:fldChar w:fldCharType="separate"/>
            </w:r>
            <w:r w:rsidR="00220724">
              <w:rPr>
                <w:noProof/>
                <w:webHidden/>
              </w:rPr>
              <w:t>64</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7" w:history="1">
            <w:r w:rsidRPr="00434959">
              <w:rPr>
                <w:rStyle w:val="Hipercze"/>
                <w:lang w:val="pl"/>
              </w:rPr>
              <w:t>1.  Zasady ogólne</w:t>
            </w:r>
            <w:r>
              <w:rPr>
                <w:webHidden/>
              </w:rPr>
              <w:tab/>
            </w:r>
            <w:r>
              <w:rPr>
                <w:webHidden/>
              </w:rPr>
              <w:fldChar w:fldCharType="begin"/>
            </w:r>
            <w:r>
              <w:rPr>
                <w:webHidden/>
              </w:rPr>
              <w:instrText xml:space="preserve"> PAGEREF _Toc126660637 \h </w:instrText>
            </w:r>
            <w:r>
              <w:rPr>
                <w:webHidden/>
              </w:rPr>
            </w:r>
            <w:r>
              <w:rPr>
                <w:webHidden/>
              </w:rPr>
              <w:fldChar w:fldCharType="separate"/>
            </w:r>
            <w:r w:rsidR="00220724">
              <w:rPr>
                <w:webHidden/>
              </w:rPr>
              <w:t>64</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38" w:history="1">
            <w:r w:rsidRPr="00434959">
              <w:rPr>
                <w:rStyle w:val="Hipercze"/>
                <w:lang w:val="pl"/>
              </w:rPr>
              <w:t>2.  Zastosowanie tych zasad</w:t>
            </w:r>
            <w:r>
              <w:rPr>
                <w:webHidden/>
              </w:rPr>
              <w:tab/>
            </w:r>
            <w:r>
              <w:rPr>
                <w:webHidden/>
              </w:rPr>
              <w:fldChar w:fldCharType="begin"/>
            </w:r>
            <w:r>
              <w:rPr>
                <w:webHidden/>
              </w:rPr>
              <w:instrText xml:space="preserve"> PAGEREF _Toc126660638 \h </w:instrText>
            </w:r>
            <w:r>
              <w:rPr>
                <w:webHidden/>
              </w:rPr>
            </w:r>
            <w:r>
              <w:rPr>
                <w:webHidden/>
              </w:rPr>
              <w:fldChar w:fldCharType="separate"/>
            </w:r>
            <w:r w:rsidR="00220724">
              <w:rPr>
                <w:webHidden/>
              </w:rPr>
              <w:t>64</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39" w:history="1">
            <w:r w:rsidRPr="00434959">
              <w:rPr>
                <w:rStyle w:val="Hipercze"/>
                <w:noProof/>
                <w:lang w:val="pl"/>
              </w:rPr>
              <w:t xml:space="preserve">a.  Data początkowa w odniesieniu do ratyfikacji Konwencji lub uznania właściwości </w:t>
            </w:r>
            <w:r w:rsidRPr="00434959">
              <w:rPr>
                <w:rStyle w:val="Hipercze"/>
                <w:noProof/>
                <w:lang w:val="pl"/>
              </w:rPr>
              <w:lastRenderedPageBreak/>
              <w:t>instytucji Konwencji</w:t>
            </w:r>
            <w:r>
              <w:rPr>
                <w:noProof/>
                <w:webHidden/>
              </w:rPr>
              <w:tab/>
            </w:r>
            <w:r>
              <w:rPr>
                <w:noProof/>
                <w:webHidden/>
              </w:rPr>
              <w:fldChar w:fldCharType="begin"/>
            </w:r>
            <w:r>
              <w:rPr>
                <w:noProof/>
                <w:webHidden/>
              </w:rPr>
              <w:instrText xml:space="preserve"> PAGEREF _Toc126660639 \h </w:instrText>
            </w:r>
            <w:r>
              <w:rPr>
                <w:noProof/>
                <w:webHidden/>
              </w:rPr>
            </w:r>
            <w:r>
              <w:rPr>
                <w:noProof/>
                <w:webHidden/>
              </w:rPr>
              <w:fldChar w:fldCharType="separate"/>
            </w:r>
            <w:r w:rsidR="00220724">
              <w:rPr>
                <w:noProof/>
                <w:webHidden/>
              </w:rPr>
              <w:t>64</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0" w:history="1">
            <w:r w:rsidRPr="00434959">
              <w:rPr>
                <w:rStyle w:val="Hipercze"/>
                <w:noProof/>
                <w:lang w:val="pl"/>
              </w:rPr>
              <w:t>b.  Fakty jednorazowe przed lub po wejściu w życie lub deklaracji</w:t>
            </w:r>
            <w:r>
              <w:rPr>
                <w:noProof/>
                <w:webHidden/>
              </w:rPr>
              <w:tab/>
            </w:r>
            <w:r>
              <w:rPr>
                <w:noProof/>
                <w:webHidden/>
              </w:rPr>
              <w:fldChar w:fldCharType="begin"/>
            </w:r>
            <w:r>
              <w:rPr>
                <w:noProof/>
                <w:webHidden/>
              </w:rPr>
              <w:instrText xml:space="preserve"> PAGEREF _Toc126660640 \h </w:instrText>
            </w:r>
            <w:r>
              <w:rPr>
                <w:noProof/>
                <w:webHidden/>
              </w:rPr>
            </w:r>
            <w:r>
              <w:rPr>
                <w:noProof/>
                <w:webHidden/>
              </w:rPr>
              <w:fldChar w:fldCharType="separate"/>
            </w:r>
            <w:r w:rsidR="00220724">
              <w:rPr>
                <w:noProof/>
                <w:webHidden/>
              </w:rPr>
              <w:t>65</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41" w:history="1">
            <w:r w:rsidRPr="00434959">
              <w:rPr>
                <w:rStyle w:val="Hipercze"/>
                <w:lang w:val="pl"/>
              </w:rPr>
              <w:t>3.  Sytuacje szczególne</w:t>
            </w:r>
            <w:r>
              <w:rPr>
                <w:webHidden/>
              </w:rPr>
              <w:tab/>
            </w:r>
            <w:r>
              <w:rPr>
                <w:webHidden/>
              </w:rPr>
              <w:fldChar w:fldCharType="begin"/>
            </w:r>
            <w:r>
              <w:rPr>
                <w:webHidden/>
              </w:rPr>
              <w:instrText xml:space="preserve"> PAGEREF _Toc126660641 \h </w:instrText>
            </w:r>
            <w:r>
              <w:rPr>
                <w:webHidden/>
              </w:rPr>
            </w:r>
            <w:r>
              <w:rPr>
                <w:webHidden/>
              </w:rPr>
              <w:fldChar w:fldCharType="separate"/>
            </w:r>
            <w:r w:rsidR="00220724">
              <w:rPr>
                <w:webHidden/>
              </w:rPr>
              <w:t>66</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2" w:history="1">
            <w:r w:rsidRPr="00434959">
              <w:rPr>
                <w:rStyle w:val="Hipercze"/>
                <w:noProof/>
                <w:lang w:val="pl"/>
              </w:rPr>
              <w:t>a.  Utrzymujące się naruszenia</w:t>
            </w:r>
            <w:r>
              <w:rPr>
                <w:noProof/>
                <w:webHidden/>
              </w:rPr>
              <w:tab/>
            </w:r>
            <w:r>
              <w:rPr>
                <w:noProof/>
                <w:webHidden/>
              </w:rPr>
              <w:fldChar w:fldCharType="begin"/>
            </w:r>
            <w:r>
              <w:rPr>
                <w:noProof/>
                <w:webHidden/>
              </w:rPr>
              <w:instrText xml:space="preserve"> PAGEREF _Toc126660642 \h </w:instrText>
            </w:r>
            <w:r>
              <w:rPr>
                <w:noProof/>
                <w:webHidden/>
              </w:rPr>
            </w:r>
            <w:r>
              <w:rPr>
                <w:noProof/>
                <w:webHidden/>
              </w:rPr>
              <w:fldChar w:fldCharType="separate"/>
            </w:r>
            <w:r w:rsidR="00220724">
              <w:rPr>
                <w:noProof/>
                <w:webHidden/>
              </w:rPr>
              <w:t>66</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3" w:history="1">
            <w:r w:rsidRPr="00434959">
              <w:rPr>
                <w:rStyle w:val="Hipercze"/>
                <w:noProof/>
                <w:lang w:val="pl-PL"/>
              </w:rPr>
              <w:t xml:space="preserve">b.  </w:t>
            </w:r>
            <w:r w:rsidRPr="00434959">
              <w:rPr>
                <w:rStyle w:val="Hipercze"/>
                <w:noProof/>
                <w:lang w:val="pl"/>
              </w:rPr>
              <w:t>„Trwający” obowiązek proceduralny dotyczący badania zaginięć, które miały miejsce przed datą początkową</w:t>
            </w:r>
            <w:r>
              <w:rPr>
                <w:noProof/>
                <w:webHidden/>
              </w:rPr>
              <w:tab/>
            </w:r>
            <w:r>
              <w:rPr>
                <w:noProof/>
                <w:webHidden/>
              </w:rPr>
              <w:fldChar w:fldCharType="begin"/>
            </w:r>
            <w:r>
              <w:rPr>
                <w:noProof/>
                <w:webHidden/>
              </w:rPr>
              <w:instrText xml:space="preserve"> PAGEREF _Toc126660643 \h </w:instrText>
            </w:r>
            <w:r>
              <w:rPr>
                <w:noProof/>
                <w:webHidden/>
              </w:rPr>
            </w:r>
            <w:r>
              <w:rPr>
                <w:noProof/>
                <w:webHidden/>
              </w:rPr>
              <w:fldChar w:fldCharType="separate"/>
            </w:r>
            <w:r w:rsidR="00220724">
              <w:rPr>
                <w:noProof/>
                <w:webHidden/>
              </w:rPr>
              <w:t>67</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4" w:history="1">
            <w:r w:rsidRPr="00434959">
              <w:rPr>
                <w:rStyle w:val="Hipercze"/>
                <w:noProof/>
                <w:lang w:val="pl-PL"/>
              </w:rPr>
              <w:t xml:space="preserve">c.  </w:t>
            </w:r>
            <w:r w:rsidRPr="00434959">
              <w:rPr>
                <w:rStyle w:val="Hipercze"/>
                <w:noProof/>
                <w:lang w:val="pl"/>
              </w:rPr>
              <w:t>Obowiązek proceduralny wynikający z art. 2 Konwencji dotyczący zbadania przyczyn śmierci: postępowanie odnoszące się do stanu faktycznego poza jurysdykcją czasową Trybunału</w:t>
            </w:r>
            <w:r>
              <w:rPr>
                <w:noProof/>
                <w:webHidden/>
              </w:rPr>
              <w:tab/>
            </w:r>
            <w:r>
              <w:rPr>
                <w:noProof/>
                <w:webHidden/>
              </w:rPr>
              <w:fldChar w:fldCharType="begin"/>
            </w:r>
            <w:r>
              <w:rPr>
                <w:noProof/>
                <w:webHidden/>
              </w:rPr>
              <w:instrText xml:space="preserve"> PAGEREF _Toc126660644 \h </w:instrText>
            </w:r>
            <w:r>
              <w:rPr>
                <w:noProof/>
                <w:webHidden/>
              </w:rPr>
            </w:r>
            <w:r>
              <w:rPr>
                <w:noProof/>
                <w:webHidden/>
              </w:rPr>
              <w:fldChar w:fldCharType="separate"/>
            </w:r>
            <w:r w:rsidR="00220724">
              <w:rPr>
                <w:noProof/>
                <w:webHidden/>
              </w:rPr>
              <w:t>67</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5" w:history="1">
            <w:r w:rsidRPr="00434959">
              <w:rPr>
                <w:rStyle w:val="Hipercze"/>
                <w:noProof/>
                <w:lang w:val="pl"/>
              </w:rPr>
              <w:t>d.  Wzięcie pod uwagę wcześniejszych faktów</w:t>
            </w:r>
            <w:r>
              <w:rPr>
                <w:noProof/>
                <w:webHidden/>
              </w:rPr>
              <w:tab/>
            </w:r>
            <w:r>
              <w:rPr>
                <w:noProof/>
                <w:webHidden/>
              </w:rPr>
              <w:fldChar w:fldCharType="begin"/>
            </w:r>
            <w:r>
              <w:rPr>
                <w:noProof/>
                <w:webHidden/>
              </w:rPr>
              <w:instrText xml:space="preserve"> PAGEREF _Toc126660645 \h </w:instrText>
            </w:r>
            <w:r>
              <w:rPr>
                <w:noProof/>
                <w:webHidden/>
              </w:rPr>
            </w:r>
            <w:r>
              <w:rPr>
                <w:noProof/>
                <w:webHidden/>
              </w:rPr>
              <w:fldChar w:fldCharType="separate"/>
            </w:r>
            <w:r w:rsidR="00220724">
              <w:rPr>
                <w:noProof/>
                <w:webHidden/>
              </w:rPr>
              <w:t>68</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6" w:history="1">
            <w:r w:rsidRPr="00434959">
              <w:rPr>
                <w:rStyle w:val="Hipercze"/>
                <w:noProof/>
                <w:lang w:val="pl"/>
              </w:rPr>
              <w:t>e.  Trwające postępowanie lub tymczasowe aresztowanie</w:t>
            </w:r>
            <w:r>
              <w:rPr>
                <w:noProof/>
                <w:webHidden/>
              </w:rPr>
              <w:tab/>
            </w:r>
            <w:r>
              <w:rPr>
                <w:noProof/>
                <w:webHidden/>
              </w:rPr>
              <w:fldChar w:fldCharType="begin"/>
            </w:r>
            <w:r>
              <w:rPr>
                <w:noProof/>
                <w:webHidden/>
              </w:rPr>
              <w:instrText xml:space="preserve"> PAGEREF _Toc126660646 \h </w:instrText>
            </w:r>
            <w:r>
              <w:rPr>
                <w:noProof/>
                <w:webHidden/>
              </w:rPr>
            </w:r>
            <w:r>
              <w:rPr>
                <w:noProof/>
                <w:webHidden/>
              </w:rPr>
              <w:fldChar w:fldCharType="separate"/>
            </w:r>
            <w:r w:rsidR="00220724">
              <w:rPr>
                <w:noProof/>
                <w:webHidden/>
              </w:rPr>
              <w:t>68</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7" w:history="1">
            <w:r w:rsidRPr="00434959">
              <w:rPr>
                <w:rStyle w:val="Hipercze"/>
                <w:noProof/>
                <w:lang w:val="pl"/>
              </w:rPr>
              <w:t>f.  Prawo do odszkodowania za niesłuszne skazanie</w:t>
            </w:r>
            <w:r>
              <w:rPr>
                <w:noProof/>
                <w:webHidden/>
              </w:rPr>
              <w:tab/>
            </w:r>
            <w:r>
              <w:rPr>
                <w:noProof/>
                <w:webHidden/>
              </w:rPr>
              <w:fldChar w:fldCharType="begin"/>
            </w:r>
            <w:r>
              <w:rPr>
                <w:noProof/>
                <w:webHidden/>
              </w:rPr>
              <w:instrText xml:space="preserve"> PAGEREF _Toc126660647 \h </w:instrText>
            </w:r>
            <w:r>
              <w:rPr>
                <w:noProof/>
                <w:webHidden/>
              </w:rPr>
            </w:r>
            <w:r>
              <w:rPr>
                <w:noProof/>
                <w:webHidden/>
              </w:rPr>
              <w:fldChar w:fldCharType="separate"/>
            </w:r>
            <w:r w:rsidR="00220724">
              <w:rPr>
                <w:noProof/>
                <w:webHidden/>
              </w:rPr>
              <w:t>69</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48" w:history="1">
            <w:r w:rsidRPr="00434959">
              <w:rPr>
                <w:rStyle w:val="Hipercze"/>
                <w:noProof/>
                <w:lang w:val="pl"/>
              </w:rPr>
              <w:t>g.  Prawo do niepodlegania ponownemu sądzeniu lub karaniu</w:t>
            </w:r>
            <w:r>
              <w:rPr>
                <w:noProof/>
                <w:webHidden/>
              </w:rPr>
              <w:tab/>
            </w:r>
            <w:r>
              <w:rPr>
                <w:noProof/>
                <w:webHidden/>
              </w:rPr>
              <w:fldChar w:fldCharType="begin"/>
            </w:r>
            <w:r>
              <w:rPr>
                <w:noProof/>
                <w:webHidden/>
              </w:rPr>
              <w:instrText xml:space="preserve"> PAGEREF _Toc126660648 \h </w:instrText>
            </w:r>
            <w:r>
              <w:rPr>
                <w:noProof/>
                <w:webHidden/>
              </w:rPr>
            </w:r>
            <w:r>
              <w:rPr>
                <w:noProof/>
                <w:webHidden/>
              </w:rPr>
              <w:fldChar w:fldCharType="separate"/>
            </w:r>
            <w:r w:rsidR="00220724">
              <w:rPr>
                <w:noProof/>
                <w:webHidden/>
              </w:rPr>
              <w:t>69</w:t>
            </w:r>
            <w:r>
              <w:rPr>
                <w:noProof/>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49" w:history="1">
            <w:r w:rsidRPr="00434959">
              <w:rPr>
                <w:rStyle w:val="Hipercze"/>
                <w:noProof/>
                <w:lang w:val="pl"/>
              </w:rPr>
              <w:t xml:space="preserve">D.  Niezgodność </w:t>
            </w:r>
            <w:r w:rsidRPr="00434959">
              <w:rPr>
                <w:rStyle w:val="Hipercze"/>
                <w:i/>
                <w:iCs/>
                <w:noProof/>
                <w:lang w:val="pl"/>
              </w:rPr>
              <w:t>ratione materiae</w:t>
            </w:r>
            <w:r>
              <w:rPr>
                <w:noProof/>
                <w:webHidden/>
              </w:rPr>
              <w:tab/>
            </w:r>
            <w:r>
              <w:rPr>
                <w:noProof/>
                <w:webHidden/>
              </w:rPr>
              <w:fldChar w:fldCharType="begin"/>
            </w:r>
            <w:r>
              <w:rPr>
                <w:noProof/>
                <w:webHidden/>
              </w:rPr>
              <w:instrText xml:space="preserve"> PAGEREF _Toc126660649 \h </w:instrText>
            </w:r>
            <w:r>
              <w:rPr>
                <w:noProof/>
                <w:webHidden/>
              </w:rPr>
            </w:r>
            <w:r>
              <w:rPr>
                <w:noProof/>
                <w:webHidden/>
              </w:rPr>
              <w:fldChar w:fldCharType="separate"/>
            </w:r>
            <w:r w:rsidR="00220724">
              <w:rPr>
                <w:noProof/>
                <w:webHidden/>
              </w:rPr>
              <w:t>69</w:t>
            </w:r>
            <w:r>
              <w:rPr>
                <w:noProof/>
                <w:webHidden/>
              </w:rPr>
              <w:fldChar w:fldCharType="end"/>
            </w:r>
          </w:hyperlink>
        </w:p>
        <w:p w:rsidR="00356BC9" w:rsidRDefault="00356BC9">
          <w:pPr>
            <w:pStyle w:val="Spistreci1"/>
            <w:rPr>
              <w:rFonts w:eastAsiaTheme="minorEastAsia" w:cstheme="minorBidi"/>
              <w:b w:val="0"/>
              <w:bCs w:val="0"/>
              <w:color w:val="auto"/>
              <w:sz w:val="22"/>
              <w:szCs w:val="22"/>
              <w:lang w:val="en-GB" w:eastAsia="en-GB" w:bidi="ar-SA"/>
            </w:rPr>
          </w:pPr>
          <w:hyperlink w:anchor="_Toc126660650" w:history="1">
            <w:r w:rsidRPr="00434959">
              <w:rPr>
                <w:rStyle w:val="Hipercze"/>
              </w:rPr>
              <w:t>III.  Niedopuszczalność na podstawie przedmiotu skargi</w:t>
            </w:r>
            <w:r>
              <w:rPr>
                <w:webHidden/>
              </w:rPr>
              <w:tab/>
            </w:r>
            <w:r>
              <w:rPr>
                <w:webHidden/>
              </w:rPr>
              <w:fldChar w:fldCharType="begin"/>
            </w:r>
            <w:r>
              <w:rPr>
                <w:webHidden/>
              </w:rPr>
              <w:instrText xml:space="preserve"> PAGEREF _Toc126660650 \h </w:instrText>
            </w:r>
            <w:r>
              <w:rPr>
                <w:webHidden/>
              </w:rPr>
            </w:r>
            <w:r>
              <w:rPr>
                <w:webHidden/>
              </w:rPr>
              <w:fldChar w:fldCharType="separate"/>
            </w:r>
            <w:r w:rsidR="00220724">
              <w:rPr>
                <w:webHidden/>
              </w:rPr>
              <w:t>72</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51" w:history="1">
            <w:r w:rsidRPr="00434959">
              <w:rPr>
                <w:rStyle w:val="Hipercze"/>
                <w:noProof/>
                <w:lang w:val="pl"/>
              </w:rPr>
              <w:t>A.  Skarga w sposób oczywisty nieuzasadniona</w:t>
            </w:r>
            <w:r>
              <w:rPr>
                <w:noProof/>
                <w:webHidden/>
              </w:rPr>
              <w:tab/>
            </w:r>
            <w:r>
              <w:rPr>
                <w:noProof/>
                <w:webHidden/>
              </w:rPr>
              <w:fldChar w:fldCharType="begin"/>
            </w:r>
            <w:r>
              <w:rPr>
                <w:noProof/>
                <w:webHidden/>
              </w:rPr>
              <w:instrText xml:space="preserve"> PAGEREF _Toc126660651 \h </w:instrText>
            </w:r>
            <w:r>
              <w:rPr>
                <w:noProof/>
                <w:webHidden/>
              </w:rPr>
            </w:r>
            <w:r>
              <w:rPr>
                <w:noProof/>
                <w:webHidden/>
              </w:rPr>
              <w:fldChar w:fldCharType="separate"/>
            </w:r>
            <w:r w:rsidR="00220724">
              <w:rPr>
                <w:noProof/>
                <w:webHidden/>
              </w:rPr>
              <w:t>72</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52" w:history="1">
            <w:r w:rsidRPr="00434959">
              <w:rPr>
                <w:rStyle w:val="Hipercze"/>
                <w:lang w:val="pl"/>
              </w:rPr>
              <w:t>1.  Ogólne wprowadzenie</w:t>
            </w:r>
            <w:r>
              <w:rPr>
                <w:webHidden/>
              </w:rPr>
              <w:tab/>
            </w:r>
            <w:r>
              <w:rPr>
                <w:webHidden/>
              </w:rPr>
              <w:fldChar w:fldCharType="begin"/>
            </w:r>
            <w:r>
              <w:rPr>
                <w:webHidden/>
              </w:rPr>
              <w:instrText xml:space="preserve"> PAGEREF _Toc126660652 \h </w:instrText>
            </w:r>
            <w:r>
              <w:rPr>
                <w:webHidden/>
              </w:rPr>
            </w:r>
            <w:r>
              <w:rPr>
                <w:webHidden/>
              </w:rPr>
              <w:fldChar w:fldCharType="separate"/>
            </w:r>
            <w:r w:rsidR="00220724">
              <w:rPr>
                <w:webHidden/>
              </w:rPr>
              <w:t>72</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53" w:history="1">
            <w:r w:rsidRPr="00434959">
              <w:rPr>
                <w:rStyle w:val="Hipercze"/>
                <w:lang w:val="pl"/>
              </w:rPr>
              <w:t>2.  „Czwarta instancja”</w:t>
            </w:r>
            <w:r>
              <w:rPr>
                <w:webHidden/>
              </w:rPr>
              <w:tab/>
            </w:r>
            <w:r>
              <w:rPr>
                <w:webHidden/>
              </w:rPr>
              <w:fldChar w:fldCharType="begin"/>
            </w:r>
            <w:r>
              <w:rPr>
                <w:webHidden/>
              </w:rPr>
              <w:instrText xml:space="preserve"> PAGEREF _Toc126660653 \h </w:instrText>
            </w:r>
            <w:r>
              <w:rPr>
                <w:webHidden/>
              </w:rPr>
            </w:r>
            <w:r>
              <w:rPr>
                <w:webHidden/>
              </w:rPr>
              <w:fldChar w:fldCharType="separate"/>
            </w:r>
            <w:r w:rsidR="00220724">
              <w:rPr>
                <w:webHidden/>
              </w:rPr>
              <w:t>73</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54" w:history="1">
            <w:r w:rsidRPr="00434959">
              <w:rPr>
                <w:rStyle w:val="Hipercze"/>
                <w:lang w:val="pl"/>
              </w:rPr>
              <w:t>3.  Wyraźny lub widoczny brak naruszenia</w:t>
            </w:r>
            <w:r>
              <w:rPr>
                <w:webHidden/>
              </w:rPr>
              <w:tab/>
            </w:r>
            <w:r>
              <w:rPr>
                <w:webHidden/>
              </w:rPr>
              <w:fldChar w:fldCharType="begin"/>
            </w:r>
            <w:r>
              <w:rPr>
                <w:webHidden/>
              </w:rPr>
              <w:instrText xml:space="preserve"> PAGEREF _Toc126660654 \h </w:instrText>
            </w:r>
            <w:r>
              <w:rPr>
                <w:webHidden/>
              </w:rPr>
            </w:r>
            <w:r>
              <w:rPr>
                <w:webHidden/>
              </w:rPr>
              <w:fldChar w:fldCharType="separate"/>
            </w:r>
            <w:r w:rsidR="00220724">
              <w:rPr>
                <w:webHidden/>
              </w:rPr>
              <w:t>74</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55" w:history="1">
            <w:r w:rsidRPr="00434959">
              <w:rPr>
                <w:rStyle w:val="Hipercze"/>
                <w:noProof/>
                <w:lang w:val="pl"/>
              </w:rPr>
              <w:t>a.  Brak widocznej arbitralności lub niesprawiedliwości</w:t>
            </w:r>
            <w:r>
              <w:rPr>
                <w:noProof/>
                <w:webHidden/>
              </w:rPr>
              <w:tab/>
            </w:r>
            <w:r>
              <w:rPr>
                <w:noProof/>
                <w:webHidden/>
              </w:rPr>
              <w:fldChar w:fldCharType="begin"/>
            </w:r>
            <w:r>
              <w:rPr>
                <w:noProof/>
                <w:webHidden/>
              </w:rPr>
              <w:instrText xml:space="preserve"> PAGEREF _Toc126660655 \h </w:instrText>
            </w:r>
            <w:r>
              <w:rPr>
                <w:noProof/>
                <w:webHidden/>
              </w:rPr>
            </w:r>
            <w:r>
              <w:rPr>
                <w:noProof/>
                <w:webHidden/>
              </w:rPr>
              <w:fldChar w:fldCharType="separate"/>
            </w:r>
            <w:r w:rsidR="00220724">
              <w:rPr>
                <w:noProof/>
                <w:webHidden/>
              </w:rPr>
              <w:t>75</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56" w:history="1">
            <w:r w:rsidRPr="00434959">
              <w:rPr>
                <w:rStyle w:val="Hipercze"/>
                <w:noProof/>
                <w:lang w:val="pl"/>
              </w:rPr>
              <w:t>b.  Brak widocznej nieproporcjonalności pomiędzy celami i środkami</w:t>
            </w:r>
            <w:r>
              <w:rPr>
                <w:noProof/>
                <w:webHidden/>
              </w:rPr>
              <w:tab/>
            </w:r>
            <w:r>
              <w:rPr>
                <w:noProof/>
                <w:webHidden/>
              </w:rPr>
              <w:fldChar w:fldCharType="begin"/>
            </w:r>
            <w:r>
              <w:rPr>
                <w:noProof/>
                <w:webHidden/>
              </w:rPr>
              <w:instrText xml:space="preserve"> PAGEREF _Toc126660656 \h </w:instrText>
            </w:r>
            <w:r>
              <w:rPr>
                <w:noProof/>
                <w:webHidden/>
              </w:rPr>
            </w:r>
            <w:r>
              <w:rPr>
                <w:noProof/>
                <w:webHidden/>
              </w:rPr>
              <w:fldChar w:fldCharType="separate"/>
            </w:r>
            <w:r w:rsidR="00220724">
              <w:rPr>
                <w:noProof/>
                <w:webHidden/>
              </w:rPr>
              <w:t>75</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57" w:history="1">
            <w:r w:rsidRPr="00434959">
              <w:rPr>
                <w:rStyle w:val="Hipercze"/>
                <w:noProof/>
                <w:lang w:val="pl"/>
              </w:rPr>
              <w:t>c.  Inne względnie proste zagadnienia materialne</w:t>
            </w:r>
            <w:r>
              <w:rPr>
                <w:noProof/>
                <w:webHidden/>
              </w:rPr>
              <w:tab/>
            </w:r>
            <w:r>
              <w:rPr>
                <w:noProof/>
                <w:webHidden/>
              </w:rPr>
              <w:fldChar w:fldCharType="begin"/>
            </w:r>
            <w:r>
              <w:rPr>
                <w:noProof/>
                <w:webHidden/>
              </w:rPr>
              <w:instrText xml:space="preserve"> PAGEREF _Toc126660657 \h </w:instrText>
            </w:r>
            <w:r>
              <w:rPr>
                <w:noProof/>
                <w:webHidden/>
              </w:rPr>
            </w:r>
            <w:r>
              <w:rPr>
                <w:noProof/>
                <w:webHidden/>
              </w:rPr>
              <w:fldChar w:fldCharType="separate"/>
            </w:r>
            <w:r w:rsidR="00220724">
              <w:rPr>
                <w:noProof/>
                <w:webHidden/>
              </w:rPr>
              <w:t>76</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58" w:history="1">
            <w:r w:rsidRPr="00434959">
              <w:rPr>
                <w:rStyle w:val="Hipercze"/>
                <w:lang w:val="pl"/>
              </w:rPr>
              <w:t>4.  Skargi bezpodstawne: brak dowodów</w:t>
            </w:r>
            <w:r>
              <w:rPr>
                <w:webHidden/>
              </w:rPr>
              <w:tab/>
            </w:r>
            <w:r>
              <w:rPr>
                <w:webHidden/>
              </w:rPr>
              <w:fldChar w:fldCharType="begin"/>
            </w:r>
            <w:r>
              <w:rPr>
                <w:webHidden/>
              </w:rPr>
              <w:instrText xml:space="preserve"> PAGEREF _Toc126660658 \h </w:instrText>
            </w:r>
            <w:r>
              <w:rPr>
                <w:webHidden/>
              </w:rPr>
            </w:r>
            <w:r>
              <w:rPr>
                <w:webHidden/>
              </w:rPr>
              <w:fldChar w:fldCharType="separate"/>
            </w:r>
            <w:r w:rsidR="00220724">
              <w:rPr>
                <w:webHidden/>
              </w:rPr>
              <w:t>77</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59" w:history="1">
            <w:r w:rsidRPr="00434959">
              <w:rPr>
                <w:rStyle w:val="Hipercze"/>
                <w:lang w:val="pl"/>
              </w:rPr>
              <w:t>5.</w:t>
            </w:r>
            <w:r>
              <w:rPr>
                <w:rFonts w:eastAsiaTheme="minorEastAsia" w:cstheme="minorBidi"/>
                <w:iCs w:val="0"/>
                <w:color w:val="auto"/>
                <w:lang w:val="en-GB" w:eastAsia="en-GB" w:bidi="ar-SA"/>
              </w:rPr>
              <w:tab/>
            </w:r>
            <w:r w:rsidRPr="00434959">
              <w:rPr>
                <w:rStyle w:val="Hipercze"/>
                <w:lang w:val="pl"/>
              </w:rPr>
              <w:t>Zarzuty niezrozumiałe lub mało prawdopodobne</w:t>
            </w:r>
            <w:r>
              <w:rPr>
                <w:webHidden/>
              </w:rPr>
              <w:tab/>
            </w:r>
            <w:r>
              <w:rPr>
                <w:webHidden/>
              </w:rPr>
              <w:fldChar w:fldCharType="begin"/>
            </w:r>
            <w:r>
              <w:rPr>
                <w:webHidden/>
              </w:rPr>
              <w:instrText xml:space="preserve"> PAGEREF _Toc126660659 \h </w:instrText>
            </w:r>
            <w:r>
              <w:rPr>
                <w:webHidden/>
              </w:rPr>
            </w:r>
            <w:r>
              <w:rPr>
                <w:webHidden/>
              </w:rPr>
              <w:fldChar w:fldCharType="separate"/>
            </w:r>
            <w:r w:rsidR="00220724">
              <w:rPr>
                <w:webHidden/>
              </w:rPr>
              <w:t>78</w:t>
            </w:r>
            <w:r>
              <w:rPr>
                <w:webHidden/>
              </w:rPr>
              <w:fldChar w:fldCharType="end"/>
            </w:r>
          </w:hyperlink>
        </w:p>
        <w:p w:rsidR="00356BC9" w:rsidRDefault="00356BC9">
          <w:pPr>
            <w:pStyle w:val="Spistreci2"/>
            <w:tabs>
              <w:tab w:val="right" w:leader="dot" w:pos="9072"/>
            </w:tabs>
            <w:rPr>
              <w:rFonts w:eastAsiaTheme="minorEastAsia" w:cstheme="minorBidi"/>
              <w:noProof/>
              <w:color w:val="auto"/>
              <w:szCs w:val="22"/>
              <w:lang w:val="en-GB" w:eastAsia="en-GB" w:bidi="ar-SA"/>
            </w:rPr>
          </w:pPr>
          <w:hyperlink w:anchor="_Toc126660660" w:history="1">
            <w:r w:rsidRPr="00434959">
              <w:rPr>
                <w:rStyle w:val="Hipercze"/>
                <w:noProof/>
                <w:lang w:val="pl"/>
              </w:rPr>
              <w:t>B.  Brak znaczącego uszczerbku</w:t>
            </w:r>
            <w:r>
              <w:rPr>
                <w:noProof/>
                <w:webHidden/>
              </w:rPr>
              <w:tab/>
            </w:r>
            <w:r>
              <w:rPr>
                <w:noProof/>
                <w:webHidden/>
              </w:rPr>
              <w:fldChar w:fldCharType="begin"/>
            </w:r>
            <w:r>
              <w:rPr>
                <w:noProof/>
                <w:webHidden/>
              </w:rPr>
              <w:instrText xml:space="preserve"> PAGEREF _Toc126660660 \h </w:instrText>
            </w:r>
            <w:r>
              <w:rPr>
                <w:noProof/>
                <w:webHidden/>
              </w:rPr>
            </w:r>
            <w:r>
              <w:rPr>
                <w:noProof/>
                <w:webHidden/>
              </w:rPr>
              <w:fldChar w:fldCharType="separate"/>
            </w:r>
            <w:r w:rsidR="00220724">
              <w:rPr>
                <w:noProof/>
                <w:webHidden/>
              </w:rPr>
              <w:t>78</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61" w:history="1">
            <w:r w:rsidRPr="00434959">
              <w:rPr>
                <w:rStyle w:val="Hipercze"/>
                <w:lang w:val="pl"/>
              </w:rPr>
              <w:t>1.  Kontekst nowego kryterium</w:t>
            </w:r>
            <w:r>
              <w:rPr>
                <w:webHidden/>
              </w:rPr>
              <w:tab/>
            </w:r>
            <w:r>
              <w:rPr>
                <w:webHidden/>
              </w:rPr>
              <w:fldChar w:fldCharType="begin"/>
            </w:r>
            <w:r>
              <w:rPr>
                <w:webHidden/>
              </w:rPr>
              <w:instrText xml:space="preserve"> PAGEREF _Toc126660661 \h </w:instrText>
            </w:r>
            <w:r>
              <w:rPr>
                <w:webHidden/>
              </w:rPr>
            </w:r>
            <w:r>
              <w:rPr>
                <w:webHidden/>
              </w:rPr>
              <w:fldChar w:fldCharType="separate"/>
            </w:r>
            <w:r w:rsidR="00220724">
              <w:rPr>
                <w:webHidden/>
              </w:rPr>
              <w:t>78</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62" w:history="1">
            <w:r w:rsidRPr="00434959">
              <w:rPr>
                <w:rStyle w:val="Hipercze"/>
                <w:lang w:val="pl"/>
              </w:rPr>
              <w:t>2.  Zakres</w:t>
            </w:r>
            <w:r>
              <w:rPr>
                <w:webHidden/>
              </w:rPr>
              <w:tab/>
            </w:r>
            <w:r>
              <w:rPr>
                <w:webHidden/>
              </w:rPr>
              <w:fldChar w:fldCharType="begin"/>
            </w:r>
            <w:r>
              <w:rPr>
                <w:webHidden/>
              </w:rPr>
              <w:instrText xml:space="preserve"> PAGEREF _Toc126660662 \h </w:instrText>
            </w:r>
            <w:r>
              <w:rPr>
                <w:webHidden/>
              </w:rPr>
            </w:r>
            <w:r>
              <w:rPr>
                <w:webHidden/>
              </w:rPr>
              <w:fldChar w:fldCharType="separate"/>
            </w:r>
            <w:r w:rsidR="00220724">
              <w:rPr>
                <w:webHidden/>
              </w:rPr>
              <w:t>79</w:t>
            </w:r>
            <w:r>
              <w:rPr>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63" w:history="1">
            <w:r w:rsidRPr="00434959">
              <w:rPr>
                <w:rStyle w:val="Hipercze"/>
                <w:lang w:val="pl"/>
              </w:rPr>
              <w:t>3.  Czy skarżący doznał znaczącego uszczerbku</w:t>
            </w:r>
            <w:r>
              <w:rPr>
                <w:webHidden/>
              </w:rPr>
              <w:tab/>
            </w:r>
            <w:r>
              <w:rPr>
                <w:webHidden/>
              </w:rPr>
              <w:fldChar w:fldCharType="begin"/>
            </w:r>
            <w:r>
              <w:rPr>
                <w:webHidden/>
              </w:rPr>
              <w:instrText xml:space="preserve"> PAGEREF _Toc126660663 \h </w:instrText>
            </w:r>
            <w:r>
              <w:rPr>
                <w:webHidden/>
              </w:rPr>
            </w:r>
            <w:r>
              <w:rPr>
                <w:webHidden/>
              </w:rPr>
              <w:fldChar w:fldCharType="separate"/>
            </w:r>
            <w:r w:rsidR="00220724">
              <w:rPr>
                <w:webHidden/>
              </w:rPr>
              <w:t>80</w:t>
            </w:r>
            <w:r>
              <w:rPr>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64" w:history="1">
            <w:r w:rsidRPr="00434959">
              <w:rPr>
                <w:rStyle w:val="Hipercze"/>
                <w:noProof/>
                <w:lang w:val="pl"/>
              </w:rPr>
              <w:t>a.  Brak znaczącego uszczerbku finansowego</w:t>
            </w:r>
            <w:r>
              <w:rPr>
                <w:noProof/>
                <w:webHidden/>
              </w:rPr>
              <w:tab/>
            </w:r>
            <w:r>
              <w:rPr>
                <w:noProof/>
                <w:webHidden/>
              </w:rPr>
              <w:fldChar w:fldCharType="begin"/>
            </w:r>
            <w:r>
              <w:rPr>
                <w:noProof/>
                <w:webHidden/>
              </w:rPr>
              <w:instrText xml:space="preserve"> PAGEREF _Toc126660664 \h </w:instrText>
            </w:r>
            <w:r>
              <w:rPr>
                <w:noProof/>
                <w:webHidden/>
              </w:rPr>
            </w:r>
            <w:r>
              <w:rPr>
                <w:noProof/>
                <w:webHidden/>
              </w:rPr>
              <w:fldChar w:fldCharType="separate"/>
            </w:r>
            <w:r w:rsidR="00220724">
              <w:rPr>
                <w:noProof/>
                <w:webHidden/>
              </w:rPr>
              <w:t>80</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65" w:history="1">
            <w:r w:rsidRPr="00434959">
              <w:rPr>
                <w:rStyle w:val="Hipercze"/>
                <w:noProof/>
                <w:lang w:val="pl"/>
              </w:rPr>
              <w:t>b.  Znaczący uszczerbek finansowy</w:t>
            </w:r>
            <w:r>
              <w:rPr>
                <w:noProof/>
                <w:webHidden/>
              </w:rPr>
              <w:tab/>
            </w:r>
            <w:r>
              <w:rPr>
                <w:noProof/>
                <w:webHidden/>
              </w:rPr>
              <w:fldChar w:fldCharType="begin"/>
            </w:r>
            <w:r>
              <w:rPr>
                <w:noProof/>
                <w:webHidden/>
              </w:rPr>
              <w:instrText xml:space="preserve"> PAGEREF _Toc126660665 \h </w:instrText>
            </w:r>
            <w:r>
              <w:rPr>
                <w:noProof/>
                <w:webHidden/>
              </w:rPr>
            </w:r>
            <w:r>
              <w:rPr>
                <w:noProof/>
                <w:webHidden/>
              </w:rPr>
              <w:fldChar w:fldCharType="separate"/>
            </w:r>
            <w:r w:rsidR="00220724">
              <w:rPr>
                <w:noProof/>
                <w:webHidden/>
              </w:rPr>
              <w:t>82</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66" w:history="1">
            <w:r w:rsidRPr="00434959">
              <w:rPr>
                <w:rStyle w:val="Hipercze"/>
                <w:noProof/>
                <w:lang w:val="pl"/>
              </w:rPr>
              <w:t>c.  Brak znaczącego uszczerbku niefinansowego</w:t>
            </w:r>
            <w:r>
              <w:rPr>
                <w:noProof/>
                <w:webHidden/>
              </w:rPr>
              <w:tab/>
            </w:r>
            <w:r>
              <w:rPr>
                <w:noProof/>
                <w:webHidden/>
              </w:rPr>
              <w:fldChar w:fldCharType="begin"/>
            </w:r>
            <w:r>
              <w:rPr>
                <w:noProof/>
                <w:webHidden/>
              </w:rPr>
              <w:instrText xml:space="preserve"> PAGEREF _Toc126660666 \h </w:instrText>
            </w:r>
            <w:r>
              <w:rPr>
                <w:noProof/>
                <w:webHidden/>
              </w:rPr>
            </w:r>
            <w:r>
              <w:rPr>
                <w:noProof/>
                <w:webHidden/>
              </w:rPr>
              <w:fldChar w:fldCharType="separate"/>
            </w:r>
            <w:r w:rsidR="00220724">
              <w:rPr>
                <w:noProof/>
                <w:webHidden/>
              </w:rPr>
              <w:t>83</w:t>
            </w:r>
            <w:r>
              <w:rPr>
                <w:noProof/>
                <w:webHidden/>
              </w:rPr>
              <w:fldChar w:fldCharType="end"/>
            </w:r>
          </w:hyperlink>
        </w:p>
        <w:p w:rsidR="00356BC9" w:rsidRDefault="00356BC9">
          <w:pPr>
            <w:pStyle w:val="Spistreci4"/>
            <w:tabs>
              <w:tab w:val="right" w:leader="dot" w:pos="9072"/>
            </w:tabs>
            <w:rPr>
              <w:rFonts w:eastAsiaTheme="minorEastAsia" w:cstheme="minorBidi"/>
              <w:noProof/>
              <w:color w:val="auto"/>
              <w:szCs w:val="22"/>
              <w:lang w:val="en-GB" w:eastAsia="en-GB" w:bidi="ar-SA"/>
            </w:rPr>
          </w:pPr>
          <w:hyperlink w:anchor="_Toc126660667" w:history="1">
            <w:r w:rsidRPr="00434959">
              <w:rPr>
                <w:rStyle w:val="Hipercze"/>
                <w:noProof/>
                <w:lang w:val="pl"/>
              </w:rPr>
              <w:t>d.  Znaczący uszczerbek niefinansowy</w:t>
            </w:r>
            <w:r>
              <w:rPr>
                <w:noProof/>
                <w:webHidden/>
              </w:rPr>
              <w:tab/>
            </w:r>
            <w:r>
              <w:rPr>
                <w:noProof/>
                <w:webHidden/>
              </w:rPr>
              <w:fldChar w:fldCharType="begin"/>
            </w:r>
            <w:r>
              <w:rPr>
                <w:noProof/>
                <w:webHidden/>
              </w:rPr>
              <w:instrText xml:space="preserve"> PAGEREF _Toc126660667 \h </w:instrText>
            </w:r>
            <w:r>
              <w:rPr>
                <w:noProof/>
                <w:webHidden/>
              </w:rPr>
            </w:r>
            <w:r>
              <w:rPr>
                <w:noProof/>
                <w:webHidden/>
              </w:rPr>
              <w:fldChar w:fldCharType="separate"/>
            </w:r>
            <w:r w:rsidR="00220724">
              <w:rPr>
                <w:noProof/>
                <w:webHidden/>
              </w:rPr>
              <w:t>84</w:t>
            </w:r>
            <w:r>
              <w:rPr>
                <w:noProof/>
                <w:webHidden/>
              </w:rPr>
              <w:fldChar w:fldCharType="end"/>
            </w:r>
          </w:hyperlink>
        </w:p>
        <w:p w:rsidR="00356BC9" w:rsidRDefault="00356BC9">
          <w:pPr>
            <w:pStyle w:val="Spistreci3"/>
            <w:rPr>
              <w:rFonts w:eastAsiaTheme="minorEastAsia" w:cstheme="minorBidi"/>
              <w:iCs w:val="0"/>
              <w:color w:val="auto"/>
              <w:lang w:val="en-GB" w:eastAsia="en-GB" w:bidi="ar-SA"/>
            </w:rPr>
          </w:pPr>
          <w:hyperlink w:anchor="_Toc126660668" w:history="1">
            <w:r w:rsidRPr="00434959">
              <w:rPr>
                <w:rStyle w:val="Hipercze"/>
                <w:lang w:val="pl"/>
              </w:rPr>
              <w:t>4.  Klauzula ochronna: czy poszanowanie praw człowieka wymaga zbadania przedmiotu skargi</w:t>
            </w:r>
            <w:r>
              <w:rPr>
                <w:webHidden/>
              </w:rPr>
              <w:tab/>
            </w:r>
            <w:r>
              <w:rPr>
                <w:webHidden/>
              </w:rPr>
              <w:fldChar w:fldCharType="begin"/>
            </w:r>
            <w:r>
              <w:rPr>
                <w:webHidden/>
              </w:rPr>
              <w:instrText xml:space="preserve"> PAGEREF _Toc126660668 \h </w:instrText>
            </w:r>
            <w:r>
              <w:rPr>
                <w:webHidden/>
              </w:rPr>
            </w:r>
            <w:r>
              <w:rPr>
                <w:webHidden/>
              </w:rPr>
              <w:fldChar w:fldCharType="separate"/>
            </w:r>
            <w:r w:rsidR="00220724">
              <w:rPr>
                <w:webHidden/>
              </w:rPr>
              <w:t>87</w:t>
            </w:r>
            <w:r>
              <w:rPr>
                <w:webHidden/>
              </w:rPr>
              <w:fldChar w:fldCharType="end"/>
            </w:r>
          </w:hyperlink>
        </w:p>
        <w:p w:rsidR="00356BC9" w:rsidRDefault="00356BC9">
          <w:pPr>
            <w:pStyle w:val="Spistreci1"/>
            <w:rPr>
              <w:rFonts w:eastAsiaTheme="minorEastAsia" w:cstheme="minorBidi"/>
              <w:b w:val="0"/>
              <w:bCs w:val="0"/>
              <w:color w:val="auto"/>
              <w:sz w:val="22"/>
              <w:szCs w:val="22"/>
              <w:lang w:val="en-GB" w:eastAsia="en-GB" w:bidi="ar-SA"/>
            </w:rPr>
          </w:pPr>
          <w:hyperlink w:anchor="_Toc126660669" w:history="1">
            <w:r w:rsidRPr="00434959">
              <w:rPr>
                <w:rStyle w:val="Hipercze"/>
              </w:rPr>
              <w:t>Lista spraw cytowanych</w:t>
            </w:r>
            <w:r>
              <w:rPr>
                <w:webHidden/>
              </w:rPr>
              <w:tab/>
            </w:r>
            <w:r>
              <w:rPr>
                <w:webHidden/>
              </w:rPr>
              <w:fldChar w:fldCharType="begin"/>
            </w:r>
            <w:r>
              <w:rPr>
                <w:webHidden/>
              </w:rPr>
              <w:instrText xml:space="preserve"> PAGEREF _Toc126660669 \h </w:instrText>
            </w:r>
            <w:r>
              <w:rPr>
                <w:webHidden/>
              </w:rPr>
            </w:r>
            <w:r>
              <w:rPr>
                <w:webHidden/>
              </w:rPr>
              <w:fldChar w:fldCharType="separate"/>
            </w:r>
            <w:r w:rsidR="00220724">
              <w:rPr>
                <w:webHidden/>
              </w:rPr>
              <w:t>89</w:t>
            </w:r>
            <w:r>
              <w:rPr>
                <w:webHidden/>
              </w:rPr>
              <w:fldChar w:fldCharType="end"/>
            </w:r>
          </w:hyperlink>
        </w:p>
        <w:p w:rsidR="005173B0" w:rsidRDefault="00CC2C19" w:rsidP="00CC2C19">
          <w:pPr>
            <w:pStyle w:val="Spistreci1"/>
            <w:rPr>
              <w:bCs w:val="0"/>
            </w:rPr>
          </w:pPr>
          <w:r>
            <w:rPr>
              <w:color w:val="0D0D0D" w:themeColor="text1" w:themeTint="F2"/>
              <w:lang w:val="en-GB"/>
            </w:rPr>
            <w:fldChar w:fldCharType="end"/>
          </w:r>
        </w:p>
      </w:sdtContent>
    </w:sdt>
    <w:p w:rsidR="00B71A20" w:rsidRDefault="00B71A20">
      <w:pPr>
        <w:pStyle w:val="Spistreci0"/>
        <w:tabs>
          <w:tab w:val="right" w:leader="dot" w:pos="8997"/>
        </w:tabs>
        <w:spacing w:after="140"/>
        <w:ind w:left="0"/>
        <w:jc w:val="both"/>
        <w:rPr>
          <w:sz w:val="28"/>
          <w:szCs w:val="28"/>
        </w:rPr>
        <w:sectPr w:rsidR="00B71A20">
          <w:headerReference w:type="default" r:id="rId14"/>
          <w:footerReference w:type="default" r:id="rId15"/>
          <w:pgSz w:w="11900" w:h="16840"/>
          <w:pgMar w:top="1436" w:right="1408" w:bottom="1580" w:left="1410" w:header="0" w:footer="3" w:gutter="0"/>
          <w:cols w:space="720"/>
          <w:noEndnote/>
          <w:docGrid w:linePitch="360"/>
        </w:sectPr>
      </w:pPr>
    </w:p>
    <w:p w:rsidR="00B71A20" w:rsidRPr="000625F6" w:rsidRDefault="000425B4" w:rsidP="0056518E">
      <w:pPr>
        <w:pStyle w:val="Nagwek11"/>
        <w:keepNext/>
        <w:keepLines/>
        <w:spacing w:after="500"/>
        <w:jc w:val="center"/>
        <w:rPr>
          <w:lang w:val="pl-PL"/>
        </w:rPr>
      </w:pPr>
      <w:bookmarkStart w:id="1" w:name="_Toc126335599"/>
      <w:bookmarkStart w:id="2" w:name="_Toc126660553"/>
      <w:r>
        <w:rPr>
          <w:color w:val="2F2F2F"/>
          <w:lang w:val="pl"/>
        </w:rPr>
        <w:lastRenderedPageBreak/>
        <w:t>Do czytelników</w:t>
      </w:r>
      <w:bookmarkEnd w:id="1"/>
      <w:bookmarkEnd w:id="2"/>
    </w:p>
    <w:p w:rsidR="00B71A20" w:rsidRPr="000625F6" w:rsidRDefault="000425B4">
      <w:pPr>
        <w:pStyle w:val="Teksttreci0"/>
        <w:spacing w:after="120"/>
        <w:jc w:val="both"/>
        <w:rPr>
          <w:lang w:val="pl-PL"/>
        </w:rPr>
      </w:pPr>
      <w:bookmarkStart w:id="3" w:name="bookmark2"/>
      <w:r>
        <w:rPr>
          <w:lang w:val="pl"/>
        </w:rPr>
        <w:t>Niniejszy praktyczny przewodnik należy do serii przewodników dotyczących Konwencji, które są publikowane przez Europejski Trybunał Praw Człowieka (dalej „Trybunał”, „Europejski Trybunał” lub „Trybunał w Strasburgu”), aby informować osoby zajmujące się stosowaniem prawa, w szczególności prawników, którzy mogą zostać powołani do reprezentowania</w:t>
      </w:r>
      <w:r w:rsidR="0056518E">
        <w:rPr>
          <w:lang w:val="pl"/>
        </w:rPr>
        <w:t xml:space="preserve"> skarżących przed Trybunałem, o </w:t>
      </w:r>
      <w:r>
        <w:rPr>
          <w:lang w:val="pl"/>
        </w:rPr>
        <w:t xml:space="preserve">warunkach dopuszczalności skarg indywidualnych. Celem tego przewodnika jest przedstawienie bardziej przejrzystego i bardziej szczegółowego obrazu warunków dopuszczalności, aby przede wszystkim zmniejszyć w miarę możliwości liczbę skarg, które nie mają szans na wydanie orzeczenia co do ich przedmiotu, a ponadto zapewnić, by te skargi, które wymagają zbadania co do </w:t>
      </w:r>
      <w:r w:rsidR="00496A5E">
        <w:rPr>
          <w:lang w:val="pl"/>
        </w:rPr>
        <w:t>przedmiotu</w:t>
      </w:r>
      <w:r>
        <w:rPr>
          <w:lang w:val="pl"/>
        </w:rPr>
        <w:t>, przeszły test dopuszczalności.</w:t>
      </w:r>
      <w:bookmarkEnd w:id="3"/>
    </w:p>
    <w:p w:rsidR="00B71A20" w:rsidRPr="000625F6" w:rsidRDefault="000425B4">
      <w:pPr>
        <w:pStyle w:val="Teksttreci0"/>
        <w:spacing w:after="120"/>
        <w:jc w:val="both"/>
        <w:rPr>
          <w:lang w:val="pl-PL"/>
        </w:rPr>
      </w:pPr>
      <w:r>
        <w:rPr>
          <w:lang w:val="pl"/>
        </w:rPr>
        <w:t>Niniejszy przewodnik nie jest zatem wyczerpujący i skupia się na najczęściej występujących scenariuszach. Przywołane orzecznictwo stanowi wybór spośród wiodących, szczególnie istotnych lub wydanych niedawno wyroków i decyzji</w:t>
      </w:r>
      <w:r w:rsidR="005A74AF" w:rsidRPr="005A74AF">
        <w:rPr>
          <w:rStyle w:val="Odwoanieprzypisudolnego"/>
          <w:vertAlign w:val="baseline"/>
          <w:lang w:val="pl"/>
        </w:rPr>
        <w:footnoteReference w:customMarkFollows="1" w:id="1"/>
        <w:t>*</w:t>
      </w:r>
      <w:r>
        <w:rPr>
          <w:lang w:val="pl"/>
        </w:rPr>
        <w:t>.</w:t>
      </w:r>
    </w:p>
    <w:p w:rsidR="00B71A20" w:rsidRPr="000625F6" w:rsidRDefault="000425B4">
      <w:pPr>
        <w:pStyle w:val="Teksttreci0"/>
        <w:spacing w:after="120"/>
        <w:jc w:val="both"/>
        <w:rPr>
          <w:lang w:val="pl-PL"/>
        </w:rPr>
      </w:pPr>
      <w:r>
        <w:rPr>
          <w:lang w:val="pl"/>
        </w:rPr>
        <w:t>Wyroki Trybunału służą nie tylko rozstrzyganiu spraw wniesionych przed Trybunał, ale równ</w:t>
      </w:r>
      <w:r w:rsidR="0056518E">
        <w:rPr>
          <w:lang w:val="pl"/>
        </w:rPr>
        <w:t>ież, w </w:t>
      </w:r>
      <w:r>
        <w:rPr>
          <w:lang w:val="pl"/>
        </w:rPr>
        <w:t xml:space="preserve">szerszym wymiarze, wyjaśnianiu, zabezpieczaniu i rozwijaniu zasad wprowadzonych Konwencją, co jednocześnie przyczynia się do przestrzegania przez państwa zobowiązań podjętych przez nie jako układające się strony </w:t>
      </w:r>
      <w:hyperlink r:id="rId16" w:history="1">
        <w:r>
          <w:rPr>
            <w:lang w:val="pl"/>
          </w:rPr>
          <w:t>(</w:t>
        </w:r>
        <w:r>
          <w:rPr>
            <w:i/>
            <w:iCs/>
            <w:color w:val="0072BC"/>
            <w:lang w:val="pl"/>
          </w:rPr>
          <w:t>Irlandia</w:t>
        </w:r>
      </w:hyperlink>
      <w:r>
        <w:rPr>
          <w:i/>
          <w:iCs/>
          <w:color w:val="0072BC"/>
          <w:lang w:val="pl"/>
        </w:rPr>
        <w:t xml:space="preserve"> </w:t>
      </w:r>
      <w:hyperlink r:id="rId17" w:history="1">
        <w:r>
          <w:rPr>
            <w:i/>
            <w:iCs/>
            <w:color w:val="0072BC"/>
            <w:lang w:val="pl"/>
          </w:rPr>
          <w:t>p. Wielkiej Brytanii</w:t>
        </w:r>
        <w:r>
          <w:rPr>
            <w:lang w:val="pl"/>
          </w:rPr>
          <w:t>,</w:t>
        </w:r>
      </w:hyperlink>
      <w:r>
        <w:rPr>
          <w:lang w:val="pl"/>
        </w:rPr>
        <w:t xml:space="preserve"> § 154, 18 stycznia 1978 r., Seria A nr 25, oraz bardziej aktualna sprawa</w:t>
      </w:r>
      <w:hyperlink r:id="rId18" w:history="1">
        <w:r>
          <w:rPr>
            <w:lang w:val="pl"/>
          </w:rPr>
          <w:t xml:space="preserve"> </w:t>
        </w:r>
        <w:r>
          <w:rPr>
            <w:i/>
            <w:iCs/>
            <w:color w:val="0072BC"/>
            <w:lang w:val="pl"/>
          </w:rPr>
          <w:t>Jeronovičs</w:t>
        </w:r>
      </w:hyperlink>
      <w:r>
        <w:rPr>
          <w:i/>
          <w:iCs/>
          <w:color w:val="0072BC"/>
          <w:lang w:val="pl"/>
        </w:rPr>
        <w:t xml:space="preserve"> </w:t>
      </w:r>
      <w:hyperlink r:id="rId19" w:history="1">
        <w:r>
          <w:rPr>
            <w:i/>
            <w:iCs/>
            <w:color w:val="0072BC"/>
            <w:lang w:val="pl"/>
          </w:rPr>
          <w:t xml:space="preserve">p. Łotwie </w:t>
        </w:r>
      </w:hyperlink>
      <w:r>
        <w:rPr>
          <w:lang w:val="pl"/>
        </w:rPr>
        <w:t>[WI], nr 44898/10, § 109, 5 lipca 2016 r.).</w:t>
      </w:r>
    </w:p>
    <w:p w:rsidR="00B71A20" w:rsidRPr="007D2E16" w:rsidRDefault="000425B4">
      <w:pPr>
        <w:pStyle w:val="Teksttreci0"/>
        <w:spacing w:after="120"/>
        <w:jc w:val="both"/>
        <w:rPr>
          <w:spacing w:val="-2"/>
          <w:lang w:val="pl"/>
        </w:rPr>
      </w:pPr>
      <w:r w:rsidRPr="007D2E16">
        <w:rPr>
          <w:spacing w:val="-2"/>
          <w:lang w:val="pl"/>
        </w:rPr>
        <w:t>Zatem system utworzony na podstawie Konwencji ma służyć rozwiązywaniu kwestii z zakresu polityki publicznej w interesie ogólnym, a tym samym podnoszeniu stan</w:t>
      </w:r>
      <w:r w:rsidR="0056518E" w:rsidRPr="007D2E16">
        <w:rPr>
          <w:spacing w:val="-2"/>
          <w:lang w:val="pl"/>
        </w:rPr>
        <w:t>dardów ochrony praw człowieka i </w:t>
      </w:r>
      <w:r w:rsidRPr="007D2E16">
        <w:rPr>
          <w:spacing w:val="-2"/>
          <w:lang w:val="pl"/>
        </w:rPr>
        <w:t xml:space="preserve">rozwojowi wiedzy naukowej o prawach człowieka w całej społeczności państw-stron Konwencji </w:t>
      </w:r>
      <w:hyperlink r:id="rId20" w:history="1">
        <w:r w:rsidRPr="007D2E16">
          <w:rPr>
            <w:spacing w:val="-2"/>
            <w:lang w:val="pl"/>
          </w:rPr>
          <w:t>(</w:t>
        </w:r>
        <w:r w:rsidRPr="007D2E16">
          <w:rPr>
            <w:i/>
            <w:iCs/>
            <w:color w:val="0072BC"/>
            <w:spacing w:val="-2"/>
            <w:lang w:val="pl"/>
          </w:rPr>
          <w:t>Konstantin Markin</w:t>
        </w:r>
      </w:hyperlink>
      <w:r w:rsidRPr="007D2E16">
        <w:rPr>
          <w:i/>
          <w:iCs/>
          <w:color w:val="0072BC"/>
          <w:spacing w:val="-2"/>
          <w:lang w:val="pl"/>
        </w:rPr>
        <w:t xml:space="preserve"> </w:t>
      </w:r>
      <w:hyperlink r:id="rId21" w:history="1">
        <w:r w:rsidRPr="007D2E16">
          <w:rPr>
            <w:i/>
            <w:iCs/>
            <w:color w:val="0072BC"/>
            <w:spacing w:val="-2"/>
            <w:lang w:val="pl"/>
          </w:rPr>
          <w:t xml:space="preserve">p. Rosji </w:t>
        </w:r>
      </w:hyperlink>
      <w:r w:rsidRPr="007D2E16">
        <w:rPr>
          <w:spacing w:val="-2"/>
          <w:lang w:val="pl"/>
        </w:rPr>
        <w:t xml:space="preserve">[WI], § 89, nr 30078/06, ECHR 2012). Trybunał istotnie podkreśla rolę Konwencji jako jednego z „instrumentów konstytuujących porządek publiczny w Europie” w obszarze praw człowieka </w:t>
      </w:r>
      <w:hyperlink r:id="rId22" w:history="1">
        <w:r w:rsidRPr="007D2E16">
          <w:rPr>
            <w:spacing w:val="-2"/>
            <w:lang w:val="pl"/>
          </w:rPr>
          <w:t>(</w:t>
        </w:r>
        <w:r w:rsidRPr="007D2E16">
          <w:rPr>
            <w:i/>
            <w:iCs/>
            <w:color w:val="0072BC"/>
            <w:spacing w:val="-2"/>
            <w:lang w:val="pl"/>
          </w:rPr>
          <w:t xml:space="preserve">Bosphorus Hava Yolları Turizm ve Ticaret Anonim Şirketi p. Irlandii </w:t>
        </w:r>
      </w:hyperlink>
      <w:r w:rsidRPr="007D2E16">
        <w:rPr>
          <w:spacing w:val="-2"/>
          <w:lang w:val="pl"/>
        </w:rPr>
        <w:t>[WI], nr 45036/98, § 156, ECHR 2005-VI, oraz nowsze sprawy</w:t>
      </w:r>
      <w:hyperlink r:id="rId23" w:history="1">
        <w:r w:rsidRPr="007D2E16">
          <w:rPr>
            <w:spacing w:val="-2"/>
            <w:lang w:val="pl"/>
          </w:rPr>
          <w:t xml:space="preserve"> </w:t>
        </w:r>
        <w:r w:rsidRPr="007D2E16">
          <w:rPr>
            <w:i/>
            <w:iCs/>
            <w:color w:val="0072BC"/>
            <w:spacing w:val="-2"/>
            <w:lang w:val="pl"/>
          </w:rPr>
          <w:t>N.D. i N.T. p. Hiszpanii</w:t>
        </w:r>
        <w:r w:rsidRPr="007D2E16">
          <w:rPr>
            <w:color w:val="0072BC"/>
            <w:spacing w:val="-2"/>
            <w:lang w:val="pl"/>
          </w:rPr>
          <w:t xml:space="preserve"> </w:t>
        </w:r>
      </w:hyperlink>
      <w:r w:rsidRPr="007D2E16">
        <w:rPr>
          <w:spacing w:val="-2"/>
          <w:lang w:val="pl"/>
        </w:rPr>
        <w:t xml:space="preserve">[WI], </w:t>
      </w:r>
      <w:r w:rsidR="0056518E" w:rsidRPr="007D2E16">
        <w:rPr>
          <w:spacing w:val="-2"/>
          <w:lang w:val="pl"/>
        </w:rPr>
        <w:t>nr 8675/15 i 8697/15, § 110, 13 </w:t>
      </w:r>
      <w:r w:rsidRPr="007D2E16">
        <w:rPr>
          <w:spacing w:val="-2"/>
          <w:lang w:val="pl"/>
        </w:rPr>
        <w:t>lutego 2020 r.).</w:t>
      </w:r>
    </w:p>
    <w:p w:rsidR="000425B4" w:rsidRPr="000625F6" w:rsidRDefault="000425B4">
      <w:pPr>
        <w:pStyle w:val="Teksttreci0"/>
        <w:spacing w:after="120"/>
        <w:jc w:val="both"/>
        <w:rPr>
          <w:lang w:val="pl-PL"/>
        </w:rPr>
      </w:pPr>
      <w:r>
        <w:rPr>
          <w:lang w:val="pl"/>
        </w:rPr>
        <w:t xml:space="preserve">Niedawno Protokołem nr 15 do Konwencji wprowadzono do preambuły do Konwencji zasadę subsydiarności. Zasada ta „nakłada na państwa-strony i na Trybunał </w:t>
      </w:r>
      <w:r w:rsidR="0056518E">
        <w:rPr>
          <w:lang w:val="pl"/>
        </w:rPr>
        <w:t>wspólną odpowiedzialność” w </w:t>
      </w:r>
      <w:r>
        <w:rPr>
          <w:lang w:val="pl"/>
        </w:rPr>
        <w:t>kwestii ochrony praw człowieka, podczas gdy władze i sądy krajowe muszą interpretować i stosować prawo krajowe w sposób zapewniający pełną skuteczność praw i wolności zdefiniowanych w Konwencji i protokołach do niej (</w:t>
      </w:r>
      <w:hyperlink r:id="rId24" w:history="1">
        <w:r w:rsidRPr="000625F6">
          <w:rPr>
            <w:i/>
            <w:iCs/>
            <w:color w:val="0072BC"/>
            <w:lang w:val="pl-PL"/>
          </w:rPr>
          <w:t>Grzęda p. Polsce</w:t>
        </w:r>
      </w:hyperlink>
      <w:r>
        <w:rPr>
          <w:lang w:val="pl"/>
        </w:rPr>
        <w:t xml:space="preserve"> [WI], § 324).</w:t>
      </w:r>
    </w:p>
    <w:p w:rsidR="00B71A20" w:rsidRPr="000625F6" w:rsidRDefault="000425B4">
      <w:pPr>
        <w:pStyle w:val="Teksttreci0"/>
        <w:spacing w:after="120"/>
        <w:jc w:val="both"/>
        <w:rPr>
          <w:lang w:val="pl-PL"/>
        </w:rPr>
      </w:pPr>
      <w:r>
        <w:rPr>
          <w:lang w:val="pl"/>
        </w:rPr>
        <w:t xml:space="preserve">Przewodnik zawiera odniesienia do słów kluczy dotyczących każdego przywołanego artykułu Konwencji i </w:t>
      </w:r>
      <w:r w:rsidR="00165ECD">
        <w:rPr>
          <w:lang w:val="pl"/>
        </w:rPr>
        <w:t>Protokołów D</w:t>
      </w:r>
      <w:r>
        <w:rPr>
          <w:lang w:val="pl"/>
        </w:rPr>
        <w:t>odatkowych</w:t>
      </w:r>
      <w:r w:rsidR="00165ECD">
        <w:rPr>
          <w:lang w:val="pl"/>
        </w:rPr>
        <w:t xml:space="preserve"> do niej</w:t>
      </w:r>
      <w:r>
        <w:rPr>
          <w:lang w:val="pl"/>
        </w:rPr>
        <w:t>. Kwestie prawne rozpatrywane w związku z poszczególnymi sprawami zostały zebrane w formie</w:t>
      </w:r>
      <w:hyperlink r:id="rId25" w:history="1">
        <w:r>
          <w:rPr>
            <w:lang w:val="pl"/>
          </w:rPr>
          <w:t xml:space="preserve"> </w:t>
        </w:r>
        <w:r>
          <w:rPr>
            <w:color w:val="0072BC"/>
            <w:lang w:val="pl"/>
          </w:rPr>
          <w:t>Wykazu słów kluczy</w:t>
        </w:r>
        <w:r>
          <w:rPr>
            <w:lang w:val="pl"/>
          </w:rPr>
          <w:t>,</w:t>
        </w:r>
      </w:hyperlink>
      <w:r>
        <w:rPr>
          <w:lang w:val="pl"/>
        </w:rPr>
        <w:t xml:space="preserve"> opracowanego na podstawie zbioru terminów pochodzących (w większości przypadków) bez</w:t>
      </w:r>
      <w:r w:rsidR="00483C92">
        <w:rPr>
          <w:lang w:val="pl"/>
        </w:rPr>
        <w:t>pośrednio z tekstu Konwencji i P</w:t>
      </w:r>
      <w:r>
        <w:rPr>
          <w:lang w:val="pl"/>
        </w:rPr>
        <w:t>rotokołów do niej.</w:t>
      </w:r>
    </w:p>
    <w:p w:rsidR="00B71A20" w:rsidRPr="000625F6" w:rsidRDefault="000425B4">
      <w:pPr>
        <w:pStyle w:val="Teksttreci0"/>
        <w:spacing w:after="120"/>
        <w:jc w:val="both"/>
        <w:rPr>
          <w:lang w:val="pl-PL"/>
        </w:rPr>
      </w:pPr>
      <w:r>
        <w:rPr>
          <w:lang w:val="pl"/>
        </w:rPr>
        <w:t>W</w:t>
      </w:r>
      <w:hyperlink r:id="rId26" w:history="1">
        <w:r>
          <w:rPr>
            <w:lang w:val="pl"/>
          </w:rPr>
          <w:t xml:space="preserve"> </w:t>
        </w:r>
        <w:r>
          <w:rPr>
            <w:color w:val="0072BC"/>
            <w:lang w:val="pl"/>
          </w:rPr>
          <w:t xml:space="preserve">bazie danych HUDOC </w:t>
        </w:r>
      </w:hyperlink>
      <w:r>
        <w:rPr>
          <w:lang w:val="pl"/>
        </w:rPr>
        <w:t>obejmującej orzecznictwo Trybunału można</w:t>
      </w:r>
      <w:r w:rsidR="0056518E">
        <w:rPr>
          <w:lang w:val="pl"/>
        </w:rPr>
        <w:t xml:space="preserve"> prowadzić kwerendy w oparciu o </w:t>
      </w:r>
      <w:r>
        <w:rPr>
          <w:lang w:val="pl"/>
        </w:rPr>
        <w:t>słowa klucze. W ten sposób można wyszukiwać grupy dokumentów o podobnej treści prawniczej (za pomocą słów kluczy podsumowuje się tok rozumowania i wnioski Trybunału w każdej sprawie). Słowa klucze dla poszczególnych spraw można znaleźć, klikając w zakładkę Ca</w:t>
      </w:r>
      <w:r w:rsidR="0056518E">
        <w:rPr>
          <w:lang w:val="pl"/>
        </w:rPr>
        <w:t>se Details (Szczegóły sprawy) w </w:t>
      </w:r>
      <w:r>
        <w:rPr>
          <w:lang w:val="pl"/>
        </w:rPr>
        <w:t xml:space="preserve">bazie HUDOC. Więcej informacji o bazie danych HUDOC i o słowach kluczach można znaleźć </w:t>
      </w:r>
      <w:r>
        <w:rPr>
          <w:lang w:val="pl"/>
        </w:rPr>
        <w:lastRenderedPageBreak/>
        <w:t>w</w:t>
      </w:r>
      <w:hyperlink r:id="rId27" w:history="1">
        <w:r w:rsidR="0056518E">
          <w:rPr>
            <w:lang w:val="pl"/>
          </w:rPr>
          <w:t> </w:t>
        </w:r>
        <w:r>
          <w:rPr>
            <w:color w:val="0072BC"/>
            <w:lang w:val="pl"/>
          </w:rPr>
          <w:t>podręczniku użytkownika bazy HUDOC</w:t>
        </w:r>
        <w:r>
          <w:rPr>
            <w:lang w:val="pl"/>
          </w:rPr>
          <w:t>.</w:t>
        </w:r>
      </w:hyperlink>
    </w:p>
    <w:p w:rsidR="00B71A20" w:rsidRDefault="000425B4">
      <w:pPr>
        <w:pStyle w:val="Nagwek11"/>
        <w:keepNext/>
        <w:keepLines/>
        <w:spacing w:after="220"/>
        <w:jc w:val="both"/>
      </w:pPr>
      <w:bookmarkStart w:id="4" w:name="bookmark3"/>
      <w:bookmarkStart w:id="5" w:name="_Toc126335600"/>
      <w:bookmarkStart w:id="6" w:name="_Toc126660554"/>
      <w:r>
        <w:rPr>
          <w:lang w:val="pl"/>
        </w:rPr>
        <w:t>Wstęp</w:t>
      </w:r>
      <w:bookmarkEnd w:id="4"/>
      <w:bookmarkEnd w:id="5"/>
      <w:bookmarkEnd w:id="6"/>
    </w:p>
    <w:p w:rsidR="00B71A20" w:rsidRPr="000625F6" w:rsidRDefault="000425B4" w:rsidP="00700239">
      <w:pPr>
        <w:pStyle w:val="Teksttreci0"/>
        <w:numPr>
          <w:ilvl w:val="0"/>
          <w:numId w:val="1"/>
        </w:numPr>
        <w:tabs>
          <w:tab w:val="left" w:pos="289"/>
        </w:tabs>
        <w:spacing w:after="120"/>
        <w:jc w:val="both"/>
        <w:rPr>
          <w:lang w:val="pl-PL"/>
        </w:rPr>
      </w:pPr>
      <w:r>
        <w:rPr>
          <w:lang w:val="pl"/>
        </w:rPr>
        <w:t>System ochrony podstawowych praw i wolności ustanowiony przez Europejską konwencję praw człowieka („Konwencja”) jest oparty na zasadzie subsydiarności. Doniosłość tej zasady potwierdzono, przyjmując i wprowadzając w życie</w:t>
      </w:r>
      <w:hyperlink r:id="rId28" w:history="1">
        <w:r>
          <w:rPr>
            <w:lang w:val="pl"/>
          </w:rPr>
          <w:t xml:space="preserve"> </w:t>
        </w:r>
        <w:r>
          <w:rPr>
            <w:color w:val="0072BC"/>
            <w:lang w:val="pl"/>
          </w:rPr>
          <w:t>Protokół</w:t>
        </w:r>
      </w:hyperlink>
      <w:r>
        <w:rPr>
          <w:color w:val="0072BC"/>
          <w:lang w:val="pl"/>
        </w:rPr>
        <w:t xml:space="preserve"> </w:t>
      </w:r>
      <w:hyperlink r:id="rId29" w:history="1">
        <w:r>
          <w:rPr>
            <w:color w:val="0072BC"/>
            <w:lang w:val="pl"/>
          </w:rPr>
          <w:t xml:space="preserve">nr 15 </w:t>
        </w:r>
      </w:hyperlink>
      <w:r>
        <w:rPr>
          <w:lang w:val="pl"/>
        </w:rPr>
        <w:t>do Konwencji, na mocy którego dodano wyraźne odwołanie do niej w preambule do Konwencji. Zapewnienie stosowania Konwencji należy przede wszystkim do państw-stron Konwencji; Europejski Trybunał Praw Człowieka („Trybunał”) powinien interweniować jedynie wtedy, gdy państwo nie wywiąże się ze swoich zobowiązań.</w:t>
      </w:r>
    </w:p>
    <w:p w:rsidR="00B71A20" w:rsidRPr="000625F6" w:rsidRDefault="000425B4">
      <w:pPr>
        <w:pStyle w:val="Teksttreci0"/>
        <w:spacing w:after="120"/>
        <w:jc w:val="both"/>
        <w:rPr>
          <w:lang w:val="pl-PL"/>
        </w:rPr>
      </w:pPr>
      <w:r>
        <w:rPr>
          <w:lang w:val="pl"/>
        </w:rPr>
        <w:t>Nadzór Strasburga prowadzony jest głównie w wyniku skarg indywidualnych, które mogą być składane do Trybunału przez każdą osobę fizyczną lub pozarządową osobę prawną znajdującą się w jurysdykcji państwa-strony Konwencji. Grupa potencjalnych skarżących jest zatem ogromna: oprócz ośmiuset milionów mieszkańców szeroko rozumianej Europy i zamieszkujących ją lub przemieszczających się przez nią obywateli państw trzecich istnieją miliony stowarzyszeń, fundacji, partii politycznych, przedsiębiorstw itd. Ponadto należy wspomnieć o osobach, które podlegają jurysdykcji państw-stron Konwencji w wyniku eksterytorialnych działań podjętych przez nie poza ich terytoriami.</w:t>
      </w:r>
    </w:p>
    <w:p w:rsidR="00B71A20" w:rsidRPr="000625F6" w:rsidRDefault="000425B4">
      <w:pPr>
        <w:pStyle w:val="Teksttreci0"/>
        <w:spacing w:after="120"/>
        <w:jc w:val="both"/>
        <w:rPr>
          <w:lang w:val="pl-PL"/>
        </w:rPr>
      </w:pPr>
      <w:r>
        <w:rPr>
          <w:lang w:val="pl"/>
        </w:rPr>
        <w:t>Od wielu już lat z różnych powodów Trybunał jest zalewany falą sk</w:t>
      </w:r>
      <w:r w:rsidR="0019438F">
        <w:rPr>
          <w:lang w:val="pl"/>
        </w:rPr>
        <w:t>arg indywidualnych (na dzień 31 </w:t>
      </w:r>
      <w:r>
        <w:rPr>
          <w:lang w:val="pl"/>
        </w:rPr>
        <w:t>stycznia 2021 r. było zawisłych 64 100 skarg). Zdecydowana większość tych skarg zostaje jednak odrzucona bez rozpatrywania ich co do przedmiotu ze względu na niespełnienie jednego z kryteriów dopuszczalności określonych w Konwencji. Dla przykładu w 2020 r. Trybunał rozpatrzył łącznie 39 190 skarg, a 37 289 z nich zostało uznanych za niedopuszczalne lub skreślonych z listy spraw. Sytuacja ta jest frustrująca z dwóch powodów. Po pierwsze, jako że Trybunał zobowiązany jest do odpowiedzi na każdą skargę, nie może zająć się w rozsądnym terminie sprawami, które wymagają zbadania co do przedmiotu, nie przynosząc żadnych realnych korzyści dla społeczeństwa. Po drugie, roszczenia dziesiątek tysięcy skarżących muszą nieuchronnie zostać odrzucone.</w:t>
      </w:r>
    </w:p>
    <w:p w:rsidR="00B71A20" w:rsidRPr="000625F6" w:rsidRDefault="000425B4" w:rsidP="00700239">
      <w:pPr>
        <w:pStyle w:val="Teksttreci0"/>
        <w:numPr>
          <w:ilvl w:val="0"/>
          <w:numId w:val="1"/>
        </w:numPr>
        <w:tabs>
          <w:tab w:val="left" w:pos="289"/>
        </w:tabs>
        <w:spacing w:after="120"/>
        <w:jc w:val="both"/>
        <w:rPr>
          <w:lang w:val="pl-PL"/>
        </w:rPr>
      </w:pPr>
      <w:r>
        <w:rPr>
          <w:lang w:val="pl"/>
        </w:rPr>
        <w:t>Państwa-strony Konwencji, a także Trybunał wraz z jego Kancelarią, stale szukają sposobów na rozwiązanie tego problemu i zapewnienie skutecznego działania wy</w:t>
      </w:r>
      <w:r w:rsidR="001347A4">
        <w:rPr>
          <w:lang w:val="pl"/>
        </w:rPr>
        <w:t>miaru sprawiedliwości. Jednym z </w:t>
      </w:r>
      <w:r>
        <w:rPr>
          <w:lang w:val="pl"/>
        </w:rPr>
        <w:t>najbardziej widocznych działań było przyjęcie</w:t>
      </w:r>
      <w:hyperlink r:id="rId30" w:history="1">
        <w:r>
          <w:rPr>
            <w:lang w:val="pl"/>
          </w:rPr>
          <w:t xml:space="preserve"> </w:t>
        </w:r>
        <w:r>
          <w:rPr>
            <w:color w:val="0072BC"/>
            <w:lang w:val="pl"/>
          </w:rPr>
          <w:t xml:space="preserve">Protokołu nr 14 </w:t>
        </w:r>
      </w:hyperlink>
      <w:r>
        <w:rPr>
          <w:lang w:val="pl"/>
        </w:rPr>
        <w:t>do Konwencji. Dzięki niemu m.in. skargi, które są w sposób oczywisty niedopuszczalne, będą rozpatrywane przez skład jednego sędziego wspieranego przez sprawozdawców niebędących sędziami, a nie przez komitet trzech sędziów. Protokół nr 14, który wszedł w życie w dniu 1 czerwca 2010 r., wprowadził też nowe kryterium dopuszczalności dotyczące stopnia uszczerbku doznanego przez skarżącego, co ma na celu zniechęcenie do składania skarg przez osoby, które nie doznały znaczącego uszczerbku.</w:t>
      </w:r>
    </w:p>
    <w:p w:rsidR="00B71A20" w:rsidRPr="000625F6" w:rsidRDefault="000425B4">
      <w:pPr>
        <w:pStyle w:val="Teksttreci0"/>
        <w:spacing w:after="120"/>
        <w:jc w:val="both"/>
        <w:rPr>
          <w:lang w:val="pl-PL"/>
        </w:rPr>
      </w:pPr>
      <w:r>
        <w:rPr>
          <w:lang w:val="pl"/>
        </w:rPr>
        <w:t>W dniu 19 lutego 2010 r. przedstawiciele czterdziestu siedmiu państw członkowskich Rady Europy, które są bez wyjątku związane Konwencją, spotkali się w Interlaken w Szwajcarii, aby omówić przyszłość Trybunału, w szczególności nadrabianie zaległości wynikających z dużej liczby niedopuszczalnych skarg. W</w:t>
      </w:r>
      <w:hyperlink r:id="rId31" w:history="1">
        <w:r>
          <w:rPr>
            <w:lang w:val="pl"/>
          </w:rPr>
          <w:t xml:space="preserve"> </w:t>
        </w:r>
        <w:r>
          <w:rPr>
            <w:color w:val="0072BC"/>
            <w:lang w:val="pl"/>
          </w:rPr>
          <w:t>uroczystym oświadczeniu</w:t>
        </w:r>
      </w:hyperlink>
      <w:r>
        <w:rPr>
          <w:lang w:val="pl"/>
        </w:rPr>
        <w:t xml:space="preserve"> potwierdzili oni podstawową rolę Trybunału w ramach systemu europejskiego w zakresie ochrony podstawowych praw i wolności oraz zobowiązali się do zwiększenia poziomu jego skuteczności, przy jednoczesnym zachowaniu zasady skarg indywidualnych.</w:t>
      </w:r>
    </w:p>
    <w:p w:rsidR="00B71A20" w:rsidRPr="000625F6" w:rsidRDefault="000425B4">
      <w:pPr>
        <w:pStyle w:val="Teksttreci0"/>
        <w:spacing w:after="120"/>
        <w:jc w:val="both"/>
        <w:rPr>
          <w:lang w:val="pl-PL"/>
        </w:rPr>
      </w:pPr>
      <w:r>
        <w:rPr>
          <w:lang w:val="pl"/>
        </w:rPr>
        <w:t>Potrzeba zapewnienia, aby mechanizm Konwencji mógł działać w krótkim, średnim i długim okresie, została dodatkowo podkreślona w deklaracjach przyjętych na późniejszych konferencjach w</w:t>
      </w:r>
      <w:hyperlink r:id="rId32" w:history="1">
        <w:r>
          <w:rPr>
            <w:lang w:val="pl"/>
          </w:rPr>
          <w:t xml:space="preserve"> </w:t>
        </w:r>
        <w:r>
          <w:rPr>
            <w:color w:val="0072BC"/>
            <w:lang w:val="pl"/>
          </w:rPr>
          <w:t>İzmirze</w:t>
        </w:r>
        <w:r>
          <w:rPr>
            <w:lang w:val="pl"/>
          </w:rPr>
          <w:t>,</w:t>
        </w:r>
      </w:hyperlink>
      <w:hyperlink r:id="rId33" w:history="1">
        <w:r>
          <w:rPr>
            <w:lang w:val="pl"/>
          </w:rPr>
          <w:t xml:space="preserve"> </w:t>
        </w:r>
        <w:r>
          <w:rPr>
            <w:color w:val="0072BC"/>
            <w:lang w:val="pl"/>
          </w:rPr>
          <w:t>Brighton</w:t>
        </w:r>
        <w:r>
          <w:rPr>
            <w:lang w:val="pl"/>
          </w:rPr>
          <w:t>,</w:t>
        </w:r>
      </w:hyperlink>
      <w:r>
        <w:rPr>
          <w:lang w:val="pl"/>
        </w:rPr>
        <w:t xml:space="preserve"> </w:t>
      </w:r>
      <w:hyperlink r:id="rId34" w:history="1">
        <w:r>
          <w:rPr>
            <w:color w:val="0072BC"/>
            <w:lang w:val="pl"/>
          </w:rPr>
          <w:t xml:space="preserve">Brukseli </w:t>
        </w:r>
      </w:hyperlink>
      <w:r>
        <w:rPr>
          <w:lang w:val="pl"/>
        </w:rPr>
        <w:t>i</w:t>
      </w:r>
      <w:hyperlink r:id="rId35" w:history="1">
        <w:r>
          <w:rPr>
            <w:lang w:val="pl"/>
          </w:rPr>
          <w:t xml:space="preserve"> </w:t>
        </w:r>
        <w:r>
          <w:rPr>
            <w:color w:val="0072BC"/>
            <w:lang w:val="pl"/>
          </w:rPr>
          <w:t xml:space="preserve">Kopenhadze </w:t>
        </w:r>
      </w:hyperlink>
      <w:r>
        <w:rPr>
          <w:lang w:val="pl"/>
        </w:rPr>
        <w:t>, odpowiednio w latach 2011, 2</w:t>
      </w:r>
      <w:r w:rsidR="0019438F">
        <w:rPr>
          <w:lang w:val="pl"/>
        </w:rPr>
        <w:t>012, 2015 i 2018. Konferencja w </w:t>
      </w:r>
      <w:r>
        <w:rPr>
          <w:lang w:val="pl"/>
        </w:rPr>
        <w:t>Brighton doprowadziła do przyjęcia</w:t>
      </w:r>
      <w:hyperlink r:id="rId36" w:history="1">
        <w:r>
          <w:rPr>
            <w:lang w:val="pl"/>
          </w:rPr>
          <w:t xml:space="preserve"> </w:t>
        </w:r>
        <w:r>
          <w:rPr>
            <w:color w:val="0072BC"/>
            <w:lang w:val="pl"/>
          </w:rPr>
          <w:t xml:space="preserve">Protokołu nr 15 </w:t>
        </w:r>
      </w:hyperlink>
      <w:r>
        <w:rPr>
          <w:lang w:val="pl"/>
        </w:rPr>
        <w:t>do Konwencji, którym – oprócz wprowadzenia do preambuły do Konwencji odwołania do zasad subsydiarności i marginesu oceny – skrócono z sześciu do czterech miesięcy termin na wniesienie skargi do Trybunału liczony od czasu wydania ostatecznego orzeczenia krajowego.</w:t>
      </w:r>
    </w:p>
    <w:p w:rsidR="00B71A20" w:rsidRPr="000625F6" w:rsidRDefault="000425B4" w:rsidP="00700239">
      <w:pPr>
        <w:pStyle w:val="Teksttreci0"/>
        <w:numPr>
          <w:ilvl w:val="0"/>
          <w:numId w:val="1"/>
        </w:numPr>
        <w:tabs>
          <w:tab w:val="left" w:pos="284"/>
        </w:tabs>
        <w:jc w:val="both"/>
        <w:rPr>
          <w:lang w:val="pl-PL"/>
        </w:rPr>
      </w:pPr>
      <w:r>
        <w:rPr>
          <w:lang w:val="pl"/>
        </w:rPr>
        <w:t xml:space="preserve">Idea zapewnienia potencjalnym skarżącym kompleksowych i obiektywnych informacji na temat procedury składania skarg oraz kryteriów dopuszczalności jest wyraźnie opisana w punkcie C-6 lit. a i b </w:t>
      </w:r>
      <w:hyperlink r:id="rId37" w:history="1">
        <w:r>
          <w:rPr>
            <w:color w:val="0072BC"/>
            <w:lang w:val="pl"/>
          </w:rPr>
          <w:t>Deklaracji z Interlaken</w:t>
        </w:r>
        <w:r>
          <w:rPr>
            <w:lang w:val="pl"/>
          </w:rPr>
          <w:t>.</w:t>
        </w:r>
      </w:hyperlink>
      <w:r>
        <w:rPr>
          <w:lang w:val="pl"/>
        </w:rPr>
        <w:t xml:space="preserve"> Niniejszy praktyczny przewodnik w sprawie warunków dopuszczalności skarg indywidualnych należy odczytywać w tym właśnie kontekście. Jego celem jest przedstawienie bardziej przejrzystego i bardziej szczegółowego obrazu warunków dopuszczalności w celu, po pierwsze, zmniejszenia w miarę możliwości liczby skarg, które nie mają szans na wydanie orzeczenia co do ich przedmiotu, a po drugie, zapewnienia, że te skargi, które wymagają zbadania co do przedmiotu, przejdą test dopuszczalności. Obecnie w większości spraw, które spełniają kryteria dopuszczalności, jednocześnie badana jest dopuszczalność i przedmiot skargi, co upraszcza i przyspiesza tok postępowania.</w:t>
      </w:r>
    </w:p>
    <w:p w:rsidR="00B71A20" w:rsidRPr="000625F6" w:rsidRDefault="000425B4">
      <w:pPr>
        <w:pStyle w:val="Teksttreci0"/>
        <w:jc w:val="both"/>
        <w:rPr>
          <w:lang w:val="pl-PL"/>
        </w:rPr>
      </w:pPr>
      <w:r>
        <w:rPr>
          <w:lang w:val="pl"/>
        </w:rPr>
        <w:t>Dokument ten skierowany jest głównie do prawników, w szczególności tych, którzy mogą zostać powołani do reprezentowania skarżącego przed Trybunałem.</w:t>
      </w:r>
    </w:p>
    <w:p w:rsidR="00B71A20" w:rsidRPr="000625F6" w:rsidRDefault="000425B4">
      <w:pPr>
        <w:pStyle w:val="Teksttreci0"/>
        <w:jc w:val="both"/>
        <w:rPr>
          <w:lang w:val="pl-PL"/>
        </w:rPr>
      </w:pPr>
      <w:r>
        <w:rPr>
          <w:lang w:val="pl"/>
        </w:rPr>
        <w:t xml:space="preserve">Wszystkie kryteria dopuszczalności określone w art. 34 (skargi indywidualne) i art. 35 (kryteria dopuszczalności) Konwencji zostały poddane analizie w świetle orzecznictwa Trybunału. Naturalnie niektóre pojęcia, takie jak czteromiesięczny termin oraz, w mniejszym stopniu, wyczerpanie krajowych środków odwoławczych, są łatwiejsze do zdefiniowania niż inne, np. pojęcie „w sposób oczywisty nieuzasadnionych” skarg, które można doprecyzowywać niemal w nieskończoność, bądź jurysdykcja Trybunału </w:t>
      </w:r>
      <w:r>
        <w:rPr>
          <w:i/>
          <w:iCs/>
          <w:lang w:val="pl"/>
        </w:rPr>
        <w:t>ratione materiae</w:t>
      </w:r>
      <w:r>
        <w:rPr>
          <w:lang w:val="pl"/>
        </w:rPr>
        <w:t xml:space="preserve"> lub </w:t>
      </w:r>
      <w:r>
        <w:rPr>
          <w:i/>
          <w:iCs/>
          <w:lang w:val="pl"/>
        </w:rPr>
        <w:t>ratione personae</w:t>
      </w:r>
      <w:r>
        <w:rPr>
          <w:lang w:val="pl"/>
        </w:rPr>
        <w:t xml:space="preserve">. Ponadto niektóre artykuły są przywoływane przez skarżących znacznie częściej niż inne, a niektóre państwa nie ratyfikowały wszystkich </w:t>
      </w:r>
      <w:r w:rsidR="00F6049D">
        <w:rPr>
          <w:lang w:val="pl"/>
        </w:rPr>
        <w:t>Protokołów D</w:t>
      </w:r>
      <w:r>
        <w:rPr>
          <w:lang w:val="pl"/>
        </w:rPr>
        <w:t>odatkowych do Konwencji, podczas gdy inne zgłosiły zastrzeżenia co do zakresu stosowania niektórych przepisów. Niniejszy przewodnik nie jest zatem wyczerpujący i skupia się na najczęściej występujących scenariuszach. Koncentruje się na sprawach wynikłych ze skarg indywidualnych (wniesionych na mocy art. 34 Konwencji), choć nie bez odniesień do konkretnych wyroków i decyzji wydanych w sprawach międzypaństwowych (wniesionych na mocy art. 33 Konwencji</w:t>
      </w:r>
      <w:r>
        <w:rPr>
          <w:vertAlign w:val="superscript"/>
          <w:lang w:val="pl"/>
        </w:rPr>
        <w:footnoteReference w:id="2"/>
      </w:r>
      <w:r>
        <w:rPr>
          <w:lang w:val="pl"/>
        </w:rPr>
        <w:t>) w zakresie, w jakim mają one znaczenie dla skarg indywidualnych.</w:t>
      </w:r>
    </w:p>
    <w:p w:rsidR="00B71A20" w:rsidRPr="000625F6" w:rsidRDefault="000425B4" w:rsidP="00700239">
      <w:pPr>
        <w:pStyle w:val="Teksttreci0"/>
        <w:numPr>
          <w:ilvl w:val="0"/>
          <w:numId w:val="1"/>
        </w:numPr>
        <w:tabs>
          <w:tab w:val="left" w:pos="289"/>
        </w:tabs>
        <w:jc w:val="both"/>
        <w:rPr>
          <w:lang w:val="pl-PL"/>
        </w:rPr>
      </w:pPr>
      <w:r>
        <w:rPr>
          <w:lang w:val="pl"/>
        </w:rPr>
        <w:t xml:space="preserve">Przewodnik został przygotowany przez </w:t>
      </w:r>
      <w:r w:rsidR="00E03285">
        <w:rPr>
          <w:lang w:val="pl"/>
        </w:rPr>
        <w:t>Dyrekcję ds. Prawnych (</w:t>
      </w:r>
      <w:r w:rsidR="00E03285">
        <w:rPr>
          <w:i/>
          <w:lang w:val="pl"/>
        </w:rPr>
        <w:t>Directorate of the Jurisconsult</w:t>
      </w:r>
      <w:r w:rsidR="00E03285" w:rsidRPr="00E03285">
        <w:rPr>
          <w:lang w:val="pl"/>
        </w:rPr>
        <w:t>)</w:t>
      </w:r>
      <w:r w:rsidR="00E03285">
        <w:rPr>
          <w:lang w:val="pl"/>
        </w:rPr>
        <w:t xml:space="preserve"> Trybunału</w:t>
      </w:r>
      <w:r>
        <w:rPr>
          <w:lang w:val="pl"/>
        </w:rPr>
        <w:t>, a zawarta w nim interpretacja kryteriów dopuszczalności w żaden sposób nie wiąże Trybunału. Przewodnik będzie regularnie aktualizowany. Niniejszy dokument został sporządzony w języku francuskim i angielskim oraz zostanie przetłumaczony na inne języki, z pierwszeństwem d</w:t>
      </w:r>
      <w:r w:rsidR="0019438F">
        <w:rPr>
          <w:lang w:val="pl"/>
        </w:rPr>
        <w:t>la języków urzędowych krajów, z </w:t>
      </w:r>
      <w:r>
        <w:rPr>
          <w:lang w:val="pl"/>
        </w:rPr>
        <w:t>których wpływa najwięcej spraw.</w:t>
      </w:r>
    </w:p>
    <w:p w:rsidR="00B71A20" w:rsidRPr="000625F6" w:rsidRDefault="000425B4" w:rsidP="00700239">
      <w:pPr>
        <w:pStyle w:val="Teksttreci0"/>
        <w:numPr>
          <w:ilvl w:val="0"/>
          <w:numId w:val="1"/>
        </w:numPr>
        <w:tabs>
          <w:tab w:val="left" w:pos="284"/>
        </w:tabs>
        <w:jc w:val="both"/>
        <w:rPr>
          <w:lang w:val="pl-PL"/>
        </w:rPr>
      </w:pPr>
      <w:r>
        <w:rPr>
          <w:lang w:val="pl"/>
        </w:rPr>
        <w:t xml:space="preserve">Po zdefiniowaniu pojęć skargi indywidualnej i statusu ofiary w przewodniku przedstawiono podstawy proceduralne niedopuszczalności skargi </w:t>
      </w:r>
      <w:hyperlink w:anchor="bookmark67" w:tooltip="Bieżący dokument">
        <w:r>
          <w:rPr>
            <w:lang w:val="pl"/>
          </w:rPr>
          <w:t>(</w:t>
        </w:r>
        <w:r>
          <w:rPr>
            <w:color w:val="0072BC"/>
            <w:lang w:val="pl"/>
          </w:rPr>
          <w:t>część I</w:t>
        </w:r>
        <w:r>
          <w:rPr>
            <w:lang w:val="pl"/>
          </w:rPr>
          <w:t>)</w:t>
        </w:r>
      </w:hyperlink>
      <w:r>
        <w:rPr>
          <w:lang w:val="pl"/>
        </w:rPr>
        <w:t xml:space="preserve">, podstawy jurysdykcji Trybunału </w:t>
      </w:r>
      <w:hyperlink w:anchor="bookmark223" w:tooltip="Bieżący dokument">
        <w:r>
          <w:rPr>
            <w:lang w:val="pl"/>
          </w:rPr>
          <w:t>(</w:t>
        </w:r>
        <w:r>
          <w:rPr>
            <w:color w:val="0072BC"/>
            <w:lang w:val="pl"/>
          </w:rPr>
          <w:t>część II</w:t>
        </w:r>
        <w:r>
          <w:rPr>
            <w:lang w:val="pl"/>
          </w:rPr>
          <w:t>)</w:t>
        </w:r>
      </w:hyperlink>
      <w:r w:rsidR="0019438F">
        <w:rPr>
          <w:lang w:val="pl"/>
        </w:rPr>
        <w:t xml:space="preserve"> i </w:t>
      </w:r>
      <w:r>
        <w:rPr>
          <w:lang w:val="pl"/>
        </w:rPr>
        <w:t xml:space="preserve">te dotyczące przedmiotu skargi </w:t>
      </w:r>
      <w:hyperlink w:anchor="bookmark293" w:tooltip="Bieżący dokument">
        <w:r>
          <w:rPr>
            <w:lang w:val="pl"/>
          </w:rPr>
          <w:t>(</w:t>
        </w:r>
        <w:r>
          <w:rPr>
            <w:color w:val="0072BC"/>
            <w:lang w:val="pl"/>
          </w:rPr>
          <w:t>część III</w:t>
        </w:r>
        <w:r>
          <w:rPr>
            <w:lang w:val="pl"/>
          </w:rPr>
          <w:t>)</w:t>
        </w:r>
      </w:hyperlink>
      <w:r>
        <w:rPr>
          <w:vertAlign w:val="superscript"/>
          <w:lang w:val="pl"/>
        </w:rPr>
        <w:footnoteReference w:id="3"/>
      </w:r>
      <w:r>
        <w:rPr>
          <w:lang w:val="pl"/>
        </w:rPr>
        <w:t>.</w:t>
      </w:r>
    </w:p>
    <w:p w:rsidR="00AE2EC5" w:rsidRDefault="00AE2EC5">
      <w:pPr>
        <w:rPr>
          <w:rFonts w:ascii="Calibri" w:eastAsia="Calibri" w:hAnsi="Calibri" w:cs="Calibri"/>
          <w:b/>
          <w:bCs/>
          <w:sz w:val="32"/>
          <w:szCs w:val="32"/>
          <w:lang w:val="pl"/>
        </w:rPr>
      </w:pPr>
      <w:bookmarkStart w:id="7" w:name="bookmark6"/>
      <w:bookmarkStart w:id="8" w:name="_Toc126335601"/>
      <w:r>
        <w:rPr>
          <w:lang w:val="pl"/>
        </w:rPr>
        <w:br w:type="page"/>
      </w:r>
    </w:p>
    <w:p w:rsidR="00B71A20" w:rsidRPr="000625F6" w:rsidRDefault="000425B4">
      <w:pPr>
        <w:pStyle w:val="Nagwek21"/>
        <w:keepNext/>
        <w:keepLines/>
        <w:spacing w:after="202"/>
        <w:rPr>
          <w:lang w:val="pl-PL"/>
        </w:rPr>
      </w:pPr>
      <w:bookmarkStart w:id="9" w:name="_Toc126660555"/>
      <w:r>
        <w:rPr>
          <w:lang w:val="pl"/>
        </w:rPr>
        <w:lastRenderedPageBreak/>
        <w:t>A. Skarga indywidualna</w:t>
      </w:r>
      <w:bookmarkEnd w:id="7"/>
      <w:bookmarkEnd w:id="8"/>
      <w:bookmarkEnd w:id="9"/>
    </w:p>
    <w:tbl>
      <w:tblPr>
        <w:tblStyle w:val="Tabela-Siatka"/>
        <w:tblW w:w="0" w:type="auto"/>
        <w:shd w:val="clear" w:color="auto" w:fill="FAFAFA"/>
        <w:tblLook w:val="04A0" w:firstRow="1" w:lastRow="0" w:firstColumn="1" w:lastColumn="0" w:noHBand="0" w:noVBand="1"/>
      </w:tblPr>
      <w:tblGrid>
        <w:gridCol w:w="9096"/>
      </w:tblGrid>
      <w:tr w:rsidR="00AE2EC5" w:rsidRPr="00AE2EC5" w:rsidTr="0024595F">
        <w:trPr>
          <w:trHeight w:val="1231"/>
        </w:trPr>
        <w:tc>
          <w:tcPr>
            <w:tcW w:w="9096" w:type="dxa"/>
            <w:tcBorders>
              <w:bottom w:val="single" w:sz="4" w:space="0" w:color="auto"/>
            </w:tcBorders>
            <w:shd w:val="clear" w:color="auto" w:fill="FAFAFA"/>
          </w:tcPr>
          <w:p w:rsidR="00AE2EC5" w:rsidRPr="00AE2EC5" w:rsidRDefault="00AE2EC5" w:rsidP="00AE2EC5">
            <w:pPr>
              <w:pStyle w:val="Teksttreci0"/>
              <w:spacing w:before="120" w:after="120"/>
              <w:rPr>
                <w:b/>
                <w:bCs/>
                <w:color w:val="00548C"/>
                <w:lang w:val="pl"/>
              </w:rPr>
            </w:pPr>
            <w:r w:rsidRPr="00AE2EC5">
              <w:rPr>
                <w:b/>
                <w:bCs/>
                <w:color w:val="00548C"/>
                <w:lang w:val="pl"/>
              </w:rPr>
              <w:t>Artykuł 34 Konwencji – Skargi indywidualne</w:t>
            </w:r>
          </w:p>
          <w:p w:rsidR="00AE2EC5" w:rsidRPr="00AE2EC5" w:rsidRDefault="00AE2EC5" w:rsidP="00AE2EC5">
            <w:pPr>
              <w:pStyle w:val="Teksttreci0"/>
              <w:spacing w:after="220"/>
              <w:ind w:left="596"/>
              <w:jc w:val="both"/>
              <w:rPr>
                <w:lang w:val="pl-PL"/>
              </w:rPr>
            </w:pPr>
            <w:r w:rsidRPr="00AE2EC5">
              <w:rPr>
                <w:color w:val="262626"/>
                <w:sz w:val="20"/>
                <w:szCs w:val="20"/>
                <w:lang w:val="pl"/>
              </w:rPr>
              <w:t>„Trybunał może przyjmować skargi każdej osoby, organizacji pozarządowej lub grupy jednostek, która uważa, że stała się ofiarą naruszenia przez jedną z Wysokich Układających się Stron praw zawartych w niniejszej konwencji lub jej protokołach. (...)”</w:t>
            </w:r>
          </w:p>
        </w:tc>
      </w:tr>
      <w:tr w:rsidR="00AE2EC5" w:rsidRPr="00C31F37" w:rsidTr="0024595F">
        <w:trPr>
          <w:trHeight w:val="1300"/>
        </w:trPr>
        <w:tc>
          <w:tcPr>
            <w:tcW w:w="9096" w:type="dxa"/>
            <w:tcBorders>
              <w:bottom w:val="single" w:sz="4" w:space="0" w:color="auto"/>
            </w:tcBorders>
            <w:shd w:val="clear" w:color="auto" w:fill="FAFAFA"/>
          </w:tcPr>
          <w:p w:rsidR="00AE2EC5" w:rsidRPr="00AE2EC5" w:rsidRDefault="00AE2EC5" w:rsidP="00AE2EC5">
            <w:pPr>
              <w:pStyle w:val="Teksttreci0"/>
              <w:spacing w:before="120" w:after="120"/>
              <w:rPr>
                <w:b/>
                <w:bCs/>
                <w:color w:val="00548C"/>
                <w:lang w:val="pl"/>
              </w:rPr>
            </w:pPr>
            <w:r w:rsidRPr="00AE2EC5">
              <w:rPr>
                <w:b/>
                <w:bCs/>
                <w:color w:val="00548C"/>
                <w:lang w:val="pl"/>
              </w:rPr>
              <w:t>Słowa klucze w bazie HUDOC</w:t>
            </w:r>
          </w:p>
          <w:p w:rsidR="00AE2EC5" w:rsidRPr="00AE2EC5" w:rsidRDefault="00AE2EC5" w:rsidP="00AE2EC5">
            <w:pPr>
              <w:pStyle w:val="Teksttreci0"/>
              <w:spacing w:after="240"/>
              <w:ind w:left="595"/>
              <w:jc w:val="both"/>
              <w:rPr>
                <w:lang w:val="pl-PL"/>
              </w:rPr>
            </w:pPr>
            <w:r w:rsidRPr="00AE2EC5">
              <w:rPr>
                <w:color w:val="262626"/>
                <w:sz w:val="20"/>
                <w:szCs w:val="20"/>
                <w:lang w:val="pl"/>
              </w:rPr>
              <w:t xml:space="preserve">Skarga (34) – pozwane państwo-strona (34) – osoba fizyczna (34) – organizacja pozarządowa (34) – grupa jednostek (34) – ofiara (34) – </w:t>
            </w:r>
            <w:r w:rsidRPr="00AE2EC5">
              <w:rPr>
                <w:i/>
                <w:iCs/>
                <w:sz w:val="20"/>
                <w:szCs w:val="20"/>
                <w:lang w:val="pl"/>
              </w:rPr>
              <w:t xml:space="preserve">actio popularis </w:t>
            </w:r>
            <w:r w:rsidRPr="00AE2EC5">
              <w:rPr>
                <w:color w:val="262626"/>
                <w:sz w:val="20"/>
                <w:szCs w:val="20"/>
                <w:lang w:val="pl"/>
              </w:rPr>
              <w:t xml:space="preserve">(34) – </w:t>
            </w:r>
            <w:r w:rsidRPr="00AE2EC5">
              <w:rPr>
                <w:i/>
                <w:iCs/>
                <w:sz w:val="20"/>
                <w:szCs w:val="20"/>
                <w:lang w:val="pl"/>
              </w:rPr>
              <w:t xml:space="preserve">locus standi </w:t>
            </w:r>
            <w:r w:rsidRPr="00AE2EC5">
              <w:rPr>
                <w:color w:val="262626"/>
                <w:sz w:val="20"/>
                <w:szCs w:val="20"/>
                <w:lang w:val="pl"/>
              </w:rPr>
              <w:t>(34)</w:t>
            </w:r>
          </w:p>
        </w:tc>
      </w:tr>
    </w:tbl>
    <w:p w:rsidR="00AE2EC5" w:rsidRDefault="00AE2EC5" w:rsidP="00AE2EC5">
      <w:pPr>
        <w:pStyle w:val="Nagwek31"/>
        <w:keepNext/>
        <w:keepLines/>
        <w:tabs>
          <w:tab w:val="left" w:pos="328"/>
        </w:tabs>
        <w:spacing w:after="100"/>
        <w:rPr>
          <w:lang w:val="pl"/>
        </w:rPr>
      </w:pPr>
      <w:bookmarkStart w:id="10" w:name="bookmark9"/>
      <w:bookmarkStart w:id="11" w:name="_Toc126335602"/>
    </w:p>
    <w:p w:rsidR="00B71A20" w:rsidRDefault="00AE2EC5" w:rsidP="00AE2EC5">
      <w:pPr>
        <w:pStyle w:val="Nagwek31"/>
        <w:keepNext/>
        <w:keepLines/>
        <w:tabs>
          <w:tab w:val="left" w:pos="328"/>
        </w:tabs>
        <w:spacing w:after="100"/>
      </w:pPr>
      <w:bookmarkStart w:id="12" w:name="_Toc126660556"/>
      <w:r>
        <w:rPr>
          <w:lang w:val="pl"/>
        </w:rPr>
        <w:t xml:space="preserve">1.  </w:t>
      </w:r>
      <w:r w:rsidR="000425B4">
        <w:rPr>
          <w:lang w:val="pl"/>
        </w:rPr>
        <w:t>Cel przepisu</w:t>
      </w:r>
      <w:bookmarkEnd w:id="10"/>
      <w:bookmarkEnd w:id="11"/>
      <w:bookmarkEnd w:id="12"/>
    </w:p>
    <w:p w:rsidR="00B71A20" w:rsidRPr="000625F6" w:rsidRDefault="000425B4" w:rsidP="00700239">
      <w:pPr>
        <w:pStyle w:val="Teksttreci0"/>
        <w:numPr>
          <w:ilvl w:val="0"/>
          <w:numId w:val="3"/>
        </w:numPr>
        <w:tabs>
          <w:tab w:val="left" w:pos="312"/>
        </w:tabs>
        <w:jc w:val="both"/>
        <w:rPr>
          <w:lang w:val="pl-PL"/>
        </w:rPr>
      </w:pPr>
      <w:r>
        <w:rPr>
          <w:lang w:val="pl"/>
        </w:rPr>
        <w:t xml:space="preserve">Artykuł 34 gwarantujący prawo do skargi indywidualnej daje podmiotowi realne prawo do podjęcia działań prawnych na szczeblu międzynarodowym. Jest to także jedna z podstawowych gwarancji skuteczności systemu konwencyjnego – jeden z „kluczowych elementów mechanizmu” ochrony praw człowieka </w:t>
      </w:r>
      <w:hyperlink r:id="rId38" w:history="1">
        <w:r>
          <w:rPr>
            <w:lang w:val="pl"/>
          </w:rPr>
          <w:t>(</w:t>
        </w:r>
        <w:r>
          <w:rPr>
            <w:i/>
            <w:iCs/>
            <w:color w:val="0072BC"/>
            <w:lang w:val="pl"/>
          </w:rPr>
          <w:t xml:space="preserve">Mamatkulov i Askarov p. Turcji </w:t>
        </w:r>
      </w:hyperlink>
      <w:r>
        <w:rPr>
          <w:lang w:val="pl"/>
        </w:rPr>
        <w:t>[WI], §§ 100 i 122;</w:t>
      </w:r>
      <w:hyperlink r:id="rId39" w:history="1">
        <w:r>
          <w:rPr>
            <w:lang w:val="pl"/>
          </w:rPr>
          <w:t xml:space="preserve"> </w:t>
        </w:r>
        <w:r>
          <w:rPr>
            <w:i/>
            <w:iCs/>
            <w:color w:val="0072BC"/>
            <w:lang w:val="pl"/>
          </w:rPr>
          <w:t>Loizidou</w:t>
        </w:r>
      </w:hyperlink>
      <w:r>
        <w:rPr>
          <w:i/>
          <w:iCs/>
          <w:color w:val="0072BC"/>
          <w:lang w:val="pl"/>
        </w:rPr>
        <w:t xml:space="preserve"> </w:t>
      </w:r>
      <w:hyperlink r:id="rId40" w:history="1">
        <w:r>
          <w:rPr>
            <w:i/>
            <w:iCs/>
            <w:color w:val="0072BC"/>
            <w:lang w:val="pl"/>
          </w:rPr>
          <w:t>p. Turcji</w:t>
        </w:r>
        <w:r>
          <w:rPr>
            <w:color w:val="0072BC"/>
            <w:lang w:val="pl"/>
          </w:rPr>
          <w:t xml:space="preserve"> </w:t>
        </w:r>
      </w:hyperlink>
      <w:r>
        <w:rPr>
          <w:lang w:val="pl"/>
        </w:rPr>
        <w:t>(zastrzeżenia wstępne), § 70).</w:t>
      </w:r>
    </w:p>
    <w:p w:rsidR="00B71A20" w:rsidRPr="000625F6" w:rsidRDefault="000425B4" w:rsidP="00700239">
      <w:pPr>
        <w:pStyle w:val="Teksttreci0"/>
        <w:numPr>
          <w:ilvl w:val="0"/>
          <w:numId w:val="3"/>
        </w:numPr>
        <w:tabs>
          <w:tab w:val="left" w:pos="312"/>
        </w:tabs>
        <w:jc w:val="both"/>
        <w:rPr>
          <w:lang w:val="pl-PL"/>
        </w:rPr>
      </w:pPr>
      <w:r>
        <w:rPr>
          <w:lang w:val="pl"/>
        </w:rPr>
        <w:t xml:space="preserve">Konwencja, będąca „żywym instrumentem”, musi być interpretowana w świetle aktualnych okoliczności. Ugruntowane orzecznictwo w tym zakresie odnosi się także do przepisów proceduralnych, takich jak art. 34 </w:t>
      </w:r>
      <w:hyperlink r:id="rId41" w:history="1">
        <w:r>
          <w:rPr>
            <w:lang w:val="pl"/>
          </w:rPr>
          <w:t>(</w:t>
        </w:r>
        <w:r>
          <w:rPr>
            <w:i/>
            <w:iCs/>
            <w:color w:val="0072BC"/>
            <w:lang w:val="pl"/>
          </w:rPr>
          <w:t>ibid.</w:t>
        </w:r>
        <w:r>
          <w:rPr>
            <w:lang w:val="pl"/>
          </w:rPr>
          <w:t>,</w:t>
        </w:r>
      </w:hyperlink>
      <w:r>
        <w:rPr>
          <w:lang w:val="pl"/>
        </w:rPr>
        <w:t xml:space="preserve"> § 71).</w:t>
      </w:r>
    </w:p>
    <w:p w:rsidR="00B71A20" w:rsidRPr="000625F6" w:rsidRDefault="000425B4" w:rsidP="00700239">
      <w:pPr>
        <w:pStyle w:val="Teksttreci0"/>
        <w:numPr>
          <w:ilvl w:val="0"/>
          <w:numId w:val="3"/>
        </w:numPr>
        <w:tabs>
          <w:tab w:val="left" w:pos="312"/>
        </w:tabs>
        <w:spacing w:after="220"/>
        <w:jc w:val="both"/>
        <w:rPr>
          <w:lang w:val="pl-PL"/>
        </w:rPr>
      </w:pPr>
      <w:bookmarkStart w:id="13" w:name="bookmark12"/>
      <w:r>
        <w:rPr>
          <w:lang w:val="pl"/>
        </w:rPr>
        <w:t xml:space="preserve">Skarżący, jeżeli chce powołać się na art. 34 Konwencji, powinien spełnić dwa warunki: musi mieścić się w jednej z kategorii skarżących, o których mowa w art. 34, i musi przedstawić dowody na to, że jest ofiarą naruszenia Konwencji </w:t>
      </w:r>
      <w:hyperlink r:id="rId42" w:history="1">
        <w:r>
          <w:rPr>
            <w:lang w:val="pl"/>
          </w:rPr>
          <w:t>(</w:t>
        </w:r>
        <w:r>
          <w:rPr>
            <w:i/>
            <w:iCs/>
            <w:color w:val="0072BC"/>
            <w:lang w:val="pl"/>
          </w:rPr>
          <w:t>Vallianatos i Inni</w:t>
        </w:r>
      </w:hyperlink>
      <w:r>
        <w:rPr>
          <w:i/>
          <w:iCs/>
          <w:color w:val="0072BC"/>
          <w:lang w:val="pl"/>
        </w:rPr>
        <w:t xml:space="preserve"> </w:t>
      </w:r>
      <w:hyperlink r:id="rId43" w:history="1">
        <w:r>
          <w:rPr>
            <w:i/>
            <w:iCs/>
            <w:color w:val="0072BC"/>
            <w:lang w:val="pl"/>
          </w:rPr>
          <w:t xml:space="preserve">p. Grecji </w:t>
        </w:r>
      </w:hyperlink>
      <w:r>
        <w:rPr>
          <w:lang w:val="pl"/>
        </w:rPr>
        <w:t>[WI], § 47).</w:t>
      </w:r>
      <w:bookmarkEnd w:id="13"/>
    </w:p>
    <w:p w:rsidR="00B71A20" w:rsidRPr="00465E5F" w:rsidRDefault="00465E5F" w:rsidP="00465E5F">
      <w:pPr>
        <w:pStyle w:val="Nagwek31"/>
        <w:keepNext/>
        <w:keepLines/>
        <w:tabs>
          <w:tab w:val="left" w:pos="332"/>
        </w:tabs>
        <w:spacing w:after="220"/>
        <w:jc w:val="both"/>
        <w:rPr>
          <w:lang w:val="pl-PL"/>
        </w:rPr>
      </w:pPr>
      <w:bookmarkStart w:id="14" w:name="bookmark13"/>
      <w:bookmarkStart w:id="15" w:name="_Toc126335603"/>
      <w:bookmarkStart w:id="16" w:name="_Toc126660557"/>
      <w:r>
        <w:rPr>
          <w:lang w:val="pl"/>
        </w:rPr>
        <w:t xml:space="preserve">2.  </w:t>
      </w:r>
      <w:r w:rsidR="000425B4">
        <w:rPr>
          <w:lang w:val="pl"/>
        </w:rPr>
        <w:t>Kategorie skarżących</w:t>
      </w:r>
      <w:bookmarkEnd w:id="14"/>
      <w:bookmarkEnd w:id="15"/>
      <w:bookmarkEnd w:id="16"/>
    </w:p>
    <w:p w:rsidR="00B71A20" w:rsidRPr="00465E5F" w:rsidRDefault="002A4BE6" w:rsidP="002A4BE6">
      <w:pPr>
        <w:pStyle w:val="ECHRHeading4"/>
        <w:rPr>
          <w:rFonts w:asciiTheme="minorHAnsi" w:hAnsiTheme="minorHAnsi"/>
          <w:lang w:val="pl-PL"/>
        </w:rPr>
      </w:pPr>
      <w:bookmarkStart w:id="17" w:name="_Toc126335604"/>
      <w:bookmarkStart w:id="18" w:name="_Toc126660558"/>
      <w:r w:rsidRPr="00465E5F">
        <w:rPr>
          <w:rFonts w:asciiTheme="minorHAnsi" w:hAnsiTheme="minorHAnsi"/>
          <w:lang w:val="pl-PL"/>
        </w:rPr>
        <w:t xml:space="preserve">a.  </w:t>
      </w:r>
      <w:r w:rsidR="000425B4" w:rsidRPr="00465E5F">
        <w:rPr>
          <w:rFonts w:asciiTheme="minorHAnsi" w:hAnsiTheme="minorHAnsi"/>
          <w:lang w:val="pl-PL"/>
        </w:rPr>
        <w:t>Osoby fizyczne</w:t>
      </w:r>
      <w:bookmarkEnd w:id="17"/>
      <w:bookmarkEnd w:id="18"/>
    </w:p>
    <w:p w:rsidR="00B71A20" w:rsidRPr="000625F6" w:rsidRDefault="000425B4" w:rsidP="00115011">
      <w:pPr>
        <w:pStyle w:val="Teksttreci0"/>
        <w:numPr>
          <w:ilvl w:val="0"/>
          <w:numId w:val="4"/>
        </w:numPr>
        <w:tabs>
          <w:tab w:val="left" w:pos="312"/>
        </w:tabs>
        <w:spacing w:before="120" w:after="120"/>
        <w:jc w:val="both"/>
        <w:rPr>
          <w:lang w:val="pl-PL"/>
        </w:rPr>
      </w:pPr>
      <w:r>
        <w:rPr>
          <w:lang w:val="pl"/>
        </w:rPr>
        <w:t xml:space="preserve">Każda osoba może skorzystać z ochrony konwencyjnej w sprawach przeciwko państwu-stronie Konwencji w oparciu o zarzut naruszenia postanowień Konwencji na terytorium podlegającym jurysdykcji danego państwa, zgodnie z art. 1 Konwencji </w:t>
      </w:r>
      <w:hyperlink r:id="rId44" w:history="1">
        <w:r>
          <w:rPr>
            <w:lang w:val="pl"/>
          </w:rPr>
          <w:t>(</w:t>
        </w:r>
        <w:r>
          <w:rPr>
            <w:i/>
            <w:iCs/>
            <w:color w:val="0072BC"/>
            <w:lang w:val="pl"/>
          </w:rPr>
          <w:t>Van der Tang p. Hiszpanii</w:t>
        </w:r>
        <w:r>
          <w:rPr>
            <w:lang w:val="pl"/>
          </w:rPr>
          <w:t>,</w:t>
        </w:r>
      </w:hyperlink>
      <w:r>
        <w:rPr>
          <w:lang w:val="pl"/>
        </w:rPr>
        <w:t xml:space="preserve"> § 53), bez względu na narodowość, miejsce zamieszkania, stan cywilny, sytuację lub zd</w:t>
      </w:r>
      <w:r w:rsidR="0056518E">
        <w:rPr>
          <w:lang w:val="pl"/>
        </w:rPr>
        <w:t>olność do czynności prawnych. W </w:t>
      </w:r>
      <w:r>
        <w:rPr>
          <w:lang w:val="pl"/>
        </w:rPr>
        <w:t>odniesieniu do matki pozbawionej praw rodzicielskich patrz</w:t>
      </w:r>
      <w:hyperlink r:id="rId45" w:history="1">
        <w:r>
          <w:rPr>
            <w:lang w:val="pl"/>
          </w:rPr>
          <w:t xml:space="preserve"> </w:t>
        </w:r>
        <w:r>
          <w:rPr>
            <w:i/>
            <w:iCs/>
            <w:color w:val="0072BC"/>
            <w:lang w:val="pl"/>
          </w:rPr>
          <w:t>Scozzari i Giunta p. Włochom</w:t>
        </w:r>
      </w:hyperlink>
      <w:r>
        <w:rPr>
          <w:color w:val="0072BC"/>
          <w:lang w:val="pl"/>
        </w:rPr>
        <w:t xml:space="preserve"> </w:t>
      </w:r>
      <w:r w:rsidR="0056518E">
        <w:rPr>
          <w:lang w:val="pl"/>
        </w:rPr>
        <w:t>[WI], § </w:t>
      </w:r>
      <w:r>
        <w:rPr>
          <w:lang w:val="pl"/>
        </w:rPr>
        <w:t>138; w odniesieniu do nieletniego patrz</w:t>
      </w:r>
      <w:hyperlink r:id="rId46" w:history="1">
        <w:r>
          <w:rPr>
            <w:lang w:val="pl"/>
          </w:rPr>
          <w:t xml:space="preserve"> </w:t>
        </w:r>
        <w:r>
          <w:rPr>
            <w:i/>
            <w:iCs/>
            <w:color w:val="0072BC"/>
            <w:lang w:val="pl"/>
          </w:rPr>
          <w:t>A. p. Wielkiej Brytanii</w:t>
        </w:r>
        <w:r>
          <w:rPr>
            <w:lang w:val="pl"/>
          </w:rPr>
          <w:t>;</w:t>
        </w:r>
      </w:hyperlink>
      <w:r>
        <w:rPr>
          <w:lang w:val="pl"/>
        </w:rPr>
        <w:t xml:space="preserve"> w odniesieniu do osoby niemającej zdolności do czynności prawnych bez zgody jej opiekuna prawnego patrz</w:t>
      </w:r>
      <w:hyperlink r:id="rId47" w:history="1">
        <w:r>
          <w:rPr>
            <w:i/>
            <w:iCs/>
            <w:lang w:val="pl"/>
          </w:rPr>
          <w:t xml:space="preserve"> </w:t>
        </w:r>
        <w:r>
          <w:rPr>
            <w:i/>
            <w:iCs/>
            <w:color w:val="0072BC"/>
            <w:lang w:val="pl"/>
          </w:rPr>
          <w:t>Zehentner p. Austrii</w:t>
        </w:r>
        <w:r>
          <w:rPr>
            <w:lang w:val="pl"/>
          </w:rPr>
          <w:t>,</w:t>
        </w:r>
      </w:hyperlink>
      <w:r w:rsidR="0056518E">
        <w:rPr>
          <w:lang w:val="pl"/>
        </w:rPr>
        <w:t xml:space="preserve"> §§ 39 i </w:t>
      </w:r>
      <w:r>
        <w:rPr>
          <w:lang w:val="pl"/>
        </w:rPr>
        <w:t>następne.</w:t>
      </w:r>
    </w:p>
    <w:p w:rsidR="00B71A20" w:rsidRPr="000625F6" w:rsidRDefault="000425B4" w:rsidP="00115011">
      <w:pPr>
        <w:pStyle w:val="Teksttreci0"/>
        <w:numPr>
          <w:ilvl w:val="0"/>
          <w:numId w:val="4"/>
        </w:numPr>
        <w:tabs>
          <w:tab w:val="left" w:pos="395"/>
        </w:tabs>
        <w:spacing w:after="220"/>
        <w:jc w:val="both"/>
        <w:rPr>
          <w:lang w:val="pl-PL"/>
        </w:rPr>
      </w:pPr>
      <w:bookmarkStart w:id="19" w:name="bookmark18"/>
      <w:r>
        <w:rPr>
          <w:lang w:val="pl"/>
        </w:rPr>
        <w:t xml:space="preserve">Skargi mogą być wniesione tylko przez osoby żyjące lub w ich imieniu; osoba nieżyjąca nie może odwołać się do Trybunału </w:t>
      </w:r>
      <w:hyperlink r:id="rId48" w:history="1">
        <w:r>
          <w:rPr>
            <w:lang w:val="pl"/>
          </w:rPr>
          <w:t>(</w:t>
        </w:r>
        <w:r>
          <w:rPr>
            <w:i/>
            <w:iCs/>
            <w:color w:val="0072BC"/>
            <w:lang w:val="pl"/>
          </w:rPr>
          <w:t>Aizpurua Ortiz i Inni p. Hiszpanii</w:t>
        </w:r>
        <w:r>
          <w:rPr>
            <w:lang w:val="pl"/>
          </w:rPr>
          <w:t>,</w:t>
        </w:r>
      </w:hyperlink>
      <w:r>
        <w:rPr>
          <w:lang w:val="pl"/>
        </w:rPr>
        <w:t xml:space="preserve"> § 30;</w:t>
      </w:r>
      <w:hyperlink r:id="rId49" w:history="1">
        <w:r>
          <w:rPr>
            <w:i/>
            <w:iCs/>
            <w:lang w:val="pl"/>
          </w:rPr>
          <w:t xml:space="preserve"> </w:t>
        </w:r>
        <w:r>
          <w:rPr>
            <w:i/>
            <w:iCs/>
            <w:color w:val="0072BC"/>
            <w:lang w:val="pl"/>
          </w:rPr>
          <w:t>Dvořáček i Dvořáčková p. Słowacji</w:t>
        </w:r>
        <w:r>
          <w:rPr>
            <w:lang w:val="pl"/>
          </w:rPr>
          <w:t>,</w:t>
        </w:r>
      </w:hyperlink>
      <w:r w:rsidR="0056518E">
        <w:rPr>
          <w:lang w:val="pl"/>
        </w:rPr>
        <w:t xml:space="preserve"> § </w:t>
      </w:r>
      <w:r>
        <w:rPr>
          <w:lang w:val="pl"/>
        </w:rPr>
        <w:t>41).</w:t>
      </w:r>
      <w:bookmarkEnd w:id="19"/>
    </w:p>
    <w:p w:rsidR="00B71A20" w:rsidRPr="002A4BE6" w:rsidRDefault="002A4BE6" w:rsidP="002A4BE6">
      <w:pPr>
        <w:pStyle w:val="ECHRHeading4"/>
        <w:rPr>
          <w:rFonts w:asciiTheme="minorHAnsi" w:hAnsiTheme="minorHAnsi"/>
        </w:rPr>
      </w:pPr>
      <w:bookmarkStart w:id="20" w:name="_Toc126335605"/>
      <w:bookmarkStart w:id="21" w:name="_Toc126660559"/>
      <w:r w:rsidRPr="002A4BE6">
        <w:rPr>
          <w:rFonts w:asciiTheme="minorHAnsi" w:hAnsiTheme="minorHAnsi"/>
        </w:rPr>
        <w:t xml:space="preserve">b.  </w:t>
      </w:r>
      <w:r w:rsidR="000425B4" w:rsidRPr="002A4BE6">
        <w:rPr>
          <w:rFonts w:asciiTheme="minorHAnsi" w:hAnsiTheme="minorHAnsi"/>
        </w:rPr>
        <w:t>Osoby prawne</w:t>
      </w:r>
      <w:bookmarkEnd w:id="20"/>
      <w:bookmarkEnd w:id="21"/>
    </w:p>
    <w:p w:rsidR="00B71A20" w:rsidRPr="000625F6" w:rsidRDefault="000425B4" w:rsidP="00115011">
      <w:pPr>
        <w:pStyle w:val="Teksttreci0"/>
        <w:numPr>
          <w:ilvl w:val="0"/>
          <w:numId w:val="5"/>
        </w:numPr>
        <w:tabs>
          <w:tab w:val="left" w:pos="404"/>
        </w:tabs>
        <w:spacing w:before="120" w:after="120"/>
        <w:jc w:val="both"/>
        <w:rPr>
          <w:lang w:val="pl-PL"/>
        </w:rPr>
      </w:pPr>
      <w:r>
        <w:rPr>
          <w:lang w:val="pl"/>
        </w:rPr>
        <w:t>Osoba prawna, która twierdzi, że jest ofiarą naruszenia przez pa</w:t>
      </w:r>
      <w:r w:rsidR="0019438F">
        <w:rPr>
          <w:lang w:val="pl"/>
        </w:rPr>
        <w:t>ństwo-stronę praw określonych w </w:t>
      </w:r>
      <w:r>
        <w:rPr>
          <w:lang w:val="pl"/>
        </w:rPr>
        <w:t>Konwencji i Protokołach, może wnieść skargę do Trybunału jedynie wówczas, gdy jest „organizacją pozarządową” w rozumieniu art. 34 Konwencji.</w:t>
      </w:r>
    </w:p>
    <w:p w:rsidR="00B71A20" w:rsidRPr="000625F6" w:rsidRDefault="000425B4" w:rsidP="00115011">
      <w:pPr>
        <w:pStyle w:val="Teksttreci0"/>
        <w:numPr>
          <w:ilvl w:val="0"/>
          <w:numId w:val="5"/>
        </w:numPr>
        <w:tabs>
          <w:tab w:val="left" w:pos="404"/>
        </w:tabs>
        <w:jc w:val="both"/>
        <w:rPr>
          <w:lang w:val="pl-PL"/>
        </w:rPr>
      </w:pPr>
      <w:r>
        <w:rPr>
          <w:lang w:val="pl"/>
        </w:rPr>
        <w:t xml:space="preserve">Pojęcie „organizacja rządowa”, w odróżnieniu od „organizacji pozarządowej” w rozumieniu art. 34, odnosi się nie tylko do centralnych organów państwa, ale również do władzy zdecentralizowanej, która </w:t>
      </w:r>
      <w:r>
        <w:rPr>
          <w:lang w:val="pl"/>
        </w:rPr>
        <w:lastRenderedPageBreak/>
        <w:t xml:space="preserve">sprawuje „funkcje publiczne” bez względu na stopień jej autonomii wobec organów centralnych; pojęcie to obejmuje również władze lokalne i regionalne </w:t>
      </w:r>
      <w:hyperlink r:id="rId50" w:history="1">
        <w:r>
          <w:rPr>
            <w:lang w:val="pl"/>
          </w:rPr>
          <w:t>(</w:t>
        </w:r>
        <w:r>
          <w:rPr>
            <w:i/>
            <w:iCs/>
            <w:color w:val="0072BC"/>
            <w:lang w:val="pl"/>
          </w:rPr>
          <w:t>Radio France i Inni p. Francji</w:t>
        </w:r>
      </w:hyperlink>
      <w:r>
        <w:rPr>
          <w:color w:val="0072BC"/>
          <w:lang w:val="pl"/>
        </w:rPr>
        <w:t xml:space="preserve"> </w:t>
      </w:r>
      <w:r>
        <w:rPr>
          <w:lang w:val="pl"/>
        </w:rPr>
        <w:t xml:space="preserve">(dec.), § 26), gminy </w:t>
      </w:r>
      <w:hyperlink r:id="rId51" w:history="1">
        <w:r>
          <w:rPr>
            <w:lang w:val="pl"/>
          </w:rPr>
          <w:t>(</w:t>
        </w:r>
        <w:r>
          <w:rPr>
            <w:i/>
            <w:iCs/>
            <w:color w:val="0072BC"/>
            <w:lang w:val="pl"/>
          </w:rPr>
          <w:t xml:space="preserve">Ayuntamiento de Mula p. Hiszpanii </w:t>
        </w:r>
      </w:hyperlink>
      <w:r>
        <w:rPr>
          <w:lang w:val="pl"/>
        </w:rPr>
        <w:t xml:space="preserve">(dec.)), lub tę część gminy, która uczestniczy w sprawowaniu władzy publicznej </w:t>
      </w:r>
      <w:hyperlink r:id="rId52" w:history="1">
        <w:r>
          <w:rPr>
            <w:lang w:val="pl"/>
          </w:rPr>
          <w:t>(</w:t>
        </w:r>
        <w:r>
          <w:rPr>
            <w:i/>
            <w:iCs/>
            <w:color w:val="0072BC"/>
            <w:lang w:val="pl"/>
          </w:rPr>
          <w:t xml:space="preserve">Municipal Section of Antilly p. Francji </w:t>
        </w:r>
      </w:hyperlink>
      <w:r>
        <w:rPr>
          <w:lang w:val="pl"/>
        </w:rPr>
        <w:t>(dec.)). Żaden z tych organów nie jest uprawniony do wniesienia skargi na podstawie art. 34 (patrz również</w:t>
      </w:r>
      <w:hyperlink r:id="rId53" w:history="1">
        <w:r>
          <w:rPr>
            <w:lang w:val="pl"/>
          </w:rPr>
          <w:t xml:space="preserve"> </w:t>
        </w:r>
        <w:r>
          <w:rPr>
            <w:i/>
            <w:iCs/>
            <w:color w:val="0072BC"/>
            <w:lang w:val="pl"/>
          </w:rPr>
          <w:t>Döşemealtı Belediyesi</w:t>
        </w:r>
      </w:hyperlink>
      <w:r>
        <w:rPr>
          <w:i/>
          <w:iCs/>
          <w:color w:val="0072BC"/>
          <w:lang w:val="pl"/>
        </w:rPr>
        <w:t xml:space="preserve"> </w:t>
      </w:r>
      <w:hyperlink r:id="rId54" w:history="1">
        <w:r>
          <w:rPr>
            <w:i/>
            <w:iCs/>
            <w:color w:val="0072BC"/>
            <w:lang w:val="pl"/>
          </w:rPr>
          <w:t xml:space="preserve">p. Turcji </w:t>
        </w:r>
      </w:hyperlink>
      <w:r>
        <w:rPr>
          <w:lang w:val="pl"/>
        </w:rPr>
        <w:t xml:space="preserve">(dec.)). Państwo niebędące stroną Konwencji nie może zostać uznane </w:t>
      </w:r>
      <w:r w:rsidR="0019438F">
        <w:rPr>
          <w:lang w:val="pl"/>
        </w:rPr>
        <w:t>za „organizację pozarządową”, a </w:t>
      </w:r>
      <w:r>
        <w:rPr>
          <w:lang w:val="pl"/>
        </w:rPr>
        <w:t xml:space="preserve">tym samym nie jest uprawnione do wniesienia sprawy przed Trybunał na mocy art. 34 </w:t>
      </w:r>
      <w:hyperlink r:id="rId55" w:history="1">
        <w:r>
          <w:rPr>
            <w:lang w:val="pl"/>
          </w:rPr>
          <w:t>(</w:t>
        </w:r>
        <w:r>
          <w:rPr>
            <w:i/>
            <w:iCs/>
            <w:color w:val="0072BC"/>
            <w:lang w:val="pl"/>
          </w:rPr>
          <w:t>Demokratyczna</w:t>
        </w:r>
      </w:hyperlink>
      <w:r>
        <w:rPr>
          <w:i/>
          <w:iCs/>
          <w:color w:val="0072BC"/>
          <w:lang w:val="pl"/>
        </w:rPr>
        <w:t xml:space="preserve"> </w:t>
      </w:r>
      <w:hyperlink r:id="rId56" w:history="1">
        <w:r>
          <w:rPr>
            <w:i/>
            <w:iCs/>
            <w:color w:val="0072BC"/>
            <w:lang w:val="pl"/>
          </w:rPr>
          <w:t xml:space="preserve">Republika Konga p. Belgii </w:t>
        </w:r>
      </w:hyperlink>
      <w:r>
        <w:rPr>
          <w:lang w:val="pl"/>
        </w:rPr>
        <w:t>(dec.), §§ 13-21).</w:t>
      </w:r>
    </w:p>
    <w:p w:rsidR="00B71A20" w:rsidRDefault="000425B4" w:rsidP="00115011">
      <w:pPr>
        <w:pStyle w:val="Teksttreci0"/>
        <w:numPr>
          <w:ilvl w:val="0"/>
          <w:numId w:val="5"/>
        </w:numPr>
        <w:tabs>
          <w:tab w:val="left" w:pos="394"/>
        </w:tabs>
        <w:jc w:val="both"/>
      </w:pPr>
      <w:r>
        <w:rPr>
          <w:lang w:val="pl"/>
        </w:rPr>
        <w:t xml:space="preserve">Do kategorii „organizacji rządowej” zaliczane są podmioty prawne uczestniczące w rządzeniu państwem lub świadczące usługi publiczne pod kontrolą władzy państwowej </w:t>
      </w:r>
      <w:hyperlink r:id="rId57" w:history="1">
        <w:r>
          <w:rPr>
            <w:lang w:val="pl"/>
          </w:rPr>
          <w:t>(</w:t>
        </w:r>
        <w:r>
          <w:rPr>
            <w:i/>
            <w:iCs/>
            <w:color w:val="0072BC"/>
            <w:lang w:val="pl"/>
          </w:rPr>
          <w:t>JKP Vodovod</w:t>
        </w:r>
      </w:hyperlink>
      <w:r>
        <w:rPr>
          <w:i/>
          <w:iCs/>
          <w:color w:val="0072BC"/>
          <w:lang w:val="pl"/>
        </w:rPr>
        <w:t xml:space="preserve"> </w:t>
      </w:r>
      <w:hyperlink r:id="rId58" w:history="1">
        <w:r>
          <w:rPr>
            <w:i/>
            <w:iCs/>
            <w:color w:val="0072BC"/>
            <w:lang w:val="pl"/>
          </w:rPr>
          <w:t xml:space="preserve">Kraljevo p. Serbii </w:t>
        </w:r>
      </w:hyperlink>
      <w:r>
        <w:rPr>
          <w:lang w:val="pl"/>
        </w:rPr>
        <w:t>(dec.), §§ 23</w:t>
      </w:r>
      <w:r>
        <w:rPr>
          <w:lang w:val="pl"/>
        </w:rPr>
        <w:noBreakHyphen/>
        <w:t>28, sprawa dotycząca przedsiębiorstwa wodociągowo-kanalizacyjnego utworzonego przez gminę;</w:t>
      </w:r>
      <w:hyperlink r:id="rId59" w:history="1">
        <w:r>
          <w:rPr>
            <w:i/>
            <w:iCs/>
            <w:lang w:val="pl"/>
          </w:rPr>
          <w:t xml:space="preserve"> </w:t>
        </w:r>
        <w:r>
          <w:rPr>
            <w:i/>
            <w:iCs/>
            <w:color w:val="0072BC"/>
            <w:lang w:val="pl"/>
          </w:rPr>
          <w:t xml:space="preserve">İhsan Doğramacı Bilkent Üniversitesi p. Turcji </w:t>
        </w:r>
      </w:hyperlink>
      <w:r>
        <w:rPr>
          <w:lang w:val="pl"/>
        </w:rPr>
        <w:t>(dec.), §§ 35-47, sprawa dotycząca uczelni utworzonej przez fundację). Prywatny charakter zaskarżonej czynności nie ma tutaj znaczenia (§ 38).</w:t>
      </w:r>
    </w:p>
    <w:p w:rsidR="00B71A20" w:rsidRPr="000625F6" w:rsidRDefault="000425B4" w:rsidP="0019438F">
      <w:pPr>
        <w:pStyle w:val="Teksttreci0"/>
        <w:numPr>
          <w:ilvl w:val="0"/>
          <w:numId w:val="5"/>
        </w:numPr>
        <w:tabs>
          <w:tab w:val="left" w:pos="409"/>
        </w:tabs>
        <w:jc w:val="both"/>
        <w:rPr>
          <w:lang w:val="pl-PL"/>
        </w:rPr>
      </w:pPr>
      <w:r>
        <w:rPr>
          <w:lang w:val="pl"/>
        </w:rPr>
        <w:t xml:space="preserve">W celu ustalenia, czy dana osoba prawna niebędąca organem władzy terytorialnej mieści się w tej kategorii, należy wziąć pod uwagę jej status prawny oraz, w stosownych przypadkach, prawa wynikające z jej statusu, rodzaj prowadzonej działalności, uwarunkowania tej działalności oraz stopień jej niezależności od władz politycznych </w:t>
      </w:r>
      <w:hyperlink r:id="rId60" w:history="1">
        <w:r>
          <w:rPr>
            <w:lang w:val="pl"/>
          </w:rPr>
          <w:t>(</w:t>
        </w:r>
        <w:r>
          <w:rPr>
            <w:i/>
            <w:iCs/>
            <w:color w:val="0072BC"/>
            <w:lang w:val="pl"/>
          </w:rPr>
          <w:t>Radio France i Inni p. Francji</w:t>
        </w:r>
      </w:hyperlink>
      <w:r>
        <w:rPr>
          <w:color w:val="0072BC"/>
          <w:lang w:val="pl"/>
        </w:rPr>
        <w:t xml:space="preserve"> </w:t>
      </w:r>
      <w:r>
        <w:rPr>
          <w:lang w:val="pl"/>
        </w:rPr>
        <w:t>(dec.), § 26;</w:t>
      </w:r>
      <w:hyperlink r:id="rId61" w:history="1">
        <w:r>
          <w:rPr>
            <w:lang w:val="pl"/>
          </w:rPr>
          <w:t xml:space="preserve"> </w:t>
        </w:r>
        <w:r>
          <w:rPr>
            <w:i/>
            <w:iCs/>
            <w:color w:val="0072BC"/>
            <w:lang w:val="pl"/>
          </w:rPr>
          <w:t xml:space="preserve">Kotov p. Rosji </w:t>
        </w:r>
      </w:hyperlink>
      <w:r>
        <w:rPr>
          <w:lang w:val="pl"/>
        </w:rPr>
        <w:t>[WI],</w:t>
      </w:r>
      <w:r w:rsidR="0019438F">
        <w:rPr>
          <w:lang w:val="pl"/>
        </w:rPr>
        <w:t xml:space="preserve"> § </w:t>
      </w:r>
      <w:r>
        <w:rPr>
          <w:lang w:val="pl"/>
        </w:rPr>
        <w:t>93;</w:t>
      </w:r>
      <w:hyperlink r:id="rId62" w:history="1">
        <w:r>
          <w:rPr>
            <w:lang w:val="pl"/>
          </w:rPr>
          <w:t xml:space="preserve"> </w:t>
        </w:r>
        <w:r>
          <w:rPr>
            <w:i/>
            <w:iCs/>
            <w:color w:val="0072BC"/>
            <w:lang w:val="pl"/>
          </w:rPr>
          <w:t xml:space="preserve">Słowenia p. Chorwacji </w:t>
        </w:r>
      </w:hyperlink>
      <w:r>
        <w:rPr>
          <w:lang w:val="pl"/>
        </w:rPr>
        <w:t>[WI] (dec.), § 61). W odniesieniu do podmiotów niewykonujących władzy rządowej lub nadawców publicznych patrz</w:t>
      </w:r>
      <w:hyperlink r:id="rId63" w:history="1">
        <w:r>
          <w:rPr>
            <w:i/>
            <w:iCs/>
            <w:lang w:val="pl"/>
          </w:rPr>
          <w:t xml:space="preserve"> </w:t>
        </w:r>
        <w:r>
          <w:rPr>
            <w:i/>
            <w:iCs/>
            <w:color w:val="0072BC"/>
            <w:lang w:val="pl"/>
          </w:rPr>
          <w:t>The Holy</w:t>
        </w:r>
      </w:hyperlink>
      <w:r>
        <w:rPr>
          <w:i/>
          <w:iCs/>
          <w:color w:val="0072BC"/>
          <w:lang w:val="pl"/>
        </w:rPr>
        <w:t xml:space="preserve"> </w:t>
      </w:r>
      <w:hyperlink r:id="rId64" w:history="1">
        <w:r>
          <w:rPr>
            <w:i/>
            <w:iCs/>
            <w:color w:val="0072BC"/>
            <w:lang w:val="pl"/>
          </w:rPr>
          <w:t>Monasteries p. Grecji</w:t>
        </w:r>
        <w:r>
          <w:rPr>
            <w:lang w:val="pl"/>
          </w:rPr>
          <w:t>,</w:t>
        </w:r>
      </w:hyperlink>
      <w:r>
        <w:rPr>
          <w:lang w:val="pl"/>
        </w:rPr>
        <w:t xml:space="preserve"> § 49;</w:t>
      </w:r>
      <w:hyperlink r:id="rId65" w:history="1">
        <w:r>
          <w:rPr>
            <w:i/>
            <w:iCs/>
            <w:lang w:val="pl"/>
          </w:rPr>
          <w:t xml:space="preserve"> </w:t>
        </w:r>
        <w:r>
          <w:rPr>
            <w:i/>
            <w:iCs/>
            <w:color w:val="0072BC"/>
            <w:lang w:val="pl"/>
          </w:rPr>
          <w:t xml:space="preserve">Radio France i Inni p. Francji </w:t>
        </w:r>
      </w:hyperlink>
      <w:r>
        <w:rPr>
          <w:lang w:val="pl"/>
        </w:rPr>
        <w:t>(dec.), §§ 24-26;</w:t>
      </w:r>
      <w:hyperlink r:id="rId66" w:history="1">
        <w:r>
          <w:rPr>
            <w:i/>
            <w:iCs/>
            <w:lang w:val="pl"/>
          </w:rPr>
          <w:t xml:space="preserve"> </w:t>
        </w:r>
        <w:r>
          <w:rPr>
            <w:i/>
            <w:iCs/>
            <w:color w:val="0072BC"/>
            <w:lang w:val="pl"/>
          </w:rPr>
          <w:t>Osterreichischer</w:t>
        </w:r>
      </w:hyperlink>
      <w:r>
        <w:rPr>
          <w:i/>
          <w:iCs/>
          <w:color w:val="0072BC"/>
          <w:lang w:val="pl"/>
        </w:rPr>
        <w:t xml:space="preserve"> </w:t>
      </w:r>
      <w:hyperlink r:id="rId67" w:history="1">
        <w:r>
          <w:rPr>
            <w:i/>
            <w:iCs/>
            <w:color w:val="0072BC"/>
            <w:lang w:val="pl"/>
          </w:rPr>
          <w:t>Rundfunk p. Austrii</w:t>
        </w:r>
        <w:r>
          <w:rPr>
            <w:lang w:val="pl"/>
          </w:rPr>
          <w:t>,</w:t>
        </w:r>
      </w:hyperlink>
      <w:r>
        <w:rPr>
          <w:lang w:val="pl"/>
        </w:rPr>
        <w:t xml:space="preserve"> §§ 46-53;</w:t>
      </w:r>
      <w:hyperlink r:id="rId68" w:history="1">
        <w:r>
          <w:rPr>
            <w:i/>
            <w:iCs/>
            <w:lang w:val="pl"/>
          </w:rPr>
          <w:t xml:space="preserve"> </w:t>
        </w:r>
        <w:r>
          <w:rPr>
            <w:i/>
            <w:iCs/>
            <w:color w:val="0072BC"/>
            <w:lang w:val="pl"/>
          </w:rPr>
          <w:t>Schweizerische Radio- und Fernsehgesellschaft i publisuisse SA</w:t>
        </w:r>
      </w:hyperlink>
      <w:r>
        <w:rPr>
          <w:i/>
          <w:iCs/>
          <w:color w:val="0072BC"/>
          <w:lang w:val="pl"/>
        </w:rPr>
        <w:t xml:space="preserve"> </w:t>
      </w:r>
      <w:hyperlink r:id="rId69" w:history="1">
        <w:r>
          <w:rPr>
            <w:i/>
            <w:iCs/>
            <w:color w:val="0072BC"/>
            <w:lang w:val="pl"/>
          </w:rPr>
          <w:t>p. Szwajcarii</w:t>
        </w:r>
        <w:r>
          <w:rPr>
            <w:lang w:val="pl"/>
          </w:rPr>
          <w:t xml:space="preserve">, </w:t>
        </w:r>
      </w:hyperlink>
      <w:r>
        <w:rPr>
          <w:lang w:val="pl"/>
        </w:rPr>
        <w:t>§§ 46-48. W odniesieniu do przedsiębiorstw państwowych korzystających z wystarczającej niezależności od państw</w:t>
      </w:r>
      <w:r w:rsidR="0019438F">
        <w:rPr>
          <w:lang w:val="pl"/>
        </w:rPr>
        <w:t>a w zakresie instytucjonalnym i </w:t>
      </w:r>
      <w:r>
        <w:rPr>
          <w:lang w:val="pl"/>
        </w:rPr>
        <w:t>operacyjnym patrz</w:t>
      </w:r>
      <w:hyperlink r:id="rId70" w:history="1">
        <w:r>
          <w:rPr>
            <w:lang w:val="pl"/>
          </w:rPr>
          <w:t xml:space="preserve"> </w:t>
        </w:r>
        <w:r>
          <w:rPr>
            <w:i/>
            <w:iCs/>
            <w:color w:val="0072BC"/>
            <w:lang w:val="pl"/>
          </w:rPr>
          <w:t>Islamic Republic of Iran Shipping Lines p. Turcji</w:t>
        </w:r>
        <w:r>
          <w:rPr>
            <w:lang w:val="pl"/>
          </w:rPr>
          <w:t>,</w:t>
        </w:r>
      </w:hyperlink>
      <w:r>
        <w:rPr>
          <w:lang w:val="pl"/>
        </w:rPr>
        <w:t xml:space="preserve"> §§ 80-81;</w:t>
      </w:r>
      <w:hyperlink r:id="rId71" w:history="1">
        <w:r>
          <w:rPr>
            <w:lang w:val="pl"/>
          </w:rPr>
          <w:t xml:space="preserve"> </w:t>
        </w:r>
        <w:r w:rsidR="0019438F">
          <w:rPr>
            <w:i/>
            <w:iCs/>
            <w:color w:val="0072BC"/>
            <w:lang w:val="pl"/>
          </w:rPr>
          <w:t>Ukraine-Tyumen p. </w:t>
        </w:r>
        <w:r>
          <w:rPr>
            <w:i/>
            <w:iCs/>
            <w:color w:val="0072BC"/>
            <w:lang w:val="pl"/>
          </w:rPr>
          <w:t>Ukrainie</w:t>
        </w:r>
        <w:r>
          <w:rPr>
            <w:lang w:val="pl"/>
          </w:rPr>
          <w:t>,</w:t>
        </w:r>
      </w:hyperlink>
      <w:r>
        <w:rPr>
          <w:lang w:val="pl"/>
        </w:rPr>
        <w:t xml:space="preserve"> §§ 25-28;</w:t>
      </w:r>
      <w:hyperlink r:id="rId72" w:history="1">
        <w:r>
          <w:rPr>
            <w:lang w:val="pl"/>
          </w:rPr>
          <w:t xml:space="preserve"> </w:t>
        </w:r>
        <w:r>
          <w:rPr>
            <w:i/>
            <w:iCs/>
            <w:color w:val="0072BC"/>
            <w:lang w:val="pl"/>
          </w:rPr>
          <w:t>Unédic p. Francji</w:t>
        </w:r>
        <w:r>
          <w:rPr>
            <w:lang w:val="pl"/>
          </w:rPr>
          <w:t>,</w:t>
        </w:r>
      </w:hyperlink>
      <w:r>
        <w:rPr>
          <w:lang w:val="pl"/>
        </w:rPr>
        <w:t xml:space="preserve"> §§ 48-59; oraz odmienne wyroki w sprawach </w:t>
      </w:r>
      <w:hyperlink r:id="rId73" w:history="1">
        <w:r w:rsidR="0019438F">
          <w:rPr>
            <w:i/>
            <w:iCs/>
            <w:color w:val="0072BC"/>
            <w:lang w:val="pl"/>
          </w:rPr>
          <w:t>Zastava It Turs p. </w:t>
        </w:r>
        <w:r>
          <w:rPr>
            <w:i/>
            <w:iCs/>
            <w:color w:val="0072BC"/>
            <w:lang w:val="pl"/>
          </w:rPr>
          <w:t xml:space="preserve">Serbii </w:t>
        </w:r>
      </w:hyperlink>
      <w:r>
        <w:rPr>
          <w:lang w:val="pl"/>
        </w:rPr>
        <w:t>(dec.);</w:t>
      </w:r>
      <w:hyperlink r:id="rId74" w:history="1">
        <w:r>
          <w:rPr>
            <w:i/>
            <w:iCs/>
            <w:lang w:val="pl"/>
          </w:rPr>
          <w:t xml:space="preserve"> </w:t>
        </w:r>
        <w:r>
          <w:rPr>
            <w:i/>
            <w:iCs/>
            <w:color w:val="0072BC"/>
            <w:lang w:val="pl"/>
          </w:rPr>
          <w:t xml:space="preserve">State Holding Company Luganskvugillya p. Ukrainie </w:t>
        </w:r>
      </w:hyperlink>
      <w:r>
        <w:rPr>
          <w:lang w:val="pl"/>
        </w:rPr>
        <w:t xml:space="preserve">(dec.); patrz również </w:t>
      </w:r>
      <w:hyperlink r:id="rId75" w:history="1">
        <w:r>
          <w:rPr>
            <w:i/>
            <w:iCs/>
            <w:color w:val="0072BC"/>
            <w:lang w:val="pl"/>
          </w:rPr>
          <w:t xml:space="preserve">Transpetrol, a.s. p. Słowacji </w:t>
        </w:r>
      </w:hyperlink>
      <w:r>
        <w:rPr>
          <w:lang w:val="pl"/>
        </w:rPr>
        <w:t>(dec.). Jeśli chodzi o przedsiębiorstwa, Trybunał uznaje, że przedsiębiorstwo jest podmiotem „pozarządowym” do celów art. 34, jeśli zasadniczo po</w:t>
      </w:r>
      <w:r w:rsidR="0019438F">
        <w:rPr>
          <w:lang w:val="pl"/>
        </w:rPr>
        <w:t>dlega przepisom prawa spółek, w </w:t>
      </w:r>
      <w:r>
        <w:rPr>
          <w:lang w:val="pl"/>
        </w:rPr>
        <w:t>prowadzonej działalności nie korzysta z uprawnień właściwych dla władzy rządowej ani innych uprawnień wykraczających poza te wynikające z powszechnie obo</w:t>
      </w:r>
      <w:r w:rsidR="0019438F">
        <w:rPr>
          <w:lang w:val="pl"/>
        </w:rPr>
        <w:t>wiązującego prawa prywatnego, a </w:t>
      </w:r>
      <w:r>
        <w:rPr>
          <w:lang w:val="pl"/>
        </w:rPr>
        <w:t xml:space="preserve">także podlega jurysdykcji sądów powszechnych, a nie administracyjnych. Trybunał uwzględnił też fakt, czy skarżąca spółka prowadziła działalność komercyjną i nie ogrywała roli w świadczeniu usług publicznych ani nie miała monopolu w konkurencyjnym sektorze </w:t>
      </w:r>
      <w:hyperlink r:id="rId76" w:history="1">
        <w:r>
          <w:rPr>
            <w:lang w:val="pl"/>
          </w:rPr>
          <w:t>(</w:t>
        </w:r>
        <w:r>
          <w:rPr>
            <w:i/>
            <w:iCs/>
            <w:color w:val="0072BC"/>
            <w:lang w:val="pl"/>
          </w:rPr>
          <w:t xml:space="preserve">Słowenia p. Chorwacji </w:t>
        </w:r>
      </w:hyperlink>
      <w:r w:rsidR="0019438F">
        <w:rPr>
          <w:lang w:val="pl"/>
        </w:rPr>
        <w:t>[WI] (dec.), §§ </w:t>
      </w:r>
      <w:r>
        <w:rPr>
          <w:lang w:val="pl"/>
        </w:rPr>
        <w:t>62-63, i cytowane tam odniesienia).</w:t>
      </w:r>
    </w:p>
    <w:p w:rsidR="00B71A20" w:rsidRPr="000625F6" w:rsidRDefault="000425B4" w:rsidP="00115011">
      <w:pPr>
        <w:pStyle w:val="Teksttreci0"/>
        <w:numPr>
          <w:ilvl w:val="0"/>
          <w:numId w:val="5"/>
        </w:numPr>
        <w:tabs>
          <w:tab w:val="left" w:pos="409"/>
        </w:tabs>
        <w:spacing w:after="220"/>
        <w:jc w:val="both"/>
        <w:rPr>
          <w:lang w:val="pl-PL"/>
        </w:rPr>
      </w:pPr>
      <w:bookmarkStart w:id="22" w:name="bookmark21"/>
      <w:r>
        <w:rPr>
          <w:lang w:val="pl"/>
        </w:rPr>
        <w:t xml:space="preserve">Trybunał wyjaśnił, że art. 33 Konwencji (skargi międzypaństwowe) nie dopuszcza, aby skarżący rząd dochodził praw osoby prawnej, która nie zostałaby uznana za „organizację pozarządową”, a więc nie byłaby uprawniona do wniesienia skargi indywidualnej na mocy art. 34 </w:t>
      </w:r>
      <w:hyperlink r:id="rId77" w:history="1">
        <w:r>
          <w:rPr>
            <w:lang w:val="pl"/>
          </w:rPr>
          <w:t>(</w:t>
        </w:r>
        <w:r>
          <w:rPr>
            <w:i/>
            <w:iCs/>
            <w:color w:val="0072BC"/>
            <w:lang w:val="pl"/>
          </w:rPr>
          <w:t xml:space="preserve">Słowenia p. Chorwacji </w:t>
        </w:r>
      </w:hyperlink>
      <w:r>
        <w:rPr>
          <w:lang w:val="pl"/>
        </w:rPr>
        <w:t xml:space="preserve">[WI] (dec.), §§ 60-70 i 76-79, sprawa dotycząca banku będącego własnością skarżącego państwa). Mając na względzie szczególny charakter Konwencji jako traktatu dotyczącego praw człowieka i przypominając, że nawet w sprawach międzypaństwowych najważniejszym „poszkodowanym” w wyniku naruszenia Konwencji jest osoba fizyczna, Trybunał potwierdził, że podmiotami praw na mocy Konwencji mogą być wyłącznie osoby fizyczne, grupy osób i osoby prawne kwalifikujące się jako „organizacje pozarządowe”, ale nie może nim być układające się państwo ani żadna osoba prawna, która do niego należy </w:t>
      </w:r>
      <w:hyperlink r:id="rId78" w:history="1">
        <w:r>
          <w:rPr>
            <w:lang w:val="pl"/>
          </w:rPr>
          <w:t>(</w:t>
        </w:r>
        <w:r>
          <w:rPr>
            <w:i/>
            <w:iCs/>
            <w:color w:val="0072BC"/>
            <w:lang w:val="pl"/>
          </w:rPr>
          <w:t>ibid.</w:t>
        </w:r>
        <w:r>
          <w:rPr>
            <w:lang w:val="pl"/>
          </w:rPr>
          <w:t xml:space="preserve">, </w:t>
        </w:r>
      </w:hyperlink>
      <w:r w:rsidR="0019438F">
        <w:rPr>
          <w:lang w:val="pl"/>
        </w:rPr>
        <w:t>§ </w:t>
      </w:r>
      <w:r>
        <w:rPr>
          <w:lang w:val="pl"/>
        </w:rPr>
        <w:t>66).</w:t>
      </w:r>
      <w:bookmarkEnd w:id="22"/>
    </w:p>
    <w:p w:rsidR="00B71A20" w:rsidRPr="002A4BE6" w:rsidRDefault="002A4BE6" w:rsidP="002A4BE6">
      <w:pPr>
        <w:pStyle w:val="ECHRHeading4"/>
        <w:rPr>
          <w:rFonts w:asciiTheme="minorHAnsi" w:hAnsiTheme="minorHAnsi"/>
        </w:rPr>
      </w:pPr>
      <w:bookmarkStart w:id="23" w:name="_Toc126335606"/>
      <w:bookmarkStart w:id="24" w:name="_Toc126660560"/>
      <w:r w:rsidRPr="002A4BE6">
        <w:rPr>
          <w:rFonts w:asciiTheme="minorHAnsi" w:hAnsiTheme="minorHAnsi"/>
        </w:rPr>
        <w:t xml:space="preserve">c.  </w:t>
      </w:r>
      <w:r w:rsidR="000425B4" w:rsidRPr="002A4BE6">
        <w:rPr>
          <w:rFonts w:asciiTheme="minorHAnsi" w:hAnsiTheme="minorHAnsi"/>
        </w:rPr>
        <w:t>Grupa osób</w:t>
      </w:r>
      <w:bookmarkEnd w:id="23"/>
      <w:bookmarkEnd w:id="24"/>
    </w:p>
    <w:p w:rsidR="00B71A20" w:rsidRPr="000625F6" w:rsidRDefault="000425B4" w:rsidP="00115011">
      <w:pPr>
        <w:pStyle w:val="Teksttreci0"/>
        <w:numPr>
          <w:ilvl w:val="0"/>
          <w:numId w:val="6"/>
        </w:numPr>
        <w:tabs>
          <w:tab w:val="left" w:pos="399"/>
        </w:tabs>
        <w:spacing w:before="120" w:after="120"/>
        <w:jc w:val="both"/>
        <w:rPr>
          <w:lang w:val="pl-PL"/>
        </w:rPr>
      </w:pPr>
      <w:r>
        <w:rPr>
          <w:lang w:val="pl"/>
        </w:rPr>
        <w:t>Skargę może wnieść grupa osób. Jednak władze lokalne oraz inne organy władzy nie mogą składać skarg za pośrednictwem osób, które tworzą lub reprezentują takie</w:t>
      </w:r>
      <w:r w:rsidR="0019438F">
        <w:rPr>
          <w:lang w:val="pl"/>
        </w:rPr>
        <w:t xml:space="preserve"> władze lub organy, w związku z </w:t>
      </w:r>
      <w:r>
        <w:rPr>
          <w:lang w:val="pl"/>
        </w:rPr>
        <w:t xml:space="preserve">czynami będącymi czynami karalnymi w państwie, z którym są związane i w imieniu którego sprawują władzę publiczną </w:t>
      </w:r>
      <w:hyperlink r:id="rId79" w:history="1">
        <w:r>
          <w:rPr>
            <w:lang w:val="pl"/>
          </w:rPr>
          <w:t>(</w:t>
        </w:r>
        <w:r>
          <w:rPr>
            <w:i/>
            <w:iCs/>
            <w:color w:val="0072BC"/>
            <w:lang w:val="pl"/>
          </w:rPr>
          <w:t xml:space="preserve">Demirbaş i Inni p. Turcji </w:t>
        </w:r>
      </w:hyperlink>
      <w:r>
        <w:rPr>
          <w:lang w:val="pl"/>
        </w:rPr>
        <w:t xml:space="preserve">(dec.)). Z kolei grupa deputowanych do parlamentu </w:t>
      </w:r>
      <w:r>
        <w:rPr>
          <w:lang w:val="pl"/>
        </w:rPr>
        <w:lastRenderedPageBreak/>
        <w:t xml:space="preserve">regionalnego może być uznana za „grupę osób” (a nie za organizację rządową), kiedy ich skarga dotyczy zawieszenia posiedzenia plenarnego </w:t>
      </w:r>
      <w:bookmarkStart w:id="25" w:name="bookmark24"/>
      <w:r>
        <w:rPr>
          <w:lang w:val="pl"/>
        </w:rPr>
        <w:t xml:space="preserve">parlamentu wspólnoty autonomicznej. W takim przypadku prawa i wolności przywołane przez skarżących dotyczą każdego z nich z osobna i nie są przypisywane parlamentowi jako instytucji </w:t>
      </w:r>
      <w:hyperlink r:id="rId80" w:history="1">
        <w:r>
          <w:rPr>
            <w:lang w:val="pl"/>
          </w:rPr>
          <w:t>(</w:t>
        </w:r>
        <w:r>
          <w:rPr>
            <w:i/>
            <w:iCs/>
            <w:color w:val="0072BC"/>
            <w:lang w:val="pl"/>
          </w:rPr>
          <w:t xml:space="preserve">Forcadell i Lluis i Inni p. Hiszpanii </w:t>
        </w:r>
      </w:hyperlink>
      <w:r>
        <w:rPr>
          <w:lang w:val="pl"/>
        </w:rPr>
        <w:t>(dec.)).</w:t>
      </w:r>
      <w:bookmarkEnd w:id="25"/>
    </w:p>
    <w:p w:rsidR="00B71A20" w:rsidRPr="00041B3E" w:rsidRDefault="0097345A" w:rsidP="0097345A">
      <w:pPr>
        <w:pStyle w:val="Nagwek31"/>
        <w:keepNext/>
        <w:keepLines/>
        <w:tabs>
          <w:tab w:val="left" w:pos="359"/>
        </w:tabs>
        <w:spacing w:after="100"/>
        <w:jc w:val="both"/>
        <w:rPr>
          <w:lang w:val="pl-PL"/>
        </w:rPr>
      </w:pPr>
      <w:bookmarkStart w:id="26" w:name="_Toc126335607"/>
      <w:bookmarkStart w:id="27" w:name="_Toc126660561"/>
      <w:r>
        <w:rPr>
          <w:lang w:val="pl"/>
        </w:rPr>
        <w:t xml:space="preserve">3.  </w:t>
      </w:r>
      <w:r w:rsidR="000425B4">
        <w:rPr>
          <w:lang w:val="pl"/>
        </w:rPr>
        <w:t>Status ofiary</w:t>
      </w:r>
      <w:bookmarkEnd w:id="26"/>
      <w:bookmarkEnd w:id="27"/>
    </w:p>
    <w:p w:rsidR="00B71A20" w:rsidRPr="0019438F" w:rsidRDefault="000425B4">
      <w:pPr>
        <w:pStyle w:val="Teksttreci0"/>
        <w:spacing w:after="220"/>
        <w:jc w:val="both"/>
        <w:rPr>
          <w:lang w:val="pl-PL"/>
        </w:rPr>
      </w:pPr>
      <w:bookmarkStart w:id="28" w:name="bookmark27"/>
      <w:r>
        <w:rPr>
          <w:lang w:val="pl"/>
        </w:rPr>
        <w:t xml:space="preserve">17. Trybunał konsekwentnie orzeka, że Konwencja nie obejmuje instytucji skargi obywatelskiej (łac. </w:t>
      </w:r>
      <w:r>
        <w:rPr>
          <w:i/>
          <w:iCs/>
          <w:lang w:val="pl"/>
        </w:rPr>
        <w:t>actio popularis</w:t>
      </w:r>
      <w:r>
        <w:rPr>
          <w:lang w:val="pl"/>
        </w:rPr>
        <w:t xml:space="preserve">), a do zadań Trybunału zwykle nie należy ocena </w:t>
      </w:r>
      <w:r>
        <w:rPr>
          <w:i/>
          <w:iCs/>
          <w:lang w:val="pl"/>
        </w:rPr>
        <w:t xml:space="preserve">in abstracto </w:t>
      </w:r>
      <w:r>
        <w:rPr>
          <w:lang w:val="pl"/>
        </w:rPr>
        <w:t xml:space="preserve">przepisów i podjętych czynności mających znaczenie w sprawie, lecz ustalenie, czy </w:t>
      </w:r>
      <w:r w:rsidR="0019438F">
        <w:rPr>
          <w:lang w:val="pl"/>
        </w:rPr>
        <w:t>sposób zastosowania przepisów i </w:t>
      </w:r>
      <w:r>
        <w:rPr>
          <w:lang w:val="pl"/>
        </w:rPr>
        <w:t>wykonania czynności w stosunku do skarżącego lub ich wpływ na skarżącego spowodował naruszenie Konwencji (np.</w:t>
      </w:r>
      <w:hyperlink r:id="rId81" w:history="1">
        <w:r>
          <w:rPr>
            <w:i/>
            <w:iCs/>
            <w:lang w:val="pl"/>
          </w:rPr>
          <w:t xml:space="preserve"> </w:t>
        </w:r>
        <w:r>
          <w:rPr>
            <w:i/>
            <w:iCs/>
            <w:color w:val="0072BC"/>
            <w:lang w:val="pl"/>
          </w:rPr>
          <w:t xml:space="preserve">Roman Zakharov p. Rosji </w:t>
        </w:r>
      </w:hyperlink>
      <w:r>
        <w:rPr>
          <w:lang w:val="pl"/>
        </w:rPr>
        <w:t>[WI], § 164).</w:t>
      </w:r>
      <w:bookmarkEnd w:id="28"/>
    </w:p>
    <w:p w:rsidR="00B71A20" w:rsidRDefault="004E5410" w:rsidP="004E5410">
      <w:pPr>
        <w:pStyle w:val="Nagwek41"/>
        <w:keepNext/>
        <w:keepLines/>
        <w:tabs>
          <w:tab w:val="left" w:pos="359"/>
        </w:tabs>
        <w:jc w:val="both"/>
      </w:pPr>
      <w:bookmarkStart w:id="29" w:name="_Toc126335608"/>
      <w:bookmarkStart w:id="30" w:name="_Toc126660562"/>
      <w:r>
        <w:rPr>
          <w:lang w:val="pl"/>
        </w:rPr>
        <w:t xml:space="preserve">a.  </w:t>
      </w:r>
      <w:r w:rsidR="000425B4">
        <w:rPr>
          <w:lang w:val="pl"/>
        </w:rPr>
        <w:t>Pojęcie „ofiary”</w:t>
      </w:r>
      <w:bookmarkEnd w:id="29"/>
      <w:bookmarkEnd w:id="30"/>
    </w:p>
    <w:p w:rsidR="00B71A20" w:rsidRPr="000625F6" w:rsidRDefault="000425B4" w:rsidP="00115011">
      <w:pPr>
        <w:pStyle w:val="Teksttreci0"/>
        <w:numPr>
          <w:ilvl w:val="0"/>
          <w:numId w:val="7"/>
        </w:numPr>
        <w:tabs>
          <w:tab w:val="left" w:pos="399"/>
        </w:tabs>
        <w:jc w:val="both"/>
        <w:rPr>
          <w:lang w:val="pl-PL"/>
        </w:rPr>
      </w:pPr>
      <w:r>
        <w:rPr>
          <w:lang w:val="pl"/>
        </w:rPr>
        <w:t xml:space="preserve">Słowo „ofiara” w kontekście art. 34 Konwencji oznacza osobę lub osoby bezpośrednio lub pośrednio dotknięte zarzutem naruszenia. Zatem art. 34 nie dotyczy wyłącznie bezpośredniej ofiary lub ofiar zarzucanego naruszenia, ale również ofiar pośrednio dotkniętych zarzucanym naruszeniem, które doznały szkody z powodu naruszenia lub które miałyby uzasadniony i osobisty interes w spowodowaniu ustania naruszenia </w:t>
      </w:r>
      <w:hyperlink r:id="rId82" w:history="1">
        <w:r>
          <w:rPr>
            <w:lang w:val="pl"/>
          </w:rPr>
          <w:t>(</w:t>
        </w:r>
        <w:r>
          <w:rPr>
            <w:i/>
            <w:iCs/>
            <w:color w:val="0072BC"/>
            <w:lang w:val="pl"/>
          </w:rPr>
          <w:t xml:space="preserve">Vallianatos i Inni p. Grecji </w:t>
        </w:r>
      </w:hyperlink>
      <w:r>
        <w:rPr>
          <w:lang w:val="pl"/>
        </w:rPr>
        <w:t xml:space="preserve">[WI], § 47). Pojęcie „ofiary” jest interpretowane samoistnie i bez odwoływania się do przepisów prawa krajowego dotyczących interesu w podjęciu działań lub zdolności do podjęcia działań </w:t>
      </w:r>
      <w:hyperlink r:id="rId83" w:history="1">
        <w:r>
          <w:rPr>
            <w:lang w:val="pl"/>
          </w:rPr>
          <w:t>(</w:t>
        </w:r>
        <w:r>
          <w:rPr>
            <w:i/>
            <w:iCs/>
            <w:color w:val="0072BC"/>
            <w:lang w:val="pl"/>
          </w:rPr>
          <w:t>Gorraiz Lizarraga i Inni p. Hiszpanii</w:t>
        </w:r>
        <w:r>
          <w:rPr>
            <w:lang w:val="pl"/>
          </w:rPr>
          <w:t>,</w:t>
        </w:r>
      </w:hyperlink>
      <w:r>
        <w:rPr>
          <w:lang w:val="pl"/>
        </w:rPr>
        <w:t xml:space="preserve"> § 35), choć Trybunał powinien wziąć pod uwagę fakt, że skarżący był stroną postępowania krajowego </w:t>
      </w:r>
      <w:hyperlink r:id="rId84" w:history="1">
        <w:r>
          <w:rPr>
            <w:lang w:val="pl"/>
          </w:rPr>
          <w:t>(</w:t>
        </w:r>
        <w:r>
          <w:rPr>
            <w:i/>
            <w:iCs/>
            <w:color w:val="0072BC"/>
            <w:lang w:val="pl"/>
          </w:rPr>
          <w:t xml:space="preserve">Aksu p. Turcji </w:t>
        </w:r>
      </w:hyperlink>
      <w:r w:rsidR="0019438F">
        <w:rPr>
          <w:lang w:val="pl"/>
        </w:rPr>
        <w:t>[WI], § </w:t>
      </w:r>
      <w:r>
        <w:rPr>
          <w:lang w:val="pl"/>
        </w:rPr>
        <w:t>52;</w:t>
      </w:r>
      <w:hyperlink r:id="rId85" w:history="1">
        <w:r>
          <w:rPr>
            <w:i/>
            <w:iCs/>
            <w:lang w:val="pl"/>
          </w:rPr>
          <w:t xml:space="preserve"> </w:t>
        </w:r>
        <w:r>
          <w:rPr>
            <w:i/>
            <w:iCs/>
            <w:color w:val="0072BC"/>
            <w:lang w:val="pl"/>
          </w:rPr>
          <w:t>Micallef</w:t>
        </w:r>
      </w:hyperlink>
      <w:r>
        <w:rPr>
          <w:i/>
          <w:iCs/>
          <w:color w:val="0072BC"/>
          <w:lang w:val="pl"/>
        </w:rPr>
        <w:t xml:space="preserve"> </w:t>
      </w:r>
      <w:hyperlink r:id="rId86" w:history="1">
        <w:r>
          <w:rPr>
            <w:i/>
            <w:iCs/>
            <w:color w:val="0072BC"/>
            <w:lang w:val="pl"/>
          </w:rPr>
          <w:t xml:space="preserve">p. Malcie </w:t>
        </w:r>
      </w:hyperlink>
      <w:r>
        <w:rPr>
          <w:lang w:val="pl"/>
        </w:rPr>
        <w:t>[WI], § 48;</w:t>
      </w:r>
      <w:hyperlink r:id="rId87" w:history="1">
        <w:r>
          <w:rPr>
            <w:i/>
            <w:iCs/>
            <w:lang w:val="pl"/>
          </w:rPr>
          <w:t xml:space="preserve"> </w:t>
        </w:r>
        <w:r>
          <w:rPr>
            <w:i/>
            <w:iCs/>
            <w:color w:val="0072BC"/>
            <w:lang w:val="pl"/>
          </w:rPr>
          <w:t>Bursa Barosu Başkanliği i Inni p. Turcji</w:t>
        </w:r>
        <w:r>
          <w:rPr>
            <w:lang w:val="pl"/>
          </w:rPr>
          <w:t>,</w:t>
        </w:r>
      </w:hyperlink>
      <w:r>
        <w:rPr>
          <w:lang w:val="pl"/>
        </w:rPr>
        <w:t xml:space="preserve"> §§ 109</w:t>
      </w:r>
      <w:r>
        <w:rPr>
          <w:lang w:val="pl"/>
        </w:rPr>
        <w:noBreakHyphen/>
        <w:t xml:space="preserve">117). Nie zakłada istnienia szkody </w:t>
      </w:r>
      <w:hyperlink r:id="rId88" w:history="1">
        <w:r>
          <w:rPr>
            <w:lang w:val="pl"/>
          </w:rPr>
          <w:t>(</w:t>
        </w:r>
        <w:r>
          <w:rPr>
            <w:i/>
            <w:iCs/>
            <w:color w:val="0072BC"/>
            <w:lang w:val="pl"/>
          </w:rPr>
          <w:t>Brumarescu p. Rumunii</w:t>
        </w:r>
        <w:r>
          <w:rPr>
            <w:color w:val="0072BC"/>
            <w:lang w:val="pl"/>
          </w:rPr>
          <w:t xml:space="preserve"> </w:t>
        </w:r>
      </w:hyperlink>
      <w:r>
        <w:rPr>
          <w:lang w:val="pl"/>
        </w:rPr>
        <w:t xml:space="preserve">[WI], § 50), może wystarczyć działanie powodujące jedynie tymczasowe skutki prawne </w:t>
      </w:r>
      <w:hyperlink r:id="rId89" w:history="1">
        <w:r>
          <w:rPr>
            <w:lang w:val="pl"/>
          </w:rPr>
          <w:t>(</w:t>
        </w:r>
        <w:r>
          <w:rPr>
            <w:i/>
            <w:iCs/>
            <w:color w:val="0072BC"/>
            <w:lang w:val="pl"/>
          </w:rPr>
          <w:t>Monnat p. Szwajcarii</w:t>
        </w:r>
        <w:r>
          <w:rPr>
            <w:lang w:val="pl"/>
          </w:rPr>
          <w:t>,</w:t>
        </w:r>
      </w:hyperlink>
      <w:r>
        <w:rPr>
          <w:lang w:val="pl"/>
        </w:rPr>
        <w:t xml:space="preserve"> § 33).</w:t>
      </w:r>
    </w:p>
    <w:p w:rsidR="00B71A20" w:rsidRPr="000625F6" w:rsidRDefault="000425B4" w:rsidP="00115011">
      <w:pPr>
        <w:pStyle w:val="Teksttreci0"/>
        <w:numPr>
          <w:ilvl w:val="0"/>
          <w:numId w:val="7"/>
        </w:numPr>
        <w:tabs>
          <w:tab w:val="left" w:pos="409"/>
        </w:tabs>
        <w:jc w:val="both"/>
        <w:rPr>
          <w:lang w:val="pl-PL"/>
        </w:rPr>
      </w:pPr>
      <w:r>
        <w:rPr>
          <w:lang w:val="pl"/>
        </w:rPr>
        <w:t xml:space="preserve">Pojęcie „ofiary” będzie ewoluowało wraz ze zmieniającymi się warunkami panującymi we współczesnym społeczeństwie i należy je stosować bez zbytniego formalizmu </w:t>
      </w:r>
      <w:hyperlink r:id="rId90" w:history="1">
        <w:r>
          <w:rPr>
            <w:lang w:val="pl"/>
          </w:rPr>
          <w:t>(</w:t>
        </w:r>
        <w:r>
          <w:rPr>
            <w:i/>
            <w:iCs/>
            <w:color w:val="0072BC"/>
            <w:lang w:val="pl"/>
          </w:rPr>
          <w:t>ibid.</w:t>
        </w:r>
        <w:r>
          <w:rPr>
            <w:lang w:val="pl"/>
          </w:rPr>
          <w:t>,</w:t>
        </w:r>
      </w:hyperlink>
      <w:r>
        <w:rPr>
          <w:lang w:val="pl"/>
        </w:rPr>
        <w:t xml:space="preserve"> §§ 30-33;</w:t>
      </w:r>
      <w:hyperlink r:id="rId91" w:history="1">
        <w:r>
          <w:rPr>
            <w:lang w:val="pl"/>
          </w:rPr>
          <w:t xml:space="preserve"> </w:t>
        </w:r>
        <w:r>
          <w:rPr>
            <w:i/>
            <w:iCs/>
            <w:color w:val="0072BC"/>
            <w:lang w:val="pl"/>
          </w:rPr>
          <w:t>Gorraiz</w:t>
        </w:r>
      </w:hyperlink>
      <w:r>
        <w:rPr>
          <w:i/>
          <w:iCs/>
          <w:color w:val="0072BC"/>
          <w:lang w:val="pl"/>
        </w:rPr>
        <w:t xml:space="preserve"> </w:t>
      </w:r>
      <w:hyperlink r:id="rId92" w:history="1">
        <w:r>
          <w:rPr>
            <w:i/>
            <w:iCs/>
            <w:color w:val="0072BC"/>
            <w:lang w:val="pl"/>
          </w:rPr>
          <w:t>Lizarraga</w:t>
        </w:r>
        <w:r>
          <w:rPr>
            <w:color w:val="0072BC"/>
            <w:lang w:val="pl"/>
          </w:rPr>
          <w:t xml:space="preserve"> </w:t>
        </w:r>
        <w:r>
          <w:rPr>
            <w:i/>
            <w:iCs/>
            <w:color w:val="0072BC"/>
            <w:lang w:val="pl"/>
          </w:rPr>
          <w:t>i Inni p. Hiszpanii</w:t>
        </w:r>
        <w:r>
          <w:rPr>
            <w:lang w:val="pl"/>
          </w:rPr>
          <w:t>,</w:t>
        </w:r>
      </w:hyperlink>
      <w:r>
        <w:rPr>
          <w:lang w:val="pl"/>
        </w:rPr>
        <w:t xml:space="preserve"> § 38;</w:t>
      </w:r>
      <w:hyperlink r:id="rId93" w:history="1">
        <w:r>
          <w:rPr>
            <w:i/>
            <w:iCs/>
            <w:lang w:val="pl"/>
          </w:rPr>
          <w:t xml:space="preserve"> </w:t>
        </w:r>
        <w:r>
          <w:rPr>
            <w:i/>
            <w:iCs/>
            <w:color w:val="0072BC"/>
            <w:lang w:val="pl"/>
          </w:rPr>
          <w:t>Stukus i Inni p. Polsce</w:t>
        </w:r>
        <w:r>
          <w:rPr>
            <w:lang w:val="pl"/>
          </w:rPr>
          <w:t>,</w:t>
        </w:r>
      </w:hyperlink>
      <w:r>
        <w:rPr>
          <w:lang w:val="pl"/>
        </w:rPr>
        <w:t xml:space="preserve"> § 35;</w:t>
      </w:r>
      <w:hyperlink r:id="rId94" w:history="1">
        <w:r>
          <w:rPr>
            <w:lang w:val="pl"/>
          </w:rPr>
          <w:t xml:space="preserve"> </w:t>
        </w:r>
        <w:r>
          <w:rPr>
            <w:i/>
            <w:iCs/>
            <w:color w:val="0072BC"/>
            <w:lang w:val="pl"/>
          </w:rPr>
          <w:t>Ziętal p. Polsce</w:t>
        </w:r>
        <w:r>
          <w:rPr>
            <w:lang w:val="pl"/>
          </w:rPr>
          <w:t>,</w:t>
        </w:r>
      </w:hyperlink>
      <w:r>
        <w:rPr>
          <w:lang w:val="pl"/>
        </w:rPr>
        <w:t xml:space="preserve"> §§ 54-59). Trybunał orzekł, że kwestia statusu ofiary może być powiązana z przedmiotem skargi </w:t>
      </w:r>
      <w:hyperlink r:id="rId95" w:history="1">
        <w:r>
          <w:rPr>
            <w:lang w:val="pl"/>
          </w:rPr>
          <w:t>(</w:t>
        </w:r>
        <w:r>
          <w:rPr>
            <w:i/>
            <w:iCs/>
            <w:color w:val="0072BC"/>
            <w:lang w:val="pl"/>
          </w:rPr>
          <w:t>Siliadin</w:t>
        </w:r>
      </w:hyperlink>
      <w:r>
        <w:rPr>
          <w:i/>
          <w:iCs/>
          <w:color w:val="0072BC"/>
          <w:lang w:val="pl"/>
        </w:rPr>
        <w:t xml:space="preserve"> </w:t>
      </w:r>
      <w:hyperlink r:id="rId96" w:history="1">
        <w:r>
          <w:rPr>
            <w:i/>
            <w:iCs/>
            <w:color w:val="0072BC"/>
            <w:lang w:val="pl"/>
          </w:rPr>
          <w:t>p. Francji</w:t>
        </w:r>
        <w:r>
          <w:rPr>
            <w:lang w:val="pl"/>
          </w:rPr>
          <w:t>,</w:t>
        </w:r>
      </w:hyperlink>
      <w:r>
        <w:rPr>
          <w:lang w:val="pl"/>
        </w:rPr>
        <w:t xml:space="preserve"> § 63;</w:t>
      </w:r>
      <w:hyperlink r:id="rId97" w:history="1">
        <w:r>
          <w:rPr>
            <w:i/>
            <w:iCs/>
            <w:lang w:val="pl"/>
          </w:rPr>
          <w:t xml:space="preserve"> </w:t>
        </w:r>
        <w:r>
          <w:rPr>
            <w:i/>
            <w:iCs/>
            <w:color w:val="0072BC"/>
            <w:lang w:val="pl"/>
          </w:rPr>
          <w:t xml:space="preserve">Hirsi Jamaa i Inni p. Włochom </w:t>
        </w:r>
      </w:hyperlink>
      <w:r>
        <w:rPr>
          <w:lang w:val="pl"/>
        </w:rPr>
        <w:t xml:space="preserve">[WI], § 111). Trybunał może z urzędu badać kwestię statusu ofiary i jej interesu prawnego (łac. </w:t>
      </w:r>
      <w:r>
        <w:rPr>
          <w:i/>
          <w:iCs/>
          <w:lang w:val="pl"/>
        </w:rPr>
        <w:t>locus standi</w:t>
      </w:r>
      <w:r>
        <w:rPr>
          <w:lang w:val="pl"/>
        </w:rPr>
        <w:t xml:space="preserve">), ponieważ są to zagadnienia objęte jego jurysdykcją </w:t>
      </w:r>
      <w:hyperlink r:id="rId98" w:history="1">
        <w:r>
          <w:rPr>
            <w:lang w:val="pl"/>
          </w:rPr>
          <w:t>(</w:t>
        </w:r>
        <w:r>
          <w:rPr>
            <w:i/>
            <w:iCs/>
            <w:color w:val="0072BC"/>
            <w:lang w:val="pl"/>
          </w:rPr>
          <w:t xml:space="preserve">Buzadji p. Republice Mołdawii </w:t>
        </w:r>
      </w:hyperlink>
      <w:r>
        <w:rPr>
          <w:lang w:val="pl"/>
        </w:rPr>
        <w:t>[WI], § 70;</w:t>
      </w:r>
      <w:hyperlink r:id="rId99" w:history="1">
        <w:r>
          <w:rPr>
            <w:i/>
            <w:iCs/>
            <w:lang w:val="pl"/>
          </w:rPr>
          <w:t xml:space="preserve"> </w:t>
        </w:r>
        <w:r>
          <w:rPr>
            <w:i/>
            <w:iCs/>
            <w:color w:val="0072BC"/>
            <w:lang w:val="pl"/>
          </w:rPr>
          <w:t>Satakunnan Markkinapörssi Oy i</w:t>
        </w:r>
      </w:hyperlink>
      <w:r>
        <w:rPr>
          <w:i/>
          <w:iCs/>
          <w:color w:val="0072BC"/>
          <w:lang w:val="pl"/>
        </w:rPr>
        <w:t xml:space="preserve"> </w:t>
      </w:r>
      <w:hyperlink r:id="rId100" w:history="1">
        <w:r>
          <w:rPr>
            <w:i/>
            <w:iCs/>
            <w:color w:val="0072BC"/>
            <w:lang w:val="pl"/>
          </w:rPr>
          <w:t xml:space="preserve">Satamedia Oy p. Finlandii </w:t>
        </w:r>
      </w:hyperlink>
      <w:r>
        <w:rPr>
          <w:lang w:val="pl"/>
        </w:rPr>
        <w:t>[WI], § 93;</w:t>
      </w:r>
      <w:hyperlink r:id="rId101" w:history="1">
        <w:r>
          <w:rPr>
            <w:i/>
            <w:iCs/>
            <w:lang w:val="pl"/>
          </w:rPr>
          <w:t xml:space="preserve"> </w:t>
        </w:r>
        <w:r>
          <w:rPr>
            <w:i/>
            <w:iCs/>
            <w:color w:val="0072BC"/>
            <w:lang w:val="pl"/>
          </w:rPr>
          <w:t>Unifaun Theatre Productions Limited i Inni p. Malcie</w:t>
        </w:r>
        <w:r>
          <w:rPr>
            <w:lang w:val="pl"/>
          </w:rPr>
          <w:t>,</w:t>
        </w:r>
      </w:hyperlink>
      <w:r>
        <w:rPr>
          <w:lang w:val="pl"/>
        </w:rPr>
        <w:t xml:space="preserve"> §§ 63</w:t>
      </w:r>
      <w:r>
        <w:rPr>
          <w:lang w:val="pl"/>
        </w:rPr>
        <w:noBreakHyphen/>
        <w:t>66;</w:t>
      </w:r>
      <w:hyperlink r:id="rId102" w:history="1">
        <w:r>
          <w:rPr>
            <w:i/>
            <w:iCs/>
            <w:lang w:val="pl"/>
          </w:rPr>
          <w:t xml:space="preserve"> </w:t>
        </w:r>
        <w:r>
          <w:rPr>
            <w:i/>
            <w:iCs/>
            <w:color w:val="0072BC"/>
            <w:lang w:val="pl"/>
          </w:rPr>
          <w:t xml:space="preserve">Jakovljević p. Serbii </w:t>
        </w:r>
      </w:hyperlink>
      <w:r>
        <w:rPr>
          <w:lang w:val="pl"/>
        </w:rPr>
        <w:t>(dec.), § 29).</w:t>
      </w:r>
    </w:p>
    <w:p w:rsidR="00B71A20" w:rsidRPr="000625F6" w:rsidRDefault="000425B4" w:rsidP="00115011">
      <w:pPr>
        <w:pStyle w:val="Teksttreci0"/>
        <w:numPr>
          <w:ilvl w:val="0"/>
          <w:numId w:val="7"/>
        </w:numPr>
        <w:tabs>
          <w:tab w:val="left" w:pos="394"/>
        </w:tabs>
        <w:spacing w:after="220"/>
        <w:jc w:val="both"/>
        <w:rPr>
          <w:lang w:val="pl-PL"/>
        </w:rPr>
      </w:pPr>
      <w:bookmarkStart w:id="31" w:name="bookmark30"/>
      <w:r>
        <w:rPr>
          <w:lang w:val="pl"/>
        </w:rPr>
        <w:t xml:space="preserve">Rozkład ciężaru dowodu jest nieodłącznie powiązany ze specyfiką stanu faktycznego, charakterem wniesionego zarzutu i zagrożonym prawem konwencyjnym </w:t>
      </w:r>
      <w:hyperlink r:id="rId103" w:history="1">
        <w:r>
          <w:rPr>
            <w:lang w:val="pl"/>
          </w:rPr>
          <w:t>(</w:t>
        </w:r>
        <w:r>
          <w:rPr>
            <w:i/>
            <w:iCs/>
            <w:color w:val="0072BC"/>
            <w:lang w:val="pl"/>
          </w:rPr>
          <w:t xml:space="preserve">N.D. i N.T. p. Hiszpanii </w:t>
        </w:r>
      </w:hyperlink>
      <w:r>
        <w:rPr>
          <w:lang w:val="pl"/>
        </w:rPr>
        <w:t>[WI], §§ 83-88).</w:t>
      </w:r>
      <w:bookmarkEnd w:id="31"/>
    </w:p>
    <w:p w:rsidR="00B71A20" w:rsidRDefault="002E6A16" w:rsidP="002E6A16">
      <w:pPr>
        <w:pStyle w:val="Nagwek41"/>
        <w:keepNext/>
        <w:keepLines/>
        <w:tabs>
          <w:tab w:val="left" w:pos="359"/>
        </w:tabs>
        <w:jc w:val="both"/>
      </w:pPr>
      <w:bookmarkStart w:id="32" w:name="_Toc126335609"/>
      <w:bookmarkStart w:id="33" w:name="_Toc126660563"/>
      <w:r>
        <w:rPr>
          <w:lang w:val="pl"/>
        </w:rPr>
        <w:t xml:space="preserve">b.  </w:t>
      </w:r>
      <w:r w:rsidR="000425B4">
        <w:rPr>
          <w:lang w:val="pl"/>
        </w:rPr>
        <w:t>Ofiara bezpośrednia</w:t>
      </w:r>
      <w:bookmarkEnd w:id="32"/>
      <w:bookmarkEnd w:id="33"/>
    </w:p>
    <w:p w:rsidR="00B71A20" w:rsidRPr="000625F6" w:rsidRDefault="000425B4" w:rsidP="00115011">
      <w:pPr>
        <w:pStyle w:val="Teksttreci0"/>
        <w:numPr>
          <w:ilvl w:val="0"/>
          <w:numId w:val="8"/>
        </w:numPr>
        <w:tabs>
          <w:tab w:val="left" w:pos="409"/>
        </w:tabs>
        <w:jc w:val="both"/>
        <w:rPr>
          <w:lang w:val="pl-PL"/>
        </w:rPr>
      </w:pPr>
      <w:r>
        <w:rPr>
          <w:lang w:val="pl"/>
        </w:rPr>
        <w:t xml:space="preserve">W celu wniesienia skargi zgodnie z art. 34, skarżący musi być w stanie udowodnić, że był „bezpośrednio dotknięty/doznał uszczerbku” zaskarżonym działaniem </w:t>
      </w:r>
      <w:hyperlink r:id="rId104" w:history="1">
        <w:r>
          <w:rPr>
            <w:lang w:val="pl"/>
          </w:rPr>
          <w:t>(</w:t>
        </w:r>
        <w:r>
          <w:rPr>
            <w:i/>
            <w:iCs/>
            <w:color w:val="0072BC"/>
            <w:lang w:val="pl"/>
          </w:rPr>
          <w:t>Tănase</w:t>
        </w:r>
      </w:hyperlink>
      <w:r>
        <w:rPr>
          <w:i/>
          <w:iCs/>
          <w:color w:val="0072BC"/>
          <w:lang w:val="pl"/>
        </w:rPr>
        <w:t xml:space="preserve"> </w:t>
      </w:r>
      <w:hyperlink r:id="rId105" w:history="1">
        <w:r>
          <w:rPr>
            <w:i/>
            <w:iCs/>
            <w:color w:val="0072BC"/>
            <w:lang w:val="pl"/>
          </w:rPr>
          <w:t xml:space="preserve">p. Mołdawii </w:t>
        </w:r>
      </w:hyperlink>
      <w:r>
        <w:rPr>
          <w:lang w:val="pl"/>
        </w:rPr>
        <w:t>[WI], § 104;</w:t>
      </w:r>
      <w:hyperlink r:id="rId106" w:history="1">
        <w:r>
          <w:rPr>
            <w:lang w:val="pl"/>
          </w:rPr>
          <w:t xml:space="preserve"> </w:t>
        </w:r>
        <w:r>
          <w:rPr>
            <w:i/>
            <w:iCs/>
            <w:color w:val="0072BC"/>
            <w:lang w:val="pl"/>
          </w:rPr>
          <w:t xml:space="preserve">Burden p. Wielkiej Brytanii </w:t>
        </w:r>
      </w:hyperlink>
      <w:r>
        <w:rPr>
          <w:lang w:val="pl"/>
        </w:rPr>
        <w:t>[WI], § 33;</w:t>
      </w:r>
      <w:hyperlink r:id="rId107" w:history="1">
        <w:r>
          <w:rPr>
            <w:lang w:val="pl"/>
          </w:rPr>
          <w:t xml:space="preserve"> </w:t>
        </w:r>
        <w:r>
          <w:rPr>
            <w:i/>
            <w:iCs/>
            <w:color w:val="0072BC"/>
            <w:lang w:val="pl"/>
          </w:rPr>
          <w:t xml:space="preserve">Lambert i Inni p. Francji </w:t>
        </w:r>
      </w:hyperlink>
      <w:r>
        <w:rPr>
          <w:lang w:val="pl"/>
        </w:rPr>
        <w:t xml:space="preserve">[WI], § 89). Jest to warunek konieczny dla uruchomienia mechanizmu ochrony przewidzianego w Konwencji </w:t>
      </w:r>
      <w:hyperlink r:id="rId108" w:history="1">
        <w:r>
          <w:rPr>
            <w:lang w:val="pl"/>
          </w:rPr>
          <w:t>(</w:t>
        </w:r>
        <w:r>
          <w:rPr>
            <w:i/>
            <w:iCs/>
            <w:color w:val="0072BC"/>
            <w:lang w:val="pl"/>
          </w:rPr>
          <w:t>Hristozov i Inni p. Bułgarii</w:t>
        </w:r>
        <w:r>
          <w:rPr>
            <w:lang w:val="pl"/>
          </w:rPr>
          <w:t>,</w:t>
        </w:r>
      </w:hyperlink>
      <w:r>
        <w:rPr>
          <w:lang w:val="pl"/>
        </w:rPr>
        <w:t xml:space="preserve"> § 73), ale nie należy tego kryterium stosować w sposób sztywny, mechaniczny i nieelastyczny przez cały czas trwania postępowania </w:t>
      </w:r>
      <w:hyperlink r:id="rId109" w:history="1">
        <w:r>
          <w:rPr>
            <w:lang w:val="pl"/>
          </w:rPr>
          <w:t>(</w:t>
        </w:r>
        <w:r>
          <w:rPr>
            <w:i/>
            <w:iCs/>
            <w:color w:val="0072BC"/>
            <w:lang w:val="pl"/>
          </w:rPr>
          <w:t xml:space="preserve">Micallef p. Malcie </w:t>
        </w:r>
      </w:hyperlink>
      <w:r>
        <w:rPr>
          <w:lang w:val="pl"/>
        </w:rPr>
        <w:t>[WI], § 45;</w:t>
      </w:r>
      <w:hyperlink r:id="rId110" w:history="1">
        <w:r>
          <w:rPr>
            <w:i/>
            <w:iCs/>
            <w:lang w:val="pl"/>
          </w:rPr>
          <w:t xml:space="preserve"> </w:t>
        </w:r>
        <w:r>
          <w:rPr>
            <w:i/>
            <w:iCs/>
            <w:color w:val="0072BC"/>
            <w:lang w:val="pl"/>
          </w:rPr>
          <w:t>Karner</w:t>
        </w:r>
      </w:hyperlink>
      <w:r>
        <w:rPr>
          <w:i/>
          <w:iCs/>
          <w:color w:val="0072BC"/>
          <w:lang w:val="pl"/>
        </w:rPr>
        <w:t xml:space="preserve"> </w:t>
      </w:r>
      <w:hyperlink r:id="rId111" w:history="1">
        <w:r>
          <w:rPr>
            <w:i/>
            <w:iCs/>
            <w:color w:val="0072BC"/>
            <w:lang w:val="pl"/>
          </w:rPr>
          <w:t>p. Austrii</w:t>
        </w:r>
        <w:r>
          <w:rPr>
            <w:lang w:val="pl"/>
          </w:rPr>
          <w:t>,</w:t>
        </w:r>
      </w:hyperlink>
      <w:r>
        <w:rPr>
          <w:lang w:val="pl"/>
        </w:rPr>
        <w:t xml:space="preserve"> § 25;</w:t>
      </w:r>
      <w:hyperlink r:id="rId112" w:history="1">
        <w:r>
          <w:rPr>
            <w:i/>
            <w:iCs/>
            <w:lang w:val="pl"/>
          </w:rPr>
          <w:t xml:space="preserve"> </w:t>
        </w:r>
        <w:r>
          <w:rPr>
            <w:i/>
            <w:iCs/>
            <w:color w:val="0072BC"/>
            <w:lang w:val="pl"/>
          </w:rPr>
          <w:t xml:space="preserve">Aksu p. Turcji </w:t>
        </w:r>
      </w:hyperlink>
      <w:r>
        <w:rPr>
          <w:lang w:val="pl"/>
        </w:rPr>
        <w:t xml:space="preserve">[WI], § 51). Przykładowo, osoba nie może stawiać zarzutu naruszenia jej praw w postępowaniu, którego nie była stroną </w:t>
      </w:r>
      <w:hyperlink r:id="rId113" w:history="1">
        <w:r>
          <w:rPr>
            <w:lang w:val="pl"/>
          </w:rPr>
          <w:t>(</w:t>
        </w:r>
        <w:r>
          <w:rPr>
            <w:i/>
            <w:iCs/>
            <w:color w:val="0072BC"/>
            <w:lang w:val="pl"/>
          </w:rPr>
          <w:t>Centro Europa 7 S.r.l. i Di</w:t>
        </w:r>
      </w:hyperlink>
      <w:r>
        <w:rPr>
          <w:i/>
          <w:iCs/>
          <w:color w:val="0072BC"/>
          <w:lang w:val="pl"/>
        </w:rPr>
        <w:t xml:space="preserve"> </w:t>
      </w:r>
      <w:hyperlink r:id="rId114" w:history="1">
        <w:r>
          <w:rPr>
            <w:i/>
            <w:iCs/>
            <w:color w:val="0072BC"/>
            <w:lang w:val="pl"/>
          </w:rPr>
          <w:t xml:space="preserve">Stefano p. Włochom </w:t>
        </w:r>
      </w:hyperlink>
      <w:r>
        <w:rPr>
          <w:lang w:val="pl"/>
        </w:rPr>
        <w:t>[WI], § 92). Jednak w sprawie</w:t>
      </w:r>
      <w:hyperlink r:id="rId115" w:history="1">
        <w:r>
          <w:rPr>
            <w:lang w:val="pl"/>
          </w:rPr>
          <w:t xml:space="preserve"> </w:t>
        </w:r>
        <w:r>
          <w:rPr>
            <w:i/>
            <w:iCs/>
            <w:color w:val="0072BC"/>
            <w:lang w:val="pl"/>
          </w:rPr>
          <w:t>Margulev p. Rosji</w:t>
        </w:r>
        <w:r>
          <w:rPr>
            <w:lang w:val="pl"/>
          </w:rPr>
          <w:t xml:space="preserve"> </w:t>
        </w:r>
      </w:hyperlink>
      <w:r>
        <w:rPr>
          <w:lang w:val="pl"/>
        </w:rPr>
        <w:t>Trybunał uznał, że skarżący był bezpośrednią ofiarą postępowania o zniesławienie, mimo że przystąpił do tego postępowania wyłącznie w roli strony trzeciej. Jako że prawo krajowe dopuszczało możliwość uzyskania statusu strony trzeciej w postępowaniu, w którym „wydane orzeczenie może mieć wpływ na prawa i obowiązki strony trzeciej względem powoda albo pozwanego”, Trybunał stwierdził, że sądy krajowe uznały w sposób dorozumiany, iż prawa skarżącego mogły doznać uszczerbku w wyniku postępowania o zniesławienie (§ 36). W sprawie</w:t>
      </w:r>
      <w:hyperlink r:id="rId116" w:history="1">
        <w:r>
          <w:rPr>
            <w:lang w:val="pl"/>
          </w:rPr>
          <w:t xml:space="preserve"> </w:t>
        </w:r>
        <w:r>
          <w:rPr>
            <w:i/>
            <w:iCs/>
            <w:color w:val="0072BC"/>
            <w:lang w:val="pl"/>
          </w:rPr>
          <w:t>Mukhin p. Rosji</w:t>
        </w:r>
      </w:hyperlink>
      <w:r>
        <w:rPr>
          <w:lang w:val="pl"/>
        </w:rPr>
        <w:t xml:space="preserve"> Trybunał uznał, że redaktor naczelny </w:t>
      </w:r>
      <w:r>
        <w:rPr>
          <w:lang w:val="pl"/>
        </w:rPr>
        <w:lastRenderedPageBreak/>
        <w:t>gazety może twierdzić, że jest ofiarą decyzji sądów krajowych pozbawiających tę gazetę statusu środka masowego przekazu i unieważniających dokument potwierdzający jej rejestrację (§§ 158-160). Ponadto w pewnych szczególnych okolicznościach ofiary bezpośre</w:t>
      </w:r>
      <w:r w:rsidR="0019438F">
        <w:rPr>
          <w:lang w:val="pl"/>
        </w:rPr>
        <w:t>dnie, które nie uczestniczyły w </w:t>
      </w:r>
      <w:r>
        <w:rPr>
          <w:lang w:val="pl"/>
        </w:rPr>
        <w:t xml:space="preserve">postępowaniach krajowych, były dopuszczane do występowania przed Trybunałem w roli skarżących </w:t>
      </w:r>
      <w:hyperlink r:id="rId117" w:history="1">
        <w:r>
          <w:rPr>
            <w:lang w:val="pl"/>
          </w:rPr>
          <w:t>(</w:t>
        </w:r>
        <w:r>
          <w:rPr>
            <w:i/>
            <w:iCs/>
            <w:color w:val="0072BC"/>
            <w:lang w:val="pl"/>
          </w:rPr>
          <w:t>Beizaras i</w:t>
        </w:r>
      </w:hyperlink>
      <w:r>
        <w:rPr>
          <w:i/>
          <w:iCs/>
          <w:color w:val="0072BC"/>
          <w:lang w:val="pl"/>
        </w:rPr>
        <w:t xml:space="preserve"> </w:t>
      </w:r>
      <w:hyperlink r:id="rId118" w:history="1">
        <w:r>
          <w:rPr>
            <w:i/>
            <w:iCs/>
            <w:color w:val="0072BC"/>
            <w:lang w:val="pl"/>
          </w:rPr>
          <w:t>Levickas p. Litwie</w:t>
        </w:r>
        <w:r>
          <w:rPr>
            <w:lang w:val="pl"/>
          </w:rPr>
          <w:t>,</w:t>
        </w:r>
      </w:hyperlink>
      <w:r>
        <w:rPr>
          <w:i/>
          <w:iCs/>
          <w:lang w:val="pl"/>
        </w:rPr>
        <w:t xml:space="preserve"> </w:t>
      </w:r>
      <w:r>
        <w:rPr>
          <w:lang w:val="pl"/>
        </w:rPr>
        <w:t xml:space="preserve">§§ 78-81). Udział w postępowaniu krajowym nie jest zatem czynnikiem decydującym, ponieważ w systemie konwencyjnym pojęcie „ofiary” jest interpretowane samoistnie (patrz np. </w:t>
      </w:r>
      <w:hyperlink r:id="rId119" w:history="1">
        <w:r>
          <w:rPr>
            <w:i/>
            <w:iCs/>
            <w:color w:val="0072BC"/>
            <w:lang w:val="pl"/>
          </w:rPr>
          <w:t xml:space="preserve">Kalfagiannis i Pospert p. Grecji </w:t>
        </w:r>
      </w:hyperlink>
      <w:r>
        <w:rPr>
          <w:lang w:val="pl"/>
        </w:rPr>
        <w:t>(dec.), §§ 44-48, sprawa dotycząca administratora finansowego w przedsiębiorstwie nadawcy publicznego, w przypadku którego status ofiary został uznany przez sądy krajowe, ale nie przez Trybunał).</w:t>
      </w:r>
    </w:p>
    <w:p w:rsidR="00B71A20" w:rsidRPr="000625F6" w:rsidRDefault="000425B4" w:rsidP="00115011">
      <w:pPr>
        <w:pStyle w:val="Teksttreci0"/>
        <w:numPr>
          <w:ilvl w:val="0"/>
          <w:numId w:val="8"/>
        </w:numPr>
        <w:tabs>
          <w:tab w:val="left" w:pos="394"/>
          <w:tab w:val="left" w:pos="6442"/>
        </w:tabs>
        <w:spacing w:after="0"/>
        <w:jc w:val="both"/>
        <w:rPr>
          <w:lang w:val="pl-PL"/>
        </w:rPr>
      </w:pPr>
      <w:r>
        <w:rPr>
          <w:lang w:val="pl"/>
        </w:rPr>
        <w:t xml:space="preserve">Co więcej, zgodnie z praktyką Trybunału i z art. 34 Konwencji skargi mogą być wnoszone wyłącznie przez osoby żyjące albo w ich imieniu </w:t>
      </w:r>
      <w:hyperlink r:id="rId120" w:history="1">
        <w:r>
          <w:rPr>
            <w:lang w:val="pl"/>
          </w:rPr>
          <w:t>(</w:t>
        </w:r>
        <w:r>
          <w:rPr>
            <w:i/>
            <w:iCs/>
            <w:color w:val="0072BC"/>
            <w:lang w:val="pl"/>
          </w:rPr>
          <w:t>Centre for Legal</w:t>
        </w:r>
      </w:hyperlink>
      <w:r>
        <w:rPr>
          <w:i/>
          <w:iCs/>
          <w:color w:val="0072BC"/>
          <w:lang w:val="pl"/>
        </w:rPr>
        <w:t xml:space="preserve"> </w:t>
      </w:r>
      <w:hyperlink r:id="rId121" w:history="1">
        <w:r>
          <w:rPr>
            <w:i/>
            <w:iCs/>
            <w:color w:val="0072BC"/>
            <w:lang w:val="pl"/>
          </w:rPr>
          <w:t xml:space="preserve">Resources w imieniu Valentina Câmpeanu p. Rumunii </w:t>
        </w:r>
      </w:hyperlink>
      <w:r>
        <w:rPr>
          <w:lang w:val="pl"/>
        </w:rPr>
        <w:t>[WI], § 96). Mogą jednak zachodzić szczególne względy w odniesieniu do ofiar domniemanych naruszeń art. 2, 3 i 8 przez władze krajowe.</w:t>
      </w:r>
    </w:p>
    <w:p w:rsidR="00B71A20" w:rsidRPr="000625F6" w:rsidRDefault="000425B4">
      <w:pPr>
        <w:pStyle w:val="Teksttreci0"/>
        <w:spacing w:after="220"/>
        <w:jc w:val="both"/>
        <w:rPr>
          <w:lang w:val="pl-PL"/>
        </w:rPr>
      </w:pPr>
      <w:bookmarkStart w:id="34" w:name="bookmark33"/>
      <w:r>
        <w:rPr>
          <w:lang w:val="pl"/>
        </w:rPr>
        <w:t xml:space="preserve"> Skargi wnoszone w imieniu ofiary (ofiar) przez jednostki lub stowarzyszenia są zatem uznawane za dopuszczalne, nawet jeśli nie przedstawiono ważnego upoważnienia (§§ 103-114)</w:t>
      </w:r>
      <w:r>
        <w:rPr>
          <w:vertAlign w:val="superscript"/>
          <w:lang w:val="pl"/>
        </w:rPr>
        <w:footnoteReference w:id="4"/>
      </w:r>
      <w:r>
        <w:rPr>
          <w:lang w:val="pl"/>
        </w:rPr>
        <w:t>.</w:t>
      </w:r>
      <w:bookmarkEnd w:id="34"/>
    </w:p>
    <w:p w:rsidR="00B71A20" w:rsidRDefault="008D530C" w:rsidP="008D530C">
      <w:pPr>
        <w:pStyle w:val="Nagwek41"/>
        <w:keepNext/>
        <w:keepLines/>
        <w:tabs>
          <w:tab w:val="left" w:pos="384"/>
        </w:tabs>
        <w:jc w:val="both"/>
      </w:pPr>
      <w:bookmarkStart w:id="35" w:name="_Toc126335610"/>
      <w:bookmarkStart w:id="36" w:name="_Toc126660564"/>
      <w:r>
        <w:rPr>
          <w:lang w:val="pl"/>
        </w:rPr>
        <w:t xml:space="preserve">c.  </w:t>
      </w:r>
      <w:r w:rsidR="000425B4">
        <w:rPr>
          <w:lang w:val="pl"/>
        </w:rPr>
        <w:t>Ofiara pośrednia</w:t>
      </w:r>
      <w:bookmarkEnd w:id="35"/>
      <w:bookmarkEnd w:id="36"/>
    </w:p>
    <w:p w:rsidR="00B71A20" w:rsidRPr="000625F6" w:rsidRDefault="000425B4" w:rsidP="00115011">
      <w:pPr>
        <w:pStyle w:val="Teksttreci0"/>
        <w:numPr>
          <w:ilvl w:val="0"/>
          <w:numId w:val="9"/>
        </w:numPr>
        <w:tabs>
          <w:tab w:val="left" w:pos="399"/>
        </w:tabs>
        <w:jc w:val="both"/>
        <w:rPr>
          <w:lang w:val="pl-PL"/>
        </w:rPr>
      </w:pPr>
      <w:r>
        <w:rPr>
          <w:lang w:val="pl"/>
        </w:rPr>
        <w:t xml:space="preserve">Jeżeli domniemana ofiara naruszenia zmarła przed wniesieniem skargi, posiadająca wymagany interes prawny osoba z kręgu jej najbliższej rodziny może wnieść skargę, w której podnosi zarzuty związane ze śmiercią lub zaginięciem kogoś z rodziny </w:t>
      </w:r>
      <w:hyperlink r:id="rId122" w:history="1">
        <w:r>
          <w:rPr>
            <w:lang w:val="pl"/>
          </w:rPr>
          <w:t>(</w:t>
        </w:r>
        <w:r>
          <w:rPr>
            <w:i/>
            <w:iCs/>
            <w:color w:val="0072BC"/>
            <w:lang w:val="pl"/>
          </w:rPr>
          <w:t>Varnava i Inni</w:t>
        </w:r>
      </w:hyperlink>
      <w:r>
        <w:rPr>
          <w:i/>
          <w:iCs/>
          <w:color w:val="0072BC"/>
          <w:lang w:val="pl"/>
        </w:rPr>
        <w:t xml:space="preserve"> </w:t>
      </w:r>
      <w:hyperlink r:id="rId123" w:history="1">
        <w:r>
          <w:rPr>
            <w:i/>
            <w:iCs/>
            <w:color w:val="0072BC"/>
            <w:lang w:val="pl"/>
          </w:rPr>
          <w:t xml:space="preserve">p. Turcji </w:t>
        </w:r>
      </w:hyperlink>
      <w:r>
        <w:rPr>
          <w:lang w:val="pl"/>
        </w:rPr>
        <w:t xml:space="preserve">[WI], § 112). Jest to podyktowane szczególną sytuacją wynikającą z charakteru zarzucanego naruszenia oraz względami skutecznej realizacji jednego z najbardziej fundamentalnych postanowień systemu konwencyjnego </w:t>
      </w:r>
      <w:hyperlink r:id="rId124" w:history="1">
        <w:r>
          <w:rPr>
            <w:lang w:val="pl"/>
          </w:rPr>
          <w:t>(</w:t>
        </w:r>
        <w:r>
          <w:rPr>
            <w:i/>
            <w:iCs/>
            <w:color w:val="0072BC"/>
            <w:lang w:val="pl"/>
          </w:rPr>
          <w:t xml:space="preserve">Fairfield p. Wielkiej Brytanii </w:t>
        </w:r>
      </w:hyperlink>
      <w:r>
        <w:rPr>
          <w:lang w:val="pl"/>
        </w:rPr>
        <w:t>(dec.)).</w:t>
      </w:r>
    </w:p>
    <w:p w:rsidR="00B71A20" w:rsidRPr="000625F6" w:rsidRDefault="000425B4" w:rsidP="00115011">
      <w:pPr>
        <w:pStyle w:val="Teksttreci0"/>
        <w:numPr>
          <w:ilvl w:val="0"/>
          <w:numId w:val="9"/>
        </w:numPr>
        <w:tabs>
          <w:tab w:val="left" w:pos="399"/>
        </w:tabs>
        <w:jc w:val="both"/>
        <w:rPr>
          <w:lang w:val="pl-PL"/>
        </w:rPr>
      </w:pPr>
      <w:r>
        <w:rPr>
          <w:lang w:val="pl"/>
        </w:rPr>
        <w:t xml:space="preserve">W takich przypadkach Trybunał uznał zdolność najbliższej rodziny, na przykład rodziców osoby, której śmierć lub zaginięcie może pociągać za sobą odpowiedzialność </w:t>
      </w:r>
      <w:r w:rsidR="0019438F">
        <w:rPr>
          <w:lang w:val="pl"/>
        </w:rPr>
        <w:t>państwa, do wniesienia skargi w </w:t>
      </w:r>
      <w:r>
        <w:rPr>
          <w:lang w:val="pl"/>
        </w:rPr>
        <w:t xml:space="preserve">charakterze pośredniej ofiary domniemanego naruszenia art. 2, przy czym nie ma znaczenia, czy osoby te były ustawowymi spadkobiercami zmarłego </w:t>
      </w:r>
      <w:hyperlink r:id="rId125" w:history="1">
        <w:r>
          <w:rPr>
            <w:lang w:val="pl"/>
          </w:rPr>
          <w:t>(</w:t>
        </w:r>
        <w:r>
          <w:rPr>
            <w:i/>
            <w:iCs/>
            <w:color w:val="0072BC"/>
            <w:lang w:val="pl"/>
          </w:rPr>
          <w:t>Van Colle p. Wielkiej Brytanii</w:t>
        </w:r>
        <w:r>
          <w:rPr>
            <w:lang w:val="pl"/>
          </w:rPr>
          <w:t>,</w:t>
        </w:r>
      </w:hyperlink>
      <w:r>
        <w:rPr>
          <w:lang w:val="pl"/>
        </w:rPr>
        <w:t xml:space="preserve"> § 86;</w:t>
      </w:r>
      <w:hyperlink r:id="rId126" w:history="1">
        <w:r>
          <w:rPr>
            <w:i/>
            <w:iCs/>
            <w:lang w:val="pl"/>
          </w:rPr>
          <w:t xml:space="preserve"> </w:t>
        </w:r>
        <w:r>
          <w:rPr>
            <w:i/>
            <w:iCs/>
            <w:color w:val="0072BC"/>
            <w:lang w:val="pl"/>
          </w:rPr>
          <w:t>Tsalikidis i</w:t>
        </w:r>
      </w:hyperlink>
      <w:r w:rsidR="00A653C0">
        <w:rPr>
          <w:i/>
          <w:iCs/>
          <w:color w:val="0072BC"/>
          <w:lang w:val="pl"/>
        </w:rPr>
        <w:t> </w:t>
      </w:r>
      <w:hyperlink r:id="rId127" w:history="1">
        <w:r>
          <w:rPr>
            <w:i/>
            <w:iCs/>
            <w:color w:val="0072BC"/>
            <w:lang w:val="pl"/>
          </w:rPr>
          <w:t>Inni p. Grecji</w:t>
        </w:r>
        <w:r>
          <w:rPr>
            <w:lang w:val="pl"/>
          </w:rPr>
          <w:t>,</w:t>
        </w:r>
      </w:hyperlink>
      <w:r>
        <w:rPr>
          <w:lang w:val="pl"/>
        </w:rPr>
        <w:t xml:space="preserve"> § 64;</w:t>
      </w:r>
      <w:hyperlink r:id="rId128" w:history="1">
        <w:r>
          <w:rPr>
            <w:i/>
            <w:iCs/>
            <w:lang w:val="pl"/>
          </w:rPr>
          <w:t xml:space="preserve"> </w:t>
        </w:r>
        <w:r>
          <w:rPr>
            <w:i/>
            <w:iCs/>
            <w:color w:val="0072BC"/>
            <w:lang w:val="pl"/>
          </w:rPr>
          <w:t>Kotilainen i Inni p. Finlandii</w:t>
        </w:r>
        <w:r>
          <w:rPr>
            <w:lang w:val="pl"/>
          </w:rPr>
          <w:t xml:space="preserve">, </w:t>
        </w:r>
      </w:hyperlink>
      <w:r>
        <w:rPr>
          <w:lang w:val="pl"/>
        </w:rPr>
        <w:t>§§ 51-52).</w:t>
      </w:r>
    </w:p>
    <w:p w:rsidR="00B71A20" w:rsidRPr="000625F6" w:rsidRDefault="000425B4" w:rsidP="00115011">
      <w:pPr>
        <w:pStyle w:val="Teksttreci0"/>
        <w:numPr>
          <w:ilvl w:val="0"/>
          <w:numId w:val="9"/>
        </w:numPr>
        <w:tabs>
          <w:tab w:val="left" w:pos="404"/>
        </w:tabs>
        <w:jc w:val="both"/>
        <w:rPr>
          <w:lang w:val="pl-PL"/>
        </w:rPr>
      </w:pPr>
      <w:r>
        <w:rPr>
          <w:lang w:val="pl"/>
        </w:rPr>
        <w:t>Członkowie najbliższej rodziny mogą też podnieść inne zarzuty, np. na gruncie art. 3 i 5 Konwencji, w imieniu zmarłych lub zaginionych krewnych, pod warunkiem że zarzucane naruszenie jest ściśle związane ze śmiercią lub zaginięciem jako przyczynami wszczęcia spraw na podstawie art. 2. Patrz np.</w:t>
      </w:r>
      <w:hyperlink r:id="rId129" w:history="1">
        <w:r>
          <w:rPr>
            <w:i/>
            <w:iCs/>
            <w:lang w:val="pl"/>
          </w:rPr>
          <w:t xml:space="preserve"> </w:t>
        </w:r>
        <w:r>
          <w:rPr>
            <w:i/>
            <w:iCs/>
            <w:color w:val="0072BC"/>
            <w:lang w:val="pl"/>
          </w:rPr>
          <w:t>Khayrullina</w:t>
        </w:r>
      </w:hyperlink>
      <w:r>
        <w:rPr>
          <w:i/>
          <w:iCs/>
          <w:color w:val="0072BC"/>
          <w:lang w:val="pl"/>
        </w:rPr>
        <w:t xml:space="preserve"> </w:t>
      </w:r>
      <w:hyperlink r:id="rId130" w:history="1">
        <w:r>
          <w:rPr>
            <w:i/>
            <w:iCs/>
            <w:color w:val="0072BC"/>
            <w:lang w:val="pl"/>
          </w:rPr>
          <w:t>p. Rosji</w:t>
        </w:r>
        <w:r>
          <w:rPr>
            <w:lang w:val="pl"/>
          </w:rPr>
          <w:t>,</w:t>
        </w:r>
      </w:hyperlink>
      <w:r>
        <w:rPr>
          <w:lang w:val="pl"/>
        </w:rPr>
        <w:t xml:space="preserve"> §§ 91</w:t>
      </w:r>
      <w:r>
        <w:rPr>
          <w:lang w:val="pl"/>
        </w:rPr>
        <w:noBreakHyphen/>
        <w:t>92 i §§ 100</w:t>
      </w:r>
      <w:r>
        <w:rPr>
          <w:lang w:val="pl"/>
        </w:rPr>
        <w:noBreakHyphen/>
        <w:t xml:space="preserve">107, sprawa dotycząca umocowania osoby z najbliższej rodziny do wniesienia skargi na podstawie art. 5 ust. 1 i art. 5 ust. 5. Taki sam tok rozumowania można przyjąć w odniesieniu do skargi na podstawie art. 6, jeśli osoba zmarła w toku prowadzonego przeciwko niej postępowania karnego, a śmierć nastąpiła w okolicznościach wskazujących na odpowiedzialność państwa </w:t>
      </w:r>
      <w:hyperlink r:id="rId131" w:history="1">
        <w:r>
          <w:rPr>
            <w:lang w:val="pl"/>
          </w:rPr>
          <w:t>(</w:t>
        </w:r>
        <w:r>
          <w:rPr>
            <w:i/>
            <w:iCs/>
            <w:color w:val="0072BC"/>
            <w:lang w:val="pl"/>
          </w:rPr>
          <w:t>Magnitskiy i Inni p. Rosji</w:t>
        </w:r>
        <w:r>
          <w:rPr>
            <w:lang w:val="pl"/>
          </w:rPr>
          <w:t>,</w:t>
        </w:r>
      </w:hyperlink>
      <w:r>
        <w:rPr>
          <w:lang w:val="pl"/>
        </w:rPr>
        <w:t xml:space="preserve"> §§ 278</w:t>
      </w:r>
      <w:r>
        <w:rPr>
          <w:lang w:val="pl"/>
        </w:rPr>
        <w:noBreakHyphen/>
        <w:t>279).</w:t>
      </w:r>
    </w:p>
    <w:p w:rsidR="00B71A20" w:rsidRPr="000625F6" w:rsidRDefault="000425B4" w:rsidP="00115011">
      <w:pPr>
        <w:pStyle w:val="Teksttreci0"/>
        <w:numPr>
          <w:ilvl w:val="0"/>
          <w:numId w:val="9"/>
        </w:numPr>
        <w:tabs>
          <w:tab w:val="left" w:pos="399"/>
        </w:tabs>
        <w:spacing w:after="120"/>
        <w:jc w:val="both"/>
        <w:rPr>
          <w:lang w:val="pl-PL"/>
        </w:rPr>
      </w:pPr>
      <w:r>
        <w:rPr>
          <w:lang w:val="pl"/>
        </w:rPr>
        <w:t>W sprawach dotyczących małżonków, patrz</w:t>
      </w:r>
      <w:hyperlink r:id="rId132" w:history="1">
        <w:r>
          <w:rPr>
            <w:i/>
            <w:iCs/>
            <w:lang w:val="pl"/>
          </w:rPr>
          <w:t xml:space="preserve"> </w:t>
        </w:r>
        <w:r>
          <w:rPr>
            <w:i/>
            <w:iCs/>
            <w:color w:val="0072BC"/>
            <w:lang w:val="pl"/>
          </w:rPr>
          <w:t>McCann i Inni p. Wielkiej Brytanii</w:t>
        </w:r>
        <w:r>
          <w:rPr>
            <w:lang w:val="pl"/>
          </w:rPr>
          <w:t>,</w:t>
        </w:r>
      </w:hyperlink>
      <w:hyperlink r:id="rId133" w:history="1">
        <w:r>
          <w:rPr>
            <w:lang w:val="pl"/>
          </w:rPr>
          <w:t xml:space="preserve"> </w:t>
        </w:r>
        <w:r>
          <w:rPr>
            <w:i/>
            <w:iCs/>
            <w:color w:val="0072BC"/>
            <w:lang w:val="pl"/>
          </w:rPr>
          <w:t xml:space="preserve">Salman p. Turcji </w:t>
        </w:r>
      </w:hyperlink>
      <w:r>
        <w:rPr>
          <w:lang w:val="pl"/>
        </w:rPr>
        <w:t>[WI]; w sprawach dotyczących partnerów niebędących małżonkami, patrz</w:t>
      </w:r>
      <w:hyperlink r:id="rId134" w:history="1">
        <w:r>
          <w:rPr>
            <w:i/>
            <w:iCs/>
            <w:lang w:val="pl"/>
          </w:rPr>
          <w:t xml:space="preserve"> </w:t>
        </w:r>
        <w:r>
          <w:rPr>
            <w:i/>
            <w:iCs/>
            <w:color w:val="0072BC"/>
            <w:lang w:val="pl"/>
          </w:rPr>
          <w:t xml:space="preserve">Velikova p. Bułgarii </w:t>
        </w:r>
      </w:hyperlink>
      <w:r w:rsidR="0019438F">
        <w:rPr>
          <w:lang w:val="pl"/>
        </w:rPr>
        <w:t>(dec.); w </w:t>
      </w:r>
      <w:r>
        <w:rPr>
          <w:lang w:val="pl"/>
        </w:rPr>
        <w:t>sprawach dotyczących rodziców, patrz</w:t>
      </w:r>
      <w:hyperlink r:id="rId135" w:history="1">
        <w:r>
          <w:rPr>
            <w:i/>
            <w:iCs/>
            <w:lang w:val="pl"/>
          </w:rPr>
          <w:t xml:space="preserve"> </w:t>
        </w:r>
        <w:r>
          <w:rPr>
            <w:i/>
            <w:iCs/>
            <w:color w:val="0072BC"/>
            <w:lang w:val="pl"/>
          </w:rPr>
          <w:t>Ramsahai i Inni p.</w:t>
        </w:r>
      </w:hyperlink>
      <w:r>
        <w:rPr>
          <w:i/>
          <w:iCs/>
          <w:color w:val="0072BC"/>
          <w:lang w:val="pl"/>
        </w:rPr>
        <w:t xml:space="preserve"> </w:t>
      </w:r>
      <w:hyperlink r:id="rId136" w:history="1">
        <w:r>
          <w:rPr>
            <w:i/>
            <w:iCs/>
            <w:color w:val="0072BC"/>
            <w:lang w:val="pl"/>
          </w:rPr>
          <w:t xml:space="preserve">Holandii </w:t>
        </w:r>
      </w:hyperlink>
      <w:r>
        <w:rPr>
          <w:lang w:val="pl"/>
        </w:rPr>
        <w:t>[WI],</w:t>
      </w:r>
      <w:hyperlink r:id="rId137" w:history="1">
        <w:r>
          <w:rPr>
            <w:i/>
            <w:iCs/>
            <w:lang w:val="pl"/>
          </w:rPr>
          <w:t xml:space="preserve"> </w:t>
        </w:r>
        <w:r>
          <w:rPr>
            <w:i/>
            <w:iCs/>
            <w:color w:val="0072BC"/>
            <w:lang w:val="pl"/>
          </w:rPr>
          <w:t xml:space="preserve">Giuliani i Gaggio p. Włochom </w:t>
        </w:r>
      </w:hyperlink>
      <w:r>
        <w:rPr>
          <w:lang w:val="pl"/>
        </w:rPr>
        <w:t>[WI]; w sprawach dotyczących rodzeństwa, patrz</w:t>
      </w:r>
      <w:hyperlink r:id="rId138" w:history="1">
        <w:r>
          <w:rPr>
            <w:i/>
            <w:iCs/>
            <w:lang w:val="pl"/>
          </w:rPr>
          <w:t xml:space="preserve"> </w:t>
        </w:r>
        <w:r>
          <w:rPr>
            <w:i/>
            <w:iCs/>
            <w:color w:val="0072BC"/>
            <w:lang w:val="pl"/>
          </w:rPr>
          <w:t>Andronicou i Constantinou</w:t>
        </w:r>
      </w:hyperlink>
      <w:r>
        <w:rPr>
          <w:i/>
          <w:iCs/>
          <w:color w:val="0072BC"/>
          <w:lang w:val="pl"/>
        </w:rPr>
        <w:t xml:space="preserve"> </w:t>
      </w:r>
      <w:hyperlink r:id="rId139" w:history="1">
        <w:r>
          <w:rPr>
            <w:i/>
            <w:iCs/>
            <w:color w:val="0072BC"/>
            <w:lang w:val="pl"/>
          </w:rPr>
          <w:t>p. Cyprowi</w:t>
        </w:r>
        <w:r>
          <w:rPr>
            <w:lang w:val="pl"/>
          </w:rPr>
          <w:t>;</w:t>
        </w:r>
      </w:hyperlink>
      <w:r>
        <w:rPr>
          <w:lang w:val="pl"/>
        </w:rPr>
        <w:t xml:space="preserve"> w sprawach dotyczących dzieci, patrz</w:t>
      </w:r>
      <w:hyperlink r:id="rId140" w:history="1">
        <w:r>
          <w:rPr>
            <w:i/>
            <w:iCs/>
            <w:lang w:val="pl"/>
          </w:rPr>
          <w:t xml:space="preserve"> </w:t>
        </w:r>
        <w:r>
          <w:rPr>
            <w:i/>
            <w:iCs/>
            <w:color w:val="0072BC"/>
            <w:lang w:val="pl"/>
          </w:rPr>
          <w:t>McKerr p. Wielkiej Brytanii</w:t>
        </w:r>
        <w:r>
          <w:rPr>
            <w:lang w:val="pl"/>
          </w:rPr>
          <w:t>;</w:t>
        </w:r>
      </w:hyperlink>
      <w:r>
        <w:rPr>
          <w:lang w:val="pl"/>
        </w:rPr>
        <w:t xml:space="preserve"> w sprawach dotyczących siostrzeńców/bratanków, patrz</w:t>
      </w:r>
      <w:hyperlink r:id="rId141" w:history="1">
        <w:r>
          <w:rPr>
            <w:i/>
            <w:iCs/>
            <w:lang w:val="pl"/>
          </w:rPr>
          <w:t xml:space="preserve"> </w:t>
        </w:r>
        <w:r>
          <w:rPr>
            <w:i/>
            <w:iCs/>
            <w:color w:val="0072BC"/>
            <w:lang w:val="pl"/>
          </w:rPr>
          <w:t>Yaşa p. Turcji</w:t>
        </w:r>
        <w:r>
          <w:rPr>
            <w:lang w:val="pl"/>
          </w:rPr>
          <w:t>;</w:t>
        </w:r>
      </w:hyperlink>
      <w:r>
        <w:rPr>
          <w:lang w:val="pl"/>
        </w:rPr>
        <w:t xml:space="preserve"> z kolei w sprawie dotyczącej rozwiedzionej partnerki, co do której nie stwierdzono, by łączyła ją dostatecznie silna więź ze zmarłym byłym mężem, patrz</w:t>
      </w:r>
      <w:hyperlink r:id="rId142" w:history="1">
        <w:r>
          <w:rPr>
            <w:i/>
            <w:iCs/>
            <w:lang w:val="pl"/>
          </w:rPr>
          <w:t xml:space="preserve"> </w:t>
        </w:r>
        <w:r>
          <w:rPr>
            <w:i/>
            <w:iCs/>
            <w:color w:val="0072BC"/>
            <w:lang w:val="pl"/>
          </w:rPr>
          <w:t>Trivkanović p. Chorwacji</w:t>
        </w:r>
        <w:r>
          <w:rPr>
            <w:lang w:val="pl"/>
          </w:rPr>
          <w:t>,</w:t>
        </w:r>
      </w:hyperlink>
      <w:r>
        <w:rPr>
          <w:lang w:val="pl"/>
        </w:rPr>
        <w:t xml:space="preserve"> §§ 49</w:t>
      </w:r>
      <w:r>
        <w:rPr>
          <w:lang w:val="pl"/>
        </w:rPr>
        <w:noBreakHyphen/>
        <w:t>50; w sprawie dotyczącej wuja i rodzeństwa stryjecznego patrz</w:t>
      </w:r>
      <w:hyperlink r:id="rId143" w:history="1">
        <w:r>
          <w:rPr>
            <w:i/>
            <w:iCs/>
            <w:lang w:val="pl"/>
          </w:rPr>
          <w:t xml:space="preserve"> </w:t>
        </w:r>
        <w:r>
          <w:rPr>
            <w:i/>
            <w:iCs/>
            <w:color w:val="0072BC"/>
            <w:lang w:val="pl"/>
          </w:rPr>
          <w:t>Fabris i</w:t>
        </w:r>
      </w:hyperlink>
      <w:r w:rsidR="0019438F">
        <w:rPr>
          <w:i/>
          <w:iCs/>
          <w:color w:val="0072BC"/>
          <w:lang w:val="pl"/>
        </w:rPr>
        <w:t> </w:t>
      </w:r>
      <w:hyperlink r:id="rId144" w:history="1">
        <w:r>
          <w:rPr>
            <w:i/>
            <w:iCs/>
            <w:color w:val="0072BC"/>
            <w:lang w:val="pl"/>
          </w:rPr>
          <w:t>Parziale p. Włochom</w:t>
        </w:r>
        <w:r>
          <w:rPr>
            <w:lang w:val="pl"/>
          </w:rPr>
          <w:t>,</w:t>
        </w:r>
      </w:hyperlink>
      <w:r>
        <w:rPr>
          <w:lang w:val="pl"/>
        </w:rPr>
        <w:t xml:space="preserve"> §§ 37-41, wraz z podsumowaniem orzecznictwa. W odniesieniu do osób zaginionych po wypadku łodzi, których ciał nie odnaleziono, Trybunał dopuścił, aby osoba należąca do najbliższej rodziny wniosła skargę na podstawie art. 2, zwłaszcza że państwo nie odnalazło wszystkich </w:t>
      </w:r>
      <w:r>
        <w:rPr>
          <w:lang w:val="pl"/>
        </w:rPr>
        <w:lastRenderedPageBreak/>
        <w:t xml:space="preserve">ofiar ani nie zdołało zidentyfikować wszystkich odnalezionych </w:t>
      </w:r>
      <w:hyperlink r:id="rId145" w:history="1">
        <w:r>
          <w:rPr>
            <w:lang w:val="pl"/>
          </w:rPr>
          <w:t>(</w:t>
        </w:r>
        <w:r>
          <w:rPr>
            <w:i/>
            <w:iCs/>
            <w:color w:val="0072BC"/>
            <w:lang w:val="pl"/>
          </w:rPr>
          <w:t>Ranđelović i Inni</w:t>
        </w:r>
      </w:hyperlink>
      <w:r>
        <w:rPr>
          <w:i/>
          <w:iCs/>
          <w:color w:val="0072BC"/>
          <w:lang w:val="pl"/>
        </w:rPr>
        <w:t xml:space="preserve"> </w:t>
      </w:r>
      <w:hyperlink r:id="rId146" w:history="1">
        <w:r>
          <w:rPr>
            <w:i/>
            <w:iCs/>
            <w:color w:val="0072BC"/>
            <w:lang w:val="pl"/>
          </w:rPr>
          <w:t>p. Czarnogórze</w:t>
        </w:r>
        <w:r>
          <w:rPr>
            <w:lang w:val="pl"/>
          </w:rPr>
          <w:t>,</w:t>
        </w:r>
      </w:hyperlink>
      <w:r>
        <w:rPr>
          <w:lang w:val="pl"/>
        </w:rPr>
        <w:t xml:space="preserve"> § 85).</w:t>
      </w:r>
    </w:p>
    <w:p w:rsidR="00B71A20" w:rsidRPr="000625F6" w:rsidRDefault="000425B4" w:rsidP="00115011">
      <w:pPr>
        <w:pStyle w:val="Teksttreci0"/>
        <w:numPr>
          <w:ilvl w:val="0"/>
          <w:numId w:val="9"/>
        </w:numPr>
        <w:tabs>
          <w:tab w:val="left" w:pos="404"/>
        </w:tabs>
        <w:spacing w:after="120"/>
        <w:jc w:val="both"/>
        <w:rPr>
          <w:lang w:val="pl-PL"/>
        </w:rPr>
      </w:pPr>
      <w:r>
        <w:rPr>
          <w:lang w:val="pl"/>
        </w:rPr>
        <w:t xml:space="preserve">W sprawach dotyczących zarzucanego naruszenia Konwencji nie związanego ściśle ze śmiercią lub zaginięciem bezpośredniej ofiary podejście Trybunału jest bardziej rygorystyczne </w:t>
      </w:r>
      <w:hyperlink r:id="rId147" w:history="1">
        <w:r>
          <w:rPr>
            <w:lang w:val="pl"/>
          </w:rPr>
          <w:t>(</w:t>
        </w:r>
        <w:r>
          <w:rPr>
            <w:i/>
            <w:iCs/>
            <w:color w:val="0072BC"/>
            <w:lang w:val="pl"/>
          </w:rPr>
          <w:t>Karpylenko</w:t>
        </w:r>
      </w:hyperlink>
      <w:r>
        <w:rPr>
          <w:i/>
          <w:iCs/>
          <w:color w:val="0072BC"/>
          <w:lang w:val="pl"/>
        </w:rPr>
        <w:t xml:space="preserve"> </w:t>
      </w:r>
      <w:hyperlink r:id="rId148" w:history="1">
        <w:r>
          <w:rPr>
            <w:i/>
            <w:iCs/>
            <w:color w:val="0072BC"/>
            <w:lang w:val="pl"/>
          </w:rPr>
          <w:t>p. Ukrainie</w:t>
        </w:r>
        <w:r>
          <w:rPr>
            <w:lang w:val="pl"/>
          </w:rPr>
          <w:t>,</w:t>
        </w:r>
      </w:hyperlink>
      <w:r>
        <w:rPr>
          <w:lang w:val="pl"/>
        </w:rPr>
        <w:t xml:space="preserve"> § 104,</w:t>
      </w:r>
      <w:hyperlink r:id="rId149" w:history="1">
        <w:r>
          <w:rPr>
            <w:i/>
            <w:iCs/>
            <w:lang w:val="pl"/>
          </w:rPr>
          <w:t xml:space="preserve"> </w:t>
        </w:r>
        <w:r>
          <w:rPr>
            <w:i/>
            <w:iCs/>
            <w:color w:val="0072BC"/>
            <w:lang w:val="pl"/>
          </w:rPr>
          <w:t>A i B p. Chorwacji</w:t>
        </w:r>
        <w:r>
          <w:rPr>
            <w:lang w:val="pl"/>
          </w:rPr>
          <w:t>,</w:t>
        </w:r>
      </w:hyperlink>
      <w:r>
        <w:rPr>
          <w:lang w:val="pl"/>
        </w:rPr>
        <w:t xml:space="preserve"> §§ 88</w:t>
      </w:r>
      <w:r>
        <w:rPr>
          <w:lang w:val="pl"/>
        </w:rPr>
        <w:noBreakHyphen/>
        <w:t xml:space="preserve">91). Trybunał przeważnie odmawiał osobie, która wniosła skargę, prawa do występowania jako strona, chyba że osoba ta potrafiła, w drodze wyjątku, wykazać, że ma w tym interes </w:t>
      </w:r>
      <w:hyperlink r:id="rId150" w:history="1">
        <w:r>
          <w:rPr>
            <w:lang w:val="pl"/>
          </w:rPr>
          <w:t>(</w:t>
        </w:r>
        <w:r>
          <w:rPr>
            <w:i/>
            <w:iCs/>
            <w:color w:val="0072BC"/>
            <w:lang w:val="pl"/>
          </w:rPr>
          <w:t xml:space="preserve">Nassau Verzekering Maatschappij N.V. p. Holandii </w:t>
        </w:r>
      </w:hyperlink>
      <w:r>
        <w:rPr>
          <w:lang w:val="pl"/>
        </w:rPr>
        <w:t>(dec.), § 20). Patrz, na przykład, sprawa</w:t>
      </w:r>
      <w:hyperlink r:id="rId151" w:history="1">
        <w:r>
          <w:rPr>
            <w:i/>
            <w:iCs/>
            <w:lang w:val="pl"/>
          </w:rPr>
          <w:t xml:space="preserve"> </w:t>
        </w:r>
        <w:r>
          <w:rPr>
            <w:i/>
            <w:iCs/>
            <w:color w:val="0072BC"/>
            <w:lang w:val="pl"/>
          </w:rPr>
          <w:t>Sanles</w:t>
        </w:r>
      </w:hyperlink>
      <w:r>
        <w:rPr>
          <w:i/>
          <w:iCs/>
          <w:color w:val="0072BC"/>
          <w:lang w:val="pl"/>
        </w:rPr>
        <w:t xml:space="preserve"> </w:t>
      </w:r>
      <w:hyperlink r:id="rId152" w:history="1">
        <w:r>
          <w:rPr>
            <w:i/>
            <w:iCs/>
            <w:color w:val="0072BC"/>
            <w:lang w:val="pl"/>
          </w:rPr>
          <w:t>Sanles p. Hiszpanii</w:t>
        </w:r>
        <w:r>
          <w:rPr>
            <w:color w:val="0072BC"/>
            <w:lang w:val="pl"/>
          </w:rPr>
          <w:t xml:space="preserve"> </w:t>
        </w:r>
      </w:hyperlink>
      <w:r>
        <w:rPr>
          <w:lang w:val="pl"/>
        </w:rPr>
        <w:t>(dec.), dotycząca zakazu wspoma</w:t>
      </w:r>
      <w:r w:rsidR="0019438F">
        <w:rPr>
          <w:lang w:val="pl"/>
        </w:rPr>
        <w:t>ganego samobójstwa dokonanego z </w:t>
      </w:r>
      <w:r>
        <w:rPr>
          <w:lang w:val="pl"/>
        </w:rPr>
        <w:t>zarzucanym naruszeniem art. 2, 3, 5, 8, 9 i 14, w której Trybunał orzekł, że prawa dochodzone przez skarżącą, która była bratową zmarłego i jego ustawowym spadkobiercą, należą do kategorii praw nieprzenoszalnych, a zatem nie może ona uważać się za ofiarę naruszenia w imieniu swojego zmarłego szwagra; w odniesieniu do art. 8 patrz sprawa</w:t>
      </w:r>
      <w:hyperlink r:id="rId153" w:history="1">
        <w:r>
          <w:rPr>
            <w:i/>
            <w:iCs/>
            <w:lang w:val="pl"/>
          </w:rPr>
          <w:t xml:space="preserve"> </w:t>
        </w:r>
        <w:r>
          <w:rPr>
            <w:i/>
            <w:iCs/>
            <w:color w:val="0072BC"/>
            <w:lang w:val="pl"/>
          </w:rPr>
          <w:t xml:space="preserve">Petithory Lanzmann p. Francji </w:t>
        </w:r>
      </w:hyperlink>
      <w:r>
        <w:rPr>
          <w:lang w:val="pl"/>
        </w:rPr>
        <w:t>(dec.), § 16, w której Trybunał uznał, że los gamet zdeponowanych przez osobę i wola osoby, aby zostały one wykorzystane po jej śmierci, wiążą się z prawem jednostki do decydowania o tym, kiedy i w jaki sposób chce zostać rodzicem, które to prawo należy do kategorii praw nieprzenoszalnych; patrz również</w:t>
      </w:r>
      <w:hyperlink r:id="rId154" w:history="1">
        <w:r>
          <w:rPr>
            <w:i/>
            <w:iCs/>
            <w:lang w:val="pl"/>
          </w:rPr>
          <w:t xml:space="preserve"> </w:t>
        </w:r>
        <w:r>
          <w:rPr>
            <w:i/>
            <w:iCs/>
            <w:color w:val="0072BC"/>
            <w:lang w:val="pl"/>
          </w:rPr>
          <w:t xml:space="preserve">Biç i Inni p. Turcji </w:t>
        </w:r>
      </w:hyperlink>
      <w:r>
        <w:rPr>
          <w:lang w:val="pl"/>
        </w:rPr>
        <w:t>(dec.) (sprawa dotycząca zarzutów na podstawie art. 5 i 6);</w:t>
      </w:r>
      <w:hyperlink r:id="rId155" w:history="1">
        <w:r>
          <w:rPr>
            <w:i/>
            <w:iCs/>
            <w:lang w:val="pl"/>
          </w:rPr>
          <w:t xml:space="preserve"> </w:t>
        </w:r>
        <w:r>
          <w:rPr>
            <w:i/>
            <w:iCs/>
            <w:color w:val="0072BC"/>
            <w:lang w:val="pl"/>
          </w:rPr>
          <w:t xml:space="preserve">Fairfield p. Wielkiej Brytanii </w:t>
        </w:r>
      </w:hyperlink>
      <w:r>
        <w:rPr>
          <w:lang w:val="pl"/>
        </w:rPr>
        <w:t>(dec.) (zarzuty na podstawie art. 9 i 10);</w:t>
      </w:r>
      <w:hyperlink r:id="rId156" w:history="1">
        <w:r>
          <w:rPr>
            <w:i/>
            <w:iCs/>
            <w:lang w:val="pl"/>
          </w:rPr>
          <w:t xml:space="preserve"> </w:t>
        </w:r>
        <w:r>
          <w:rPr>
            <w:i/>
            <w:iCs/>
            <w:color w:val="0072BC"/>
            <w:lang w:val="pl"/>
          </w:rPr>
          <w:t>Rõigas p. Estonii</w:t>
        </w:r>
        <w:r>
          <w:rPr>
            <w:lang w:val="pl"/>
          </w:rPr>
          <w:t>,</w:t>
        </w:r>
      </w:hyperlink>
      <w:r>
        <w:rPr>
          <w:lang w:val="pl"/>
        </w:rPr>
        <w:t xml:space="preserve"> § 127, i</w:t>
      </w:r>
      <w:hyperlink r:id="rId157" w:history="1">
        <w:r>
          <w:rPr>
            <w:i/>
            <w:iCs/>
            <w:lang w:val="pl"/>
          </w:rPr>
          <w:t xml:space="preserve"> </w:t>
        </w:r>
        <w:r>
          <w:rPr>
            <w:i/>
            <w:iCs/>
            <w:color w:val="0072BC"/>
            <w:lang w:val="pl"/>
          </w:rPr>
          <w:t xml:space="preserve">Jakovljević p. Serbii </w:t>
        </w:r>
      </w:hyperlink>
      <w:r>
        <w:rPr>
          <w:lang w:val="pl"/>
        </w:rPr>
        <w:t>(dec.), §§ 29-30 (w odniesieniu do zarzutów na podstawie art. 8).</w:t>
      </w:r>
    </w:p>
    <w:p w:rsidR="00B71A20" w:rsidRPr="000625F6" w:rsidRDefault="000425B4" w:rsidP="00115011">
      <w:pPr>
        <w:pStyle w:val="Teksttreci0"/>
        <w:numPr>
          <w:ilvl w:val="0"/>
          <w:numId w:val="9"/>
        </w:numPr>
        <w:tabs>
          <w:tab w:val="left" w:pos="404"/>
        </w:tabs>
        <w:spacing w:after="120"/>
        <w:jc w:val="both"/>
        <w:rPr>
          <w:lang w:val="pl-PL"/>
        </w:rPr>
      </w:pPr>
      <w:r>
        <w:rPr>
          <w:lang w:val="pl"/>
        </w:rPr>
        <w:t xml:space="preserve">Jeśli chodzi o skargi dotyczące złego traktowania zmarłych krewnych wnoszone na podstawie art. 3 Konwencji, Trybunał uznał interes prawny skarżących w sprawach, w których złe traktowanie było ściśle powiązane ze śmiercią lub zaginięciem ich krewnych </w:t>
      </w:r>
      <w:hyperlink r:id="rId158" w:history="1">
        <w:r>
          <w:rPr>
            <w:lang w:val="pl"/>
          </w:rPr>
          <w:t>(</w:t>
        </w:r>
        <w:r>
          <w:rPr>
            <w:i/>
            <w:iCs/>
            <w:color w:val="0072BC"/>
            <w:lang w:val="pl"/>
          </w:rPr>
          <w:t>Karpylenko p. Ukrainie</w:t>
        </w:r>
        <w:r>
          <w:rPr>
            <w:lang w:val="pl"/>
          </w:rPr>
          <w:t>,</w:t>
        </w:r>
      </w:hyperlink>
      <w:r>
        <w:rPr>
          <w:lang w:val="pl"/>
        </w:rPr>
        <w:t xml:space="preserve"> § 105;</w:t>
      </w:r>
      <w:hyperlink r:id="rId159" w:history="1">
        <w:r>
          <w:rPr>
            <w:i/>
            <w:iCs/>
            <w:lang w:val="pl"/>
          </w:rPr>
          <w:t xml:space="preserve"> </w:t>
        </w:r>
        <w:r>
          <w:rPr>
            <w:i/>
            <w:iCs/>
            <w:color w:val="0072BC"/>
            <w:lang w:val="pl"/>
          </w:rPr>
          <w:t>Dzidzava</w:t>
        </w:r>
      </w:hyperlink>
      <w:r>
        <w:rPr>
          <w:i/>
          <w:iCs/>
          <w:color w:val="0072BC"/>
          <w:lang w:val="pl"/>
        </w:rPr>
        <w:t xml:space="preserve"> </w:t>
      </w:r>
      <w:hyperlink r:id="rId160" w:history="1">
        <w:r>
          <w:rPr>
            <w:i/>
            <w:iCs/>
            <w:color w:val="0072BC"/>
            <w:lang w:val="pl"/>
          </w:rPr>
          <w:t>p. Rosji</w:t>
        </w:r>
        <w:r>
          <w:rPr>
            <w:lang w:val="pl"/>
          </w:rPr>
          <w:t>,</w:t>
        </w:r>
      </w:hyperlink>
      <w:r>
        <w:rPr>
          <w:lang w:val="pl"/>
        </w:rPr>
        <w:t xml:space="preserve"> § 46). Trybunał stwierdził ponadto, że może uznać interes prawny skarżących, którzy podnoszą w skardze, że doszło do złego traktowania ich zmarłego krewnego, jeśli ci skarżący wykażą wyraźny interes moralny – oprócz interesu czysto finansowego co do wyniku postępowania krajowego – bądź wskażą inne przekonujące powody, takie jak ważny interes ogólny wymagający rozpatrzenia ich sprawy </w:t>
      </w:r>
      <w:hyperlink r:id="rId161" w:history="1">
        <w:r>
          <w:rPr>
            <w:lang w:val="pl"/>
          </w:rPr>
          <w:t>(</w:t>
        </w:r>
        <w:r>
          <w:rPr>
            <w:i/>
            <w:iCs/>
            <w:color w:val="0072BC"/>
            <w:lang w:val="pl"/>
          </w:rPr>
          <w:t>Boacă i Inni p. Rumunii</w:t>
        </w:r>
        <w:r>
          <w:rPr>
            <w:lang w:val="pl"/>
          </w:rPr>
          <w:t>,</w:t>
        </w:r>
      </w:hyperlink>
      <w:r>
        <w:rPr>
          <w:lang w:val="pl"/>
        </w:rPr>
        <w:t xml:space="preserve"> § 46;</w:t>
      </w:r>
      <w:hyperlink r:id="rId162" w:history="1">
        <w:r>
          <w:rPr>
            <w:lang w:val="pl"/>
          </w:rPr>
          <w:t xml:space="preserve"> </w:t>
        </w:r>
        <w:r>
          <w:rPr>
            <w:i/>
            <w:iCs/>
            <w:color w:val="0072BC"/>
            <w:lang w:val="pl"/>
          </w:rPr>
          <w:t>Karpylenko p. Ukrainie</w:t>
        </w:r>
        <w:r>
          <w:rPr>
            <w:lang w:val="pl"/>
          </w:rPr>
          <w:t>,</w:t>
        </w:r>
      </w:hyperlink>
      <w:r>
        <w:rPr>
          <w:lang w:val="pl"/>
        </w:rPr>
        <w:t xml:space="preserve"> § 106; patrz też</w:t>
      </w:r>
      <w:hyperlink r:id="rId163" w:history="1">
        <w:r>
          <w:rPr>
            <w:lang w:val="pl"/>
          </w:rPr>
          <w:t xml:space="preserve"> </w:t>
        </w:r>
        <w:r>
          <w:rPr>
            <w:i/>
            <w:iCs/>
            <w:color w:val="0072BC"/>
            <w:lang w:val="pl"/>
          </w:rPr>
          <w:t>Stepanian p. Rumunii</w:t>
        </w:r>
        <w:r>
          <w:rPr>
            <w:lang w:val="pl"/>
          </w:rPr>
          <w:t>,</w:t>
        </w:r>
      </w:hyperlink>
      <w:r>
        <w:rPr>
          <w:lang w:val="pl"/>
        </w:rPr>
        <w:t xml:space="preserve"> §§ 40</w:t>
      </w:r>
      <w:r>
        <w:rPr>
          <w:lang w:val="pl"/>
        </w:rPr>
        <w:noBreakHyphen/>
        <w:t>41;</w:t>
      </w:r>
      <w:hyperlink r:id="rId164" w:history="1">
        <w:r>
          <w:rPr>
            <w:lang w:val="pl"/>
          </w:rPr>
          <w:t xml:space="preserve"> </w:t>
        </w:r>
        <w:r>
          <w:rPr>
            <w:i/>
            <w:iCs/>
            <w:color w:val="0072BC"/>
            <w:lang w:val="pl"/>
          </w:rPr>
          <w:t>Selami i Inni p. Byłej Jugosłowiańskiej Republice Macedonii</w:t>
        </w:r>
        <w:r>
          <w:rPr>
            <w:lang w:val="pl"/>
          </w:rPr>
          <w:t>,</w:t>
        </w:r>
      </w:hyperlink>
      <w:r>
        <w:rPr>
          <w:lang w:val="pl"/>
        </w:rPr>
        <w:t xml:space="preserve"> §§ 58-65).</w:t>
      </w:r>
    </w:p>
    <w:p w:rsidR="00B71A20" w:rsidRPr="000625F6" w:rsidRDefault="000425B4" w:rsidP="00115011">
      <w:pPr>
        <w:pStyle w:val="Teksttreci0"/>
        <w:numPr>
          <w:ilvl w:val="0"/>
          <w:numId w:val="9"/>
        </w:numPr>
        <w:tabs>
          <w:tab w:val="left" w:pos="404"/>
        </w:tabs>
        <w:spacing w:after="120"/>
        <w:jc w:val="both"/>
        <w:rPr>
          <w:lang w:val="pl-PL"/>
        </w:rPr>
      </w:pPr>
      <w:r>
        <w:rPr>
          <w:lang w:val="pl"/>
        </w:rPr>
        <w:t>W sprawach dotyczących zarzutów na podstawie np. art. 5, 6 lub 8, w których bliscy krewni uzyskali status ofiary, co umożliwiło im wniesienie skargi na gruncie art. 5, 6 lub 8, Trybunał wziął pod uwagę okoliczność wykazania przez nich moralnego interesu w tym, aby zmar</w:t>
      </w:r>
      <w:r w:rsidR="0019438F">
        <w:rPr>
          <w:lang w:val="pl"/>
        </w:rPr>
        <w:t>ła ofiara została oczyszczona z </w:t>
      </w:r>
      <w:r>
        <w:rPr>
          <w:lang w:val="pl"/>
        </w:rPr>
        <w:t xml:space="preserve">jakiejkolwiek winy </w:t>
      </w:r>
      <w:hyperlink r:id="rId165" w:history="1">
        <w:r>
          <w:rPr>
            <w:lang w:val="pl"/>
          </w:rPr>
          <w:t>(</w:t>
        </w:r>
        <w:r>
          <w:rPr>
            <w:i/>
            <w:iCs/>
            <w:color w:val="0072BC"/>
            <w:lang w:val="pl"/>
          </w:rPr>
          <w:t>Nolkenbockhoff p. Niemcom</w:t>
        </w:r>
        <w:r>
          <w:rPr>
            <w:lang w:val="pl"/>
          </w:rPr>
          <w:t>,</w:t>
        </w:r>
      </w:hyperlink>
      <w:r>
        <w:rPr>
          <w:lang w:val="pl"/>
        </w:rPr>
        <w:t xml:space="preserve"> § 33;</w:t>
      </w:r>
      <w:hyperlink r:id="rId166" w:history="1">
        <w:r>
          <w:rPr>
            <w:lang w:val="pl"/>
          </w:rPr>
          <w:t xml:space="preserve"> </w:t>
        </w:r>
        <w:r>
          <w:rPr>
            <w:i/>
            <w:iCs/>
            <w:color w:val="0072BC"/>
            <w:lang w:val="pl"/>
          </w:rPr>
          <w:t>Gradinar p. Mołdawii</w:t>
        </w:r>
        <w:r>
          <w:rPr>
            <w:lang w:val="pl"/>
          </w:rPr>
          <w:t>,</w:t>
        </w:r>
      </w:hyperlink>
      <w:r>
        <w:rPr>
          <w:lang w:val="pl"/>
        </w:rPr>
        <w:t xml:space="preserve"> §§ 95 i 97-98; </w:t>
      </w:r>
      <w:hyperlink r:id="rId167" w:history="1">
        <w:r>
          <w:rPr>
            <w:lang w:val="pl"/>
          </w:rPr>
          <w:t xml:space="preserve"> </w:t>
        </w:r>
        <w:r>
          <w:rPr>
            <w:i/>
            <w:iCs/>
            <w:color w:val="0072BC"/>
            <w:lang w:val="pl"/>
          </w:rPr>
          <w:t>Akbay i</w:t>
        </w:r>
      </w:hyperlink>
      <w:r w:rsidR="0019438F">
        <w:rPr>
          <w:i/>
          <w:iCs/>
          <w:color w:val="0072BC"/>
          <w:lang w:val="pl"/>
        </w:rPr>
        <w:t> </w:t>
      </w:r>
      <w:hyperlink r:id="rId168" w:history="1">
        <w:r>
          <w:rPr>
            <w:i/>
            <w:iCs/>
            <w:color w:val="0072BC"/>
            <w:lang w:val="pl"/>
          </w:rPr>
          <w:t>Inni p. Niemcom</w:t>
        </w:r>
        <w:r>
          <w:rPr>
            <w:lang w:val="pl"/>
          </w:rPr>
          <w:t xml:space="preserve">, </w:t>
        </w:r>
      </w:hyperlink>
      <w:r>
        <w:rPr>
          <w:lang w:val="pl"/>
        </w:rPr>
        <w:t xml:space="preserve">§§ 73, 80-82) lub aby chronić swoje dobre imię lub dobre imię swojej rodziny </w:t>
      </w:r>
      <w:hyperlink r:id="rId169" w:history="1">
        <w:r>
          <w:rPr>
            <w:lang w:val="pl"/>
          </w:rPr>
          <w:t>(</w:t>
        </w:r>
        <w:r>
          <w:rPr>
            <w:i/>
            <w:iCs/>
            <w:color w:val="0072BC"/>
            <w:lang w:val="pl"/>
          </w:rPr>
          <w:t>Brudnicka i Inni p. Polsce</w:t>
        </w:r>
        <w:r>
          <w:rPr>
            <w:lang w:val="pl"/>
          </w:rPr>
          <w:t xml:space="preserve">, </w:t>
        </w:r>
      </w:hyperlink>
      <w:r>
        <w:rPr>
          <w:lang w:val="pl"/>
        </w:rPr>
        <w:t>§§ 27-31;</w:t>
      </w:r>
      <w:hyperlink r:id="rId170" w:history="1">
        <w:r>
          <w:rPr>
            <w:lang w:val="pl"/>
          </w:rPr>
          <w:t xml:space="preserve"> </w:t>
        </w:r>
        <w:r>
          <w:rPr>
            <w:i/>
            <w:iCs/>
            <w:color w:val="0072BC"/>
            <w:lang w:val="pl"/>
          </w:rPr>
          <w:t>Armoniene p. Litwie</w:t>
        </w:r>
        <w:r>
          <w:rPr>
            <w:lang w:val="pl"/>
          </w:rPr>
          <w:t>,</w:t>
        </w:r>
      </w:hyperlink>
      <w:r>
        <w:rPr>
          <w:lang w:val="pl"/>
        </w:rPr>
        <w:t xml:space="preserve"> § 29;</w:t>
      </w:r>
      <w:hyperlink r:id="rId171" w:history="1">
        <w:r>
          <w:rPr>
            <w:lang w:val="pl"/>
          </w:rPr>
          <w:t xml:space="preserve"> </w:t>
        </w:r>
        <w:r>
          <w:rPr>
            <w:i/>
            <w:iCs/>
            <w:color w:val="0072BC"/>
            <w:lang w:val="pl"/>
          </w:rPr>
          <w:t>Polanco Torres i Movilla</w:t>
        </w:r>
      </w:hyperlink>
      <w:r>
        <w:rPr>
          <w:i/>
          <w:iCs/>
          <w:color w:val="0072BC"/>
          <w:lang w:val="pl"/>
        </w:rPr>
        <w:t xml:space="preserve"> </w:t>
      </w:r>
      <w:hyperlink r:id="rId172" w:history="1">
        <w:r>
          <w:rPr>
            <w:i/>
            <w:iCs/>
            <w:color w:val="0072BC"/>
            <w:lang w:val="pl"/>
          </w:rPr>
          <w:t>Polanco p. Hiszpanii</w:t>
        </w:r>
        <w:r>
          <w:rPr>
            <w:lang w:val="pl"/>
          </w:rPr>
          <w:t>,</w:t>
        </w:r>
      </w:hyperlink>
      <w:r>
        <w:rPr>
          <w:lang w:val="pl"/>
        </w:rPr>
        <w:t xml:space="preserve"> §§ 31-33), lub faktycznego interesu na podstawie bezpośredniego skutku dla ich praw majątkowych </w:t>
      </w:r>
      <w:hyperlink r:id="rId173" w:history="1">
        <w:r>
          <w:rPr>
            <w:lang w:val="pl"/>
          </w:rPr>
          <w:t>(</w:t>
        </w:r>
        <w:r>
          <w:rPr>
            <w:i/>
            <w:iCs/>
            <w:color w:val="0072BC"/>
            <w:lang w:val="pl"/>
          </w:rPr>
          <w:t>Nolkenbockhoff p. Niemcom</w:t>
        </w:r>
        <w:r>
          <w:rPr>
            <w:lang w:val="pl"/>
          </w:rPr>
          <w:t>,</w:t>
        </w:r>
      </w:hyperlink>
      <w:r>
        <w:rPr>
          <w:lang w:val="pl"/>
        </w:rPr>
        <w:t xml:space="preserve"> § 33;</w:t>
      </w:r>
      <w:hyperlink r:id="rId174" w:history="1">
        <w:r>
          <w:rPr>
            <w:lang w:val="pl"/>
          </w:rPr>
          <w:t xml:space="preserve"> </w:t>
        </w:r>
        <w:r>
          <w:rPr>
            <w:i/>
            <w:iCs/>
            <w:color w:val="0072BC"/>
            <w:lang w:val="pl"/>
          </w:rPr>
          <w:t>Gradinar p. Mołdawii</w:t>
        </w:r>
        <w:r>
          <w:rPr>
            <w:lang w:val="pl"/>
          </w:rPr>
          <w:t>,</w:t>
        </w:r>
      </w:hyperlink>
      <w:r>
        <w:rPr>
          <w:lang w:val="pl"/>
        </w:rPr>
        <w:t xml:space="preserve"> § 97; </w:t>
      </w:r>
      <w:hyperlink r:id="rId175" w:history="1">
        <w:r>
          <w:rPr>
            <w:i/>
            <w:iCs/>
            <w:color w:val="0072BC"/>
            <w:lang w:val="pl"/>
          </w:rPr>
          <w:t>Micallef p. Malcie</w:t>
        </w:r>
        <w:r>
          <w:rPr>
            <w:color w:val="0072BC"/>
            <w:lang w:val="pl"/>
          </w:rPr>
          <w:t xml:space="preserve"> </w:t>
        </w:r>
      </w:hyperlink>
      <w:r w:rsidR="0019438F">
        <w:rPr>
          <w:lang w:val="pl"/>
        </w:rPr>
        <w:t>[WI], § </w:t>
      </w:r>
      <w:r>
        <w:rPr>
          <w:lang w:val="pl"/>
        </w:rPr>
        <w:t>48;</w:t>
      </w:r>
      <w:hyperlink r:id="rId176" w:history="1">
        <w:r>
          <w:rPr>
            <w:lang w:val="pl"/>
          </w:rPr>
          <w:t xml:space="preserve"> </w:t>
        </w:r>
        <w:r>
          <w:rPr>
            <w:i/>
            <w:iCs/>
            <w:color w:val="0072BC"/>
            <w:lang w:val="pl"/>
          </w:rPr>
          <w:t>Akbay i Inni p. Niemcom</w:t>
        </w:r>
        <w:r>
          <w:rPr>
            <w:lang w:val="pl"/>
          </w:rPr>
          <w:t xml:space="preserve">, </w:t>
        </w:r>
      </w:hyperlink>
      <w:r>
        <w:rPr>
          <w:lang w:val="pl"/>
        </w:rPr>
        <w:t xml:space="preserve">§§ 74, 83-85). Pod uwagę brano również istnienie interesu ogólnego wymagającego rozpatrzenia stawianych w skardze zarzutów </w:t>
      </w:r>
      <w:hyperlink r:id="rId177" w:history="1">
        <w:r>
          <w:rPr>
            <w:lang w:val="pl"/>
          </w:rPr>
          <w:t>(</w:t>
        </w:r>
        <w:r>
          <w:rPr>
            <w:i/>
            <w:iCs/>
            <w:color w:val="0072BC"/>
            <w:lang w:val="pl"/>
          </w:rPr>
          <w:t>Micallef p. Malcie</w:t>
        </w:r>
        <w:r>
          <w:rPr>
            <w:color w:val="0072BC"/>
            <w:lang w:val="pl"/>
          </w:rPr>
          <w:t xml:space="preserve"> </w:t>
        </w:r>
      </w:hyperlink>
      <w:r>
        <w:rPr>
          <w:lang w:val="pl"/>
        </w:rPr>
        <w:t>[WI], §§ 46 i 50; patrz również</w:t>
      </w:r>
      <w:hyperlink r:id="rId178" w:history="1">
        <w:r>
          <w:rPr>
            <w:i/>
            <w:iCs/>
            <w:lang w:val="pl"/>
          </w:rPr>
          <w:t xml:space="preserve"> </w:t>
        </w:r>
        <w:r>
          <w:rPr>
            <w:i/>
            <w:iCs/>
            <w:color w:val="0072BC"/>
            <w:lang w:val="pl"/>
          </w:rPr>
          <w:t>Biç i Inni p. Turcji</w:t>
        </w:r>
        <w:r>
          <w:rPr>
            <w:color w:val="0072BC"/>
            <w:lang w:val="pl"/>
          </w:rPr>
          <w:t xml:space="preserve"> </w:t>
        </w:r>
      </w:hyperlink>
      <w:r>
        <w:rPr>
          <w:lang w:val="pl"/>
        </w:rPr>
        <w:t>(dec.), §§ 22</w:t>
      </w:r>
      <w:r>
        <w:rPr>
          <w:lang w:val="pl"/>
        </w:rPr>
        <w:noBreakHyphen/>
        <w:t>23;</w:t>
      </w:r>
      <w:hyperlink r:id="rId179" w:history="1">
        <w:r>
          <w:rPr>
            <w:i/>
            <w:iCs/>
            <w:lang w:val="pl"/>
          </w:rPr>
          <w:t xml:space="preserve"> </w:t>
        </w:r>
        <w:r>
          <w:rPr>
            <w:i/>
            <w:iCs/>
            <w:color w:val="0072BC"/>
            <w:lang w:val="pl"/>
          </w:rPr>
          <w:t>Akbay i Inni p. Niemcom</w:t>
        </w:r>
        <w:r>
          <w:rPr>
            <w:lang w:val="pl"/>
          </w:rPr>
          <w:t xml:space="preserve">, </w:t>
        </w:r>
      </w:hyperlink>
      <w:r>
        <w:rPr>
          <w:lang w:val="pl"/>
        </w:rPr>
        <w:t>§§ 76, 86-88).</w:t>
      </w:r>
    </w:p>
    <w:p w:rsidR="00B71A20" w:rsidRPr="000625F6" w:rsidRDefault="000425B4" w:rsidP="00115011">
      <w:pPr>
        <w:pStyle w:val="Teksttreci0"/>
        <w:numPr>
          <w:ilvl w:val="0"/>
          <w:numId w:val="9"/>
        </w:numPr>
        <w:tabs>
          <w:tab w:val="left" w:pos="399"/>
        </w:tabs>
        <w:spacing w:after="120"/>
        <w:jc w:val="both"/>
        <w:rPr>
          <w:lang w:val="pl-PL"/>
        </w:rPr>
      </w:pPr>
      <w:r>
        <w:rPr>
          <w:lang w:val="pl"/>
        </w:rPr>
        <w:t xml:space="preserve">Udział skarżącego w postępowaniu krajowym Trybunał uznaje wyłącznie jako jedno z kilku istotnych kryteriów </w:t>
      </w:r>
      <w:hyperlink r:id="rId180" w:history="1">
        <w:r>
          <w:rPr>
            <w:lang w:val="pl"/>
          </w:rPr>
          <w:t>(</w:t>
        </w:r>
        <w:r>
          <w:rPr>
            <w:i/>
            <w:iCs/>
            <w:color w:val="0072BC"/>
            <w:lang w:val="pl"/>
          </w:rPr>
          <w:t>Nölkenbockhoff p. Niemcom</w:t>
        </w:r>
        <w:r>
          <w:rPr>
            <w:lang w:val="pl"/>
          </w:rPr>
          <w:t>,</w:t>
        </w:r>
      </w:hyperlink>
      <w:r>
        <w:rPr>
          <w:lang w:val="pl"/>
        </w:rPr>
        <w:t xml:space="preserve"> § 33;</w:t>
      </w:r>
      <w:hyperlink r:id="rId181" w:history="1">
        <w:r>
          <w:rPr>
            <w:lang w:val="pl"/>
          </w:rPr>
          <w:t xml:space="preserve"> </w:t>
        </w:r>
        <w:r>
          <w:rPr>
            <w:i/>
            <w:iCs/>
            <w:color w:val="0072BC"/>
            <w:lang w:val="pl"/>
          </w:rPr>
          <w:t xml:space="preserve">Micallef p. Malcie </w:t>
        </w:r>
      </w:hyperlink>
      <w:r>
        <w:rPr>
          <w:lang w:val="pl"/>
        </w:rPr>
        <w:t>[WI], §§ 48-49;</w:t>
      </w:r>
      <w:hyperlink r:id="rId182" w:history="1">
        <w:r>
          <w:rPr>
            <w:lang w:val="pl"/>
          </w:rPr>
          <w:t xml:space="preserve"> </w:t>
        </w:r>
        <w:r>
          <w:rPr>
            <w:i/>
            <w:iCs/>
            <w:color w:val="0072BC"/>
            <w:lang w:val="pl"/>
          </w:rPr>
          <w:t>Polanco</w:t>
        </w:r>
      </w:hyperlink>
      <w:r>
        <w:rPr>
          <w:i/>
          <w:iCs/>
          <w:color w:val="0072BC"/>
          <w:lang w:val="pl"/>
        </w:rPr>
        <w:t xml:space="preserve"> </w:t>
      </w:r>
      <w:hyperlink r:id="rId183" w:history="1">
        <w:r>
          <w:rPr>
            <w:i/>
            <w:iCs/>
            <w:color w:val="0072BC"/>
            <w:lang w:val="pl"/>
          </w:rPr>
          <w:t>Torres i Movilla Polanco p. Hiszpanii</w:t>
        </w:r>
        <w:r>
          <w:rPr>
            <w:lang w:val="pl"/>
          </w:rPr>
          <w:t>,</w:t>
        </w:r>
      </w:hyperlink>
      <w:r>
        <w:rPr>
          <w:lang w:val="pl"/>
        </w:rPr>
        <w:t xml:space="preserve"> § 31;</w:t>
      </w:r>
      <w:hyperlink r:id="rId184" w:history="1">
        <w:r>
          <w:rPr>
            <w:lang w:val="pl"/>
          </w:rPr>
          <w:t xml:space="preserve"> </w:t>
        </w:r>
        <w:r>
          <w:rPr>
            <w:i/>
            <w:iCs/>
            <w:color w:val="0072BC"/>
            <w:lang w:val="pl"/>
          </w:rPr>
          <w:t>Grădinar p. Mołdawii</w:t>
        </w:r>
        <w:r>
          <w:rPr>
            <w:lang w:val="pl"/>
          </w:rPr>
          <w:t>,</w:t>
        </w:r>
      </w:hyperlink>
      <w:r>
        <w:rPr>
          <w:lang w:val="pl"/>
        </w:rPr>
        <w:t xml:space="preserve"> §§ 98-99; patrz również</w:t>
      </w:r>
      <w:hyperlink r:id="rId185" w:history="1">
        <w:r>
          <w:rPr>
            <w:lang w:val="pl"/>
          </w:rPr>
          <w:t xml:space="preserve"> </w:t>
        </w:r>
        <w:r>
          <w:rPr>
            <w:i/>
            <w:iCs/>
            <w:color w:val="0072BC"/>
            <w:lang w:val="pl"/>
          </w:rPr>
          <w:t>Kaburov</w:t>
        </w:r>
      </w:hyperlink>
      <w:r>
        <w:rPr>
          <w:i/>
          <w:iCs/>
          <w:color w:val="0072BC"/>
          <w:lang w:val="pl"/>
        </w:rPr>
        <w:t xml:space="preserve"> </w:t>
      </w:r>
      <w:hyperlink r:id="rId186" w:history="1">
        <w:r w:rsidR="0019438F">
          <w:rPr>
            <w:i/>
            <w:iCs/>
            <w:color w:val="0072BC"/>
            <w:lang w:val="pl"/>
          </w:rPr>
          <w:t>p. </w:t>
        </w:r>
        <w:r>
          <w:rPr>
            <w:i/>
            <w:iCs/>
            <w:color w:val="0072BC"/>
            <w:lang w:val="pl"/>
          </w:rPr>
          <w:t xml:space="preserve">Bułgarii </w:t>
        </w:r>
      </w:hyperlink>
      <w:r>
        <w:rPr>
          <w:lang w:val="pl"/>
        </w:rPr>
        <w:t xml:space="preserve">(dec.), §§ 57-58, gdzie Trybunał uznał, że w sprawie dotyczącej możliwości przenoszenia praw wynikających z art. 3 Konwencji skarżący, który nie miał moralnego interesu w rozstrzygnięciu postępowania ani innego ważnego powodu, nie mógł zostać uznany za ofiarę tylko dlatego, że prawo krajowe umożliwiło mu udział w postępowaniu jako spadkobiercy zmarłego pana Kaburowa; patrz również </w:t>
      </w:r>
      <w:hyperlink r:id="rId187" w:history="1">
        <w:r>
          <w:rPr>
            <w:i/>
            <w:iCs/>
            <w:color w:val="0072BC"/>
            <w:lang w:val="pl"/>
          </w:rPr>
          <w:t xml:space="preserve">Nassau Verzekering Maatschappij N.V. p. Holandii </w:t>
        </w:r>
      </w:hyperlink>
      <w:r>
        <w:rPr>
          <w:lang w:val="pl"/>
        </w:rPr>
        <w:t>(dec.), gdzie Trybunał odrzucił skargę skarżącej spółki o nadanie jej statusu ofiary z powodu nabycia roszczenia konwencyjnego na podstawie umowy cesji).</w:t>
      </w:r>
    </w:p>
    <w:p w:rsidR="00B71A20" w:rsidRPr="000625F6" w:rsidRDefault="000425B4" w:rsidP="00115011">
      <w:pPr>
        <w:pStyle w:val="Teksttreci0"/>
        <w:numPr>
          <w:ilvl w:val="0"/>
          <w:numId w:val="9"/>
        </w:numPr>
        <w:tabs>
          <w:tab w:val="left" w:pos="399"/>
        </w:tabs>
        <w:spacing w:after="120"/>
        <w:jc w:val="both"/>
        <w:rPr>
          <w:lang w:val="pl-PL"/>
        </w:rPr>
      </w:pPr>
      <w:r>
        <w:rPr>
          <w:lang w:val="pl"/>
        </w:rPr>
        <w:t xml:space="preserve">Trybunał zwykle rozważa powyższe kryteria łącznie i dokonuje oceny, czy bliscy krewni mieli prawo do wniesienia skargi, zważywszy na wszystkie okoliczności sprawy </w:t>
      </w:r>
      <w:hyperlink r:id="rId188" w:history="1">
        <w:r>
          <w:rPr>
            <w:lang w:val="pl"/>
          </w:rPr>
          <w:t>(</w:t>
        </w:r>
        <w:r>
          <w:rPr>
            <w:i/>
            <w:iCs/>
            <w:color w:val="0072BC"/>
            <w:lang w:val="pl"/>
          </w:rPr>
          <w:t>Akbay i Inni p. Niemcom</w:t>
        </w:r>
        <w:r>
          <w:rPr>
            <w:lang w:val="pl"/>
          </w:rPr>
          <w:t xml:space="preserve">, </w:t>
        </w:r>
      </w:hyperlink>
      <w:r>
        <w:rPr>
          <w:lang w:val="pl"/>
        </w:rPr>
        <w:t>§§ 77 i 89).</w:t>
      </w:r>
    </w:p>
    <w:p w:rsidR="00B71A20" w:rsidRPr="000625F6" w:rsidRDefault="000425B4" w:rsidP="00115011">
      <w:pPr>
        <w:pStyle w:val="Teksttreci0"/>
        <w:numPr>
          <w:ilvl w:val="0"/>
          <w:numId w:val="9"/>
        </w:numPr>
        <w:tabs>
          <w:tab w:val="left" w:pos="399"/>
        </w:tabs>
        <w:spacing w:after="120"/>
        <w:jc w:val="both"/>
        <w:rPr>
          <w:lang w:val="pl-PL"/>
        </w:rPr>
      </w:pPr>
      <w:r>
        <w:rPr>
          <w:lang w:val="pl"/>
        </w:rPr>
        <w:lastRenderedPageBreak/>
        <w:t>Oprócz posiadania statusu „ofiar pośrednich” członkowie rodziny mogą też być „ofiarami bezpośrednimi” traktowania niezgodnie z art. 3 Konwencji w zwią</w:t>
      </w:r>
      <w:r w:rsidR="0019438F">
        <w:rPr>
          <w:lang w:val="pl"/>
        </w:rPr>
        <w:t>zku z cierpieniem wynikającym z </w:t>
      </w:r>
      <w:r>
        <w:rPr>
          <w:lang w:val="pl"/>
        </w:rPr>
        <w:t>poważnych naruszeń praw człowieka, jakie dotknęły ich krewnych (patrz odnośne kryteria w sprawie</w:t>
      </w:r>
      <w:hyperlink r:id="rId189" w:history="1">
        <w:r>
          <w:rPr>
            <w:i/>
            <w:iCs/>
            <w:lang w:val="pl"/>
          </w:rPr>
          <w:t xml:space="preserve"> </w:t>
        </w:r>
        <w:r>
          <w:rPr>
            <w:i/>
            <w:iCs/>
            <w:color w:val="0072BC"/>
            <w:lang w:val="pl"/>
          </w:rPr>
          <w:t>Janowiec i Inni</w:t>
        </w:r>
      </w:hyperlink>
      <w:r>
        <w:rPr>
          <w:i/>
          <w:iCs/>
          <w:color w:val="0072BC"/>
          <w:lang w:val="pl"/>
        </w:rPr>
        <w:t xml:space="preserve"> </w:t>
      </w:r>
      <w:hyperlink r:id="rId190" w:history="1">
        <w:r>
          <w:rPr>
            <w:i/>
            <w:iCs/>
            <w:color w:val="0072BC"/>
            <w:lang w:val="pl"/>
          </w:rPr>
          <w:t xml:space="preserve">p. Rosji </w:t>
        </w:r>
      </w:hyperlink>
      <w:r>
        <w:rPr>
          <w:lang w:val="pl"/>
        </w:rPr>
        <w:t>[WI], §§ 177</w:t>
      </w:r>
      <w:r>
        <w:rPr>
          <w:lang w:val="pl"/>
        </w:rPr>
        <w:noBreakHyphen/>
        <w:t>181, i</w:t>
      </w:r>
      <w:hyperlink r:id="rId191" w:history="1">
        <w:r>
          <w:rPr>
            <w:i/>
            <w:iCs/>
            <w:lang w:val="pl"/>
          </w:rPr>
          <w:t xml:space="preserve"> </w:t>
        </w:r>
        <w:r>
          <w:rPr>
            <w:i/>
            <w:iCs/>
            <w:color w:val="0072BC"/>
            <w:lang w:val="pl"/>
          </w:rPr>
          <w:t>Selami i Inni p. Byłej Jugosłowiańskiej Republice Macedonii</w:t>
        </w:r>
        <w:r>
          <w:rPr>
            <w:lang w:val="pl"/>
          </w:rPr>
          <w:t>,</w:t>
        </w:r>
      </w:hyperlink>
      <w:r>
        <w:rPr>
          <w:lang w:val="pl"/>
        </w:rPr>
        <w:t xml:space="preserve"> §§ 54</w:t>
      </w:r>
      <w:r>
        <w:rPr>
          <w:lang w:val="pl"/>
        </w:rPr>
        <w:noBreakHyphen/>
        <w:t>56).</w:t>
      </w:r>
    </w:p>
    <w:p w:rsidR="00B71A20" w:rsidRPr="000625F6" w:rsidRDefault="000425B4" w:rsidP="00115011">
      <w:pPr>
        <w:pStyle w:val="Teksttreci0"/>
        <w:numPr>
          <w:ilvl w:val="0"/>
          <w:numId w:val="9"/>
        </w:numPr>
        <w:tabs>
          <w:tab w:val="left" w:pos="399"/>
        </w:tabs>
        <w:spacing w:after="120"/>
        <w:jc w:val="both"/>
        <w:rPr>
          <w:lang w:val="pl-PL"/>
        </w:rPr>
      </w:pPr>
      <w:r>
        <w:rPr>
          <w:lang w:val="pl"/>
        </w:rPr>
        <w:t>Bliscy krewni mogą w niektórych okolicznościach mieć zdolność do występowania w roli pośrednich ofiar naruszenia dotykającego bezpośrednio żyjącego krewnego. Przykładowo, matka może twierdzić, że jest ofiarą pośrednią w związku z dom</w:t>
      </w:r>
      <w:r w:rsidR="0019438F">
        <w:rPr>
          <w:lang w:val="pl"/>
        </w:rPr>
        <w:t>niemaną dyskryminacją dziecka z </w:t>
      </w:r>
      <w:r>
        <w:rPr>
          <w:lang w:val="pl"/>
        </w:rPr>
        <w:t xml:space="preserve">niepełnosprawnością, o ile poza sprawowaną opieką wszczęła postępowanie krajowe jako opiekun córki o ograniczonych zdolnościach poznawczych </w:t>
      </w:r>
      <w:hyperlink r:id="rId192" w:history="1">
        <w:r>
          <w:rPr>
            <w:lang w:val="pl"/>
          </w:rPr>
          <w:t>(</w:t>
        </w:r>
        <w:r>
          <w:rPr>
            <w:i/>
            <w:iCs/>
            <w:color w:val="0072BC"/>
            <w:lang w:val="pl"/>
          </w:rPr>
          <w:t>Belli i Arquier-Martinez p. Szwajcarii</w:t>
        </w:r>
        <w:r>
          <w:rPr>
            <w:lang w:val="pl"/>
          </w:rPr>
          <w:t>,</w:t>
        </w:r>
      </w:hyperlink>
      <w:r>
        <w:rPr>
          <w:lang w:val="pl"/>
        </w:rPr>
        <w:t xml:space="preserve"> § 97).</w:t>
      </w:r>
    </w:p>
    <w:p w:rsidR="00B71A20" w:rsidRPr="000625F6" w:rsidRDefault="000425B4" w:rsidP="00115011">
      <w:pPr>
        <w:pStyle w:val="Teksttreci0"/>
        <w:numPr>
          <w:ilvl w:val="0"/>
          <w:numId w:val="9"/>
        </w:numPr>
        <w:tabs>
          <w:tab w:val="left" w:pos="399"/>
        </w:tabs>
        <w:spacing w:after="120"/>
        <w:jc w:val="both"/>
        <w:rPr>
          <w:lang w:val="pl-PL"/>
        </w:rPr>
      </w:pPr>
      <w:r>
        <w:rPr>
          <w:lang w:val="pl"/>
        </w:rPr>
        <w:t xml:space="preserve">W odniesieniu do zarzutów podnoszonych przez spółki </w:t>
      </w:r>
      <w:hyperlink r:id="rId193" w:history="1">
        <w:r>
          <w:rPr>
            <w:lang w:val="pl"/>
          </w:rPr>
          <w:t>(</w:t>
        </w:r>
        <w:r>
          <w:rPr>
            <w:i/>
            <w:iCs/>
            <w:color w:val="0072BC"/>
            <w:lang w:val="pl"/>
          </w:rPr>
          <w:t>Agrotexim i Inni p. Grecji</w:t>
        </w:r>
        <w:r>
          <w:rPr>
            <w:lang w:val="pl"/>
          </w:rPr>
          <w:t>,</w:t>
        </w:r>
      </w:hyperlink>
      <w:r>
        <w:rPr>
          <w:lang w:val="pl"/>
        </w:rPr>
        <w:t xml:space="preserve"> §§ 64-71) Trybunał uznał, że osoba nie może stawiać zarzutu naruszenia jej praw w postępowaniu, którego nie była stroną, nawet w sytuacji, gdy była wspólnikiem lub członkiem zarządu spółki będącej stroną postępowania </w:t>
      </w:r>
      <w:hyperlink r:id="rId194" w:history="1">
        <w:r>
          <w:rPr>
            <w:lang w:val="pl"/>
          </w:rPr>
          <w:t>(</w:t>
        </w:r>
        <w:r>
          <w:rPr>
            <w:i/>
            <w:iCs/>
            <w:color w:val="0072BC"/>
            <w:lang w:val="pl"/>
          </w:rPr>
          <w:t xml:space="preserve">Centro Europa 7 S.r.l. i Di Stefano p. Włochom </w:t>
        </w:r>
      </w:hyperlink>
      <w:r>
        <w:rPr>
          <w:lang w:val="pl"/>
        </w:rPr>
        <w:t>[WI], §§ 92-93).</w:t>
      </w:r>
    </w:p>
    <w:p w:rsidR="00B71A20" w:rsidRPr="000625F6" w:rsidRDefault="000425B4">
      <w:pPr>
        <w:pStyle w:val="Teksttreci0"/>
        <w:spacing w:after="120"/>
        <w:jc w:val="both"/>
        <w:rPr>
          <w:lang w:val="pl-PL"/>
        </w:rPr>
      </w:pPr>
      <w:r>
        <w:rPr>
          <w:lang w:val="pl"/>
        </w:rPr>
        <w:t xml:space="preserve">W przypadku spraw wniesionych przez udziałowców spółki (w szczególności na podstawie art. 1 Protokołu nr 1) Trybunał uznał za kluczowe odróżnienie skarg udziałowców na środki wpływające na ich prawa jako udziałowców od skarg na działania dotyczące spółki, w której mają oni udziały </w:t>
      </w:r>
      <w:hyperlink r:id="rId195" w:history="1">
        <w:r>
          <w:rPr>
            <w:lang w:val="pl"/>
          </w:rPr>
          <w:t>(</w:t>
        </w:r>
        <w:r>
          <w:rPr>
            <w:i/>
            <w:iCs/>
            <w:color w:val="0072BC"/>
            <w:lang w:val="pl"/>
          </w:rPr>
          <w:t>Agrotexim i Inni p. Grecji</w:t>
        </w:r>
        <w:r>
          <w:rPr>
            <w:lang w:val="pl"/>
          </w:rPr>
          <w:t>,</w:t>
        </w:r>
      </w:hyperlink>
      <w:r>
        <w:rPr>
          <w:lang w:val="pl"/>
        </w:rPr>
        <w:t xml:space="preserve"> §§ 65-66;</w:t>
      </w:r>
      <w:hyperlink r:id="rId196" w:history="1">
        <w:r>
          <w:rPr>
            <w:lang w:val="pl"/>
          </w:rPr>
          <w:t xml:space="preserve"> </w:t>
        </w:r>
        <w:r>
          <w:rPr>
            <w:i/>
            <w:iCs/>
            <w:color w:val="0072BC"/>
            <w:lang w:val="pl"/>
          </w:rPr>
          <w:t>Albert i Inni</w:t>
        </w:r>
      </w:hyperlink>
      <w:r>
        <w:rPr>
          <w:i/>
          <w:iCs/>
          <w:color w:val="0072BC"/>
          <w:lang w:val="pl"/>
        </w:rPr>
        <w:t xml:space="preserve"> </w:t>
      </w:r>
      <w:hyperlink r:id="rId197" w:history="1">
        <w:r>
          <w:rPr>
            <w:i/>
            <w:iCs/>
            <w:color w:val="0072BC"/>
            <w:lang w:val="pl"/>
          </w:rPr>
          <w:t xml:space="preserve">p. Węgrom </w:t>
        </w:r>
      </w:hyperlink>
      <w:r>
        <w:rPr>
          <w:lang w:val="pl"/>
        </w:rPr>
        <w:t>[WI], § 122). W pierwszym przypadku sami udziałowcy mogą być uznani za ofiary w rozumieniu art. 34 Konwencji (patrz</w:t>
      </w:r>
      <w:hyperlink r:id="rId198" w:history="1">
        <w:r>
          <w:rPr>
            <w:i/>
            <w:iCs/>
            <w:lang w:val="pl"/>
          </w:rPr>
          <w:t xml:space="preserve"> </w:t>
        </w:r>
        <w:r>
          <w:rPr>
            <w:i/>
            <w:iCs/>
            <w:color w:val="0072BC"/>
            <w:lang w:val="pl"/>
          </w:rPr>
          <w:t>Olczak p. Polsce</w:t>
        </w:r>
        <w:r>
          <w:rPr>
            <w:color w:val="0072BC"/>
            <w:lang w:val="pl"/>
          </w:rPr>
          <w:t xml:space="preserve"> (dec.)</w:t>
        </w:r>
        <w:r>
          <w:rPr>
            <w:lang w:val="pl"/>
          </w:rPr>
          <w:t>,</w:t>
        </w:r>
      </w:hyperlink>
      <w:r w:rsidR="0019438F">
        <w:rPr>
          <w:lang w:val="pl"/>
        </w:rPr>
        <w:t xml:space="preserve"> §§ </w:t>
      </w:r>
      <w:r>
        <w:rPr>
          <w:lang w:val="pl"/>
        </w:rPr>
        <w:t>57-62;</w:t>
      </w:r>
      <w:hyperlink r:id="rId199" w:history="1">
        <w:r>
          <w:rPr>
            <w:i/>
            <w:iCs/>
            <w:lang w:val="pl"/>
          </w:rPr>
          <w:t xml:space="preserve"> </w:t>
        </w:r>
        <w:r>
          <w:rPr>
            <w:i/>
            <w:iCs/>
            <w:color w:val="0072BC"/>
            <w:lang w:val="pl"/>
          </w:rPr>
          <w:t>Albert i</w:t>
        </w:r>
      </w:hyperlink>
      <w:r>
        <w:rPr>
          <w:i/>
          <w:iCs/>
          <w:color w:val="0072BC"/>
          <w:lang w:val="pl"/>
        </w:rPr>
        <w:t xml:space="preserve"> </w:t>
      </w:r>
      <w:hyperlink r:id="rId200" w:history="1">
        <w:r>
          <w:rPr>
            <w:i/>
            <w:iCs/>
            <w:color w:val="0072BC"/>
            <w:lang w:val="pl"/>
          </w:rPr>
          <w:t xml:space="preserve">Inni p. Węgrom </w:t>
        </w:r>
      </w:hyperlink>
      <w:r>
        <w:rPr>
          <w:lang w:val="pl"/>
        </w:rPr>
        <w:t>[WI], §§ 126-134, oraz cytowane tam odniesienia;</w:t>
      </w:r>
      <w:hyperlink r:id="rId201" w:history="1">
        <w:r>
          <w:rPr>
            <w:i/>
            <w:iCs/>
            <w:lang w:val="pl"/>
          </w:rPr>
          <w:t xml:space="preserve"> </w:t>
        </w:r>
        <w:r>
          <w:rPr>
            <w:i/>
            <w:iCs/>
            <w:color w:val="0072BC"/>
            <w:lang w:val="pl"/>
          </w:rPr>
          <w:t>Project-Trade d.o.o. p. Chorwacji</w:t>
        </w:r>
        <w:r>
          <w:rPr>
            <w:lang w:val="pl"/>
          </w:rPr>
          <w:t>,</w:t>
        </w:r>
      </w:hyperlink>
      <w:r>
        <w:rPr>
          <w:lang w:val="pl"/>
        </w:rPr>
        <w:t xml:space="preserve"> §§ 44-47;</w:t>
      </w:r>
      <w:hyperlink r:id="rId202" w:history="1">
        <w:r>
          <w:rPr>
            <w:i/>
            <w:iCs/>
            <w:lang w:val="pl"/>
          </w:rPr>
          <w:t xml:space="preserve"> </w:t>
        </w:r>
        <w:r>
          <w:rPr>
            <w:i/>
            <w:iCs/>
            <w:color w:val="0072BC"/>
            <w:lang w:val="pl"/>
          </w:rPr>
          <w:t>Papachela i Amazon S.A. p. Grecji</w:t>
        </w:r>
        <w:r>
          <w:rPr>
            <w:lang w:val="pl"/>
          </w:rPr>
          <w:t>,</w:t>
        </w:r>
      </w:hyperlink>
      <w:r>
        <w:rPr>
          <w:lang w:val="pl"/>
        </w:rPr>
        <w:t xml:space="preserve"> §§ 37-41). W przypadku drugiej grupy skarg co do ogólnej zasady udziałowcy spółek nie mogą być uznani za ofiary – w rozumieniu art. 34 Konwencji – działań i środków wpływających niekorzystnie na ich spółki. Trybunał uznał, że od zasady tej można w uzasadniony sposób odstąpić w dwóch rodzajach sytuacji: po pierwsze, gdy spółka i jej udziałowcy są tak blisko ze sobą utożsamieni, że ich rozróżnianie jest sztuczne (patrz np.</w:t>
      </w:r>
      <w:hyperlink r:id="rId203" w:history="1">
        <w:r>
          <w:rPr>
            <w:i/>
            <w:iCs/>
            <w:lang w:val="pl"/>
          </w:rPr>
          <w:t xml:space="preserve"> </w:t>
        </w:r>
        <w:r>
          <w:rPr>
            <w:i/>
            <w:iCs/>
            <w:color w:val="0072BC"/>
            <w:lang w:val="pl"/>
          </w:rPr>
          <w:t xml:space="preserve">Ankarcrona p. Szwecji </w:t>
        </w:r>
      </w:hyperlink>
      <w:r>
        <w:rPr>
          <w:lang w:val="pl"/>
        </w:rPr>
        <w:t xml:space="preserve">(dec.)); po drugie, gdy uzasadniają to „wyjątkowe okoliczności” </w:t>
      </w:r>
      <w:hyperlink r:id="rId204" w:history="1">
        <w:r>
          <w:rPr>
            <w:lang w:val="pl"/>
          </w:rPr>
          <w:t>(</w:t>
        </w:r>
        <w:r>
          <w:rPr>
            <w:i/>
            <w:iCs/>
            <w:color w:val="0072BC"/>
            <w:lang w:val="pl"/>
          </w:rPr>
          <w:t xml:space="preserve">Albert i Inni p. Węgrom </w:t>
        </w:r>
      </w:hyperlink>
      <w:r>
        <w:rPr>
          <w:lang w:val="pl"/>
        </w:rPr>
        <w:t xml:space="preserve">[WI], §§ 124, 135-145). W związku z tym pominięcie osobowości prawnej spółki jest uzasadnione jedynie w „wyjątkowych okolicznościach”, zwłaszcza gdy zostało wyraźnie wykazane, że niemożliwe było wystąpienie przez spółkę do Trybunału we własnym imieniu. Aby skarżący przekonali Trybunał, że prowadzenie przez nich jako udziałowców sprawy wpływającej niekorzystnie na spółkę jest uzasadnione takimi przyczynami, powinni podać mocne i przekonujące powody wykazujące, że praktycznie lub faktycznie niemożliwe było, by spółka zwróciła się do Trybunału poprzez organy utworzone zgodnie z jej statutem, i że należy im zatem zezwolić na procedowanie skargi w imieniu spółki </w:t>
      </w:r>
      <w:hyperlink r:id="rId205" w:history="1">
        <w:r>
          <w:rPr>
            <w:lang w:val="pl"/>
          </w:rPr>
          <w:t>(</w:t>
        </w:r>
        <w:r>
          <w:rPr>
            <w:i/>
            <w:iCs/>
            <w:color w:val="0072BC"/>
            <w:lang w:val="pl"/>
          </w:rPr>
          <w:t>ibid.</w:t>
        </w:r>
        <w:r>
          <w:rPr>
            <w:lang w:val="pl"/>
          </w:rPr>
          <w:t>,</w:t>
        </w:r>
      </w:hyperlink>
      <w:r>
        <w:rPr>
          <w:lang w:val="pl"/>
        </w:rPr>
        <w:t xml:space="preserve"> §§ 138-145, i cytowane tam odniesienia; w odniesieniu do zastosowania tych zasad patrz §§ 159-165).</w:t>
      </w:r>
    </w:p>
    <w:p w:rsidR="00B71A20" w:rsidRPr="000625F6" w:rsidRDefault="000425B4">
      <w:pPr>
        <w:pStyle w:val="Teksttreci0"/>
        <w:spacing w:after="120"/>
        <w:jc w:val="both"/>
        <w:rPr>
          <w:lang w:val="pl-PL"/>
        </w:rPr>
      </w:pPr>
      <w:r>
        <w:rPr>
          <w:lang w:val="pl"/>
        </w:rPr>
        <w:t>Co do statusu „ofiary” w przypadku skarżących spółek lub ich zarządców w kontekście nieudzielenia drogą formalną pozwoleń na niejawny nadzór nad tymi spółkami patrz</w:t>
      </w:r>
      <w:hyperlink r:id="rId206" w:history="1">
        <w:r>
          <w:rPr>
            <w:i/>
            <w:iCs/>
            <w:lang w:val="pl"/>
          </w:rPr>
          <w:t xml:space="preserve"> </w:t>
        </w:r>
        <w:r>
          <w:rPr>
            <w:i/>
            <w:iCs/>
            <w:color w:val="0072BC"/>
            <w:lang w:val="pl"/>
          </w:rPr>
          <w:t>Liblik i inni</w:t>
        </w:r>
      </w:hyperlink>
      <w:r>
        <w:rPr>
          <w:i/>
          <w:iCs/>
          <w:color w:val="0072BC"/>
          <w:lang w:val="pl"/>
        </w:rPr>
        <w:t xml:space="preserve"> </w:t>
      </w:r>
      <w:hyperlink r:id="rId207" w:history="1">
        <w:r>
          <w:rPr>
            <w:i/>
            <w:iCs/>
            <w:color w:val="0072BC"/>
            <w:lang w:val="pl"/>
          </w:rPr>
          <w:t>p. Estonii</w:t>
        </w:r>
        <w:r>
          <w:rPr>
            <w:lang w:val="pl"/>
          </w:rPr>
          <w:t>,</w:t>
        </w:r>
      </w:hyperlink>
      <w:r>
        <w:rPr>
          <w:lang w:val="pl"/>
        </w:rPr>
        <w:t xml:space="preserve"> §§ 111</w:t>
      </w:r>
      <w:r>
        <w:rPr>
          <w:lang w:val="pl"/>
        </w:rPr>
        <w:noBreakHyphen/>
        <w:t>112.</w:t>
      </w:r>
    </w:p>
    <w:p w:rsidR="00B71A20" w:rsidRPr="000625F6" w:rsidRDefault="000425B4" w:rsidP="00115011">
      <w:pPr>
        <w:pStyle w:val="Teksttreci0"/>
        <w:numPr>
          <w:ilvl w:val="0"/>
          <w:numId w:val="9"/>
        </w:numPr>
        <w:tabs>
          <w:tab w:val="left" w:pos="399"/>
        </w:tabs>
        <w:spacing w:after="220"/>
        <w:jc w:val="both"/>
        <w:rPr>
          <w:lang w:val="pl-PL"/>
        </w:rPr>
      </w:pPr>
      <w:r>
        <w:rPr>
          <w:lang w:val="pl"/>
        </w:rPr>
        <w:t xml:space="preserve">W przypadku organizacji pozarządowych Trybunał nie przyznaje statusu „ofiary” stowarzyszeniom, których interes nie jest przedmiotem sprawy, nawet jeśli przedmiotem sprawy mogą być interesy niektórych albo wszystkich ich członków. Poza tym nie przyznaje się statusu „ofiary” organizacjom pozarządowym, nawet jeśli zostały założone wyłącznie w celu obrony praw domniemanych ofiar </w:t>
      </w:r>
      <w:hyperlink r:id="rId208" w:history="1">
        <w:r>
          <w:rPr>
            <w:lang w:val="pl"/>
          </w:rPr>
          <w:t>(</w:t>
        </w:r>
        <w:r>
          <w:rPr>
            <w:i/>
            <w:iCs/>
            <w:color w:val="0072BC"/>
            <w:lang w:val="pl"/>
          </w:rPr>
          <w:t>Nencheva</w:t>
        </w:r>
      </w:hyperlink>
      <w:r>
        <w:rPr>
          <w:i/>
          <w:iCs/>
          <w:color w:val="0072BC"/>
          <w:lang w:val="pl"/>
        </w:rPr>
        <w:t xml:space="preserve"> </w:t>
      </w:r>
      <w:hyperlink r:id="rId209" w:history="1">
        <w:r>
          <w:rPr>
            <w:i/>
            <w:iCs/>
            <w:color w:val="0072BC"/>
            <w:lang w:val="pl"/>
          </w:rPr>
          <w:t>i Inni p. Bułgarii</w:t>
        </w:r>
        <w:r>
          <w:rPr>
            <w:lang w:val="pl"/>
          </w:rPr>
          <w:t>,</w:t>
        </w:r>
      </w:hyperlink>
      <w:r>
        <w:rPr>
          <w:lang w:val="pl"/>
        </w:rPr>
        <w:t xml:space="preserve"> § 90 i § 93 oraz cytowane tam odniesienia; patrz też</w:t>
      </w:r>
      <w:hyperlink r:id="rId210" w:history="1">
        <w:r>
          <w:rPr>
            <w:i/>
            <w:iCs/>
            <w:lang w:val="pl"/>
          </w:rPr>
          <w:t xml:space="preserve"> </w:t>
        </w:r>
        <w:r>
          <w:rPr>
            <w:i/>
            <w:iCs/>
            <w:color w:val="0072BC"/>
            <w:lang w:val="pl"/>
          </w:rPr>
          <w:t>Kalfagiannis i Pospert</w:t>
        </w:r>
      </w:hyperlink>
      <w:r>
        <w:rPr>
          <w:i/>
          <w:iCs/>
          <w:color w:val="0072BC"/>
          <w:lang w:val="pl"/>
        </w:rPr>
        <w:t xml:space="preserve"> </w:t>
      </w:r>
      <w:hyperlink r:id="rId211" w:history="1">
        <w:r>
          <w:rPr>
            <w:i/>
            <w:iCs/>
            <w:color w:val="0072BC"/>
            <w:lang w:val="pl"/>
          </w:rPr>
          <w:t xml:space="preserve">p. Grecji </w:t>
        </w:r>
      </w:hyperlink>
      <w:r>
        <w:rPr>
          <w:lang w:val="pl"/>
        </w:rPr>
        <w:t>(dec.)</w:t>
      </w:r>
      <w:r>
        <w:rPr>
          <w:i/>
          <w:iCs/>
          <w:lang w:val="pl"/>
        </w:rPr>
        <w:t xml:space="preserve">, </w:t>
      </w:r>
      <w:r>
        <w:rPr>
          <w:lang w:val="pl"/>
        </w:rPr>
        <w:t xml:space="preserve">§§ 49-51, sprawa dotycząca federacji związków zawodowych reprezentujących pracowników mediów; </w:t>
      </w:r>
      <w:hyperlink r:id="rId212" w:history="1">
        <w:r>
          <w:rPr>
            <w:i/>
            <w:iCs/>
            <w:color w:val="0072BC"/>
            <w:lang w:val="pl"/>
          </w:rPr>
          <w:t>Yusufeli İlçesini Güzelleştirme Yaşatma Kültür</w:t>
        </w:r>
        <w:r w:rsidR="0019438F">
          <w:rPr>
            <w:i/>
            <w:iCs/>
            <w:color w:val="0072BC"/>
            <w:lang w:val="pl"/>
          </w:rPr>
          <w:t xml:space="preserve"> Varlıklarını Koruma Derneği p. </w:t>
        </w:r>
        <w:r>
          <w:rPr>
            <w:i/>
            <w:iCs/>
            <w:color w:val="0072BC"/>
            <w:lang w:val="pl"/>
          </w:rPr>
          <w:t>Turcji</w:t>
        </w:r>
        <w:r>
          <w:rPr>
            <w:color w:val="0072BC"/>
            <w:lang w:val="pl"/>
          </w:rPr>
          <w:t xml:space="preserve"> </w:t>
        </w:r>
      </w:hyperlink>
      <w:r>
        <w:rPr>
          <w:lang w:val="pl"/>
        </w:rPr>
        <w:t xml:space="preserve">(dec.), §§ 42-44, </w:t>
      </w:r>
      <w:bookmarkStart w:id="37" w:name="bookmark36"/>
      <w:r>
        <w:rPr>
          <w:lang w:val="pl"/>
        </w:rPr>
        <w:t>sprawa dotycząca organizacji pozarządowej utworzonej po to, aby bronić mieszkańców terenów, na których budowano zaporę, oraz</w:t>
      </w:r>
      <w:hyperlink r:id="rId213" w:history="1">
        <w:r>
          <w:rPr>
            <w:lang w:val="pl"/>
          </w:rPr>
          <w:t xml:space="preserve"> </w:t>
        </w:r>
        <w:r>
          <w:rPr>
            <w:i/>
            <w:iCs/>
            <w:color w:val="0072BC"/>
            <w:lang w:val="pl"/>
          </w:rPr>
          <w:t>Genderdoc-M i M.D. p. Republice Mołdawii</w:t>
        </w:r>
        <w:r>
          <w:rPr>
            <w:lang w:val="pl"/>
          </w:rPr>
          <w:t>,</w:t>
        </w:r>
      </w:hyperlink>
      <w:r>
        <w:rPr>
          <w:lang w:val="pl"/>
        </w:rPr>
        <w:t xml:space="preserve"> §§ 25-26, sprawa dotycząca organizacji pozarządowej reprezentującej interesy osób LGBT. Patrz dla porównania sprawa</w:t>
      </w:r>
      <w:hyperlink r:id="rId214" w:history="1">
        <w:r>
          <w:rPr>
            <w:i/>
            <w:iCs/>
            <w:lang w:val="pl"/>
          </w:rPr>
          <w:t xml:space="preserve"> </w:t>
        </w:r>
        <w:r>
          <w:rPr>
            <w:i/>
            <w:iCs/>
            <w:color w:val="0072BC"/>
            <w:lang w:val="pl"/>
          </w:rPr>
          <w:t>AsDAC p. Republice Mołdawii</w:t>
        </w:r>
        <w:r>
          <w:rPr>
            <w:lang w:val="pl"/>
          </w:rPr>
          <w:t>,</w:t>
        </w:r>
        <w:r>
          <w:rPr>
            <w:i/>
            <w:iCs/>
            <w:lang w:val="pl"/>
          </w:rPr>
          <w:t xml:space="preserve"> </w:t>
        </w:r>
      </w:hyperlink>
      <w:r>
        <w:rPr>
          <w:lang w:val="pl"/>
        </w:rPr>
        <w:t xml:space="preserve">§§ 21-37, dotycząca organizacji pozarządowej utworzonej w celu zbiorowego zarządzania prawami własności intelektualnej członków i jej status jako </w:t>
      </w:r>
      <w:r>
        <w:rPr>
          <w:lang w:val="pl"/>
        </w:rPr>
        <w:lastRenderedPageBreak/>
        <w:t>ofiary w kontekście skargi wniesionej na podstawie art. 1 Protokołu nr 1, a także</w:t>
      </w:r>
      <w:hyperlink r:id="rId215" w:history="1">
        <w:r>
          <w:rPr>
            <w:lang w:val="pl"/>
          </w:rPr>
          <w:t xml:space="preserve"> </w:t>
        </w:r>
        <w:r>
          <w:rPr>
            <w:i/>
            <w:iCs/>
            <w:color w:val="0072BC"/>
            <w:lang w:val="pl"/>
          </w:rPr>
          <w:t>Communaute genevoise d'action</w:t>
        </w:r>
      </w:hyperlink>
      <w:r>
        <w:rPr>
          <w:i/>
          <w:iCs/>
          <w:color w:val="0072BC"/>
          <w:lang w:val="pl"/>
        </w:rPr>
        <w:t xml:space="preserve"> </w:t>
      </w:r>
      <w:hyperlink r:id="rId216" w:history="1">
        <w:r>
          <w:rPr>
            <w:i/>
            <w:iCs/>
            <w:color w:val="0072BC"/>
            <w:lang w:val="pl"/>
          </w:rPr>
          <w:t>syndicale (CGAS) p. Szwajcarii</w:t>
        </w:r>
      </w:hyperlink>
      <w:r>
        <w:rPr>
          <w:lang w:val="pl"/>
        </w:rPr>
        <w:t>, §§ 36-42, sprawa dotycząca organizacji pozarządowej utworzonej w celu ochrony interesów pracowników, szczególnie w o</w:t>
      </w:r>
      <w:r w:rsidR="0019438F">
        <w:rPr>
          <w:lang w:val="pl"/>
        </w:rPr>
        <w:t>bszarze wolności związkowych, w </w:t>
      </w:r>
      <w:r>
        <w:rPr>
          <w:lang w:val="pl"/>
        </w:rPr>
        <w:t>odniesieniu do skargi na podstawie art. 11). Należy jednak zwrócić uwagę, że w określonych okolicznościach organizacje pozarządowe (zamiast skarżących) mogą uczestniczyć w postępowaniu krajowym, broniąc interesów skarżących. Nie pozbawia to skarżąc</w:t>
      </w:r>
      <w:r w:rsidR="0019438F">
        <w:rPr>
          <w:lang w:val="pl"/>
        </w:rPr>
        <w:t>ych, którzy nie uczestniczyli w </w:t>
      </w:r>
      <w:r>
        <w:rPr>
          <w:lang w:val="pl"/>
        </w:rPr>
        <w:t xml:space="preserve">postępowaniu krajowym, statusu ofiary </w:t>
      </w:r>
      <w:hyperlink r:id="rId217" w:history="1">
        <w:r>
          <w:rPr>
            <w:lang w:val="pl"/>
          </w:rPr>
          <w:t>(</w:t>
        </w:r>
        <w:r>
          <w:rPr>
            <w:i/>
            <w:iCs/>
            <w:color w:val="0072BC"/>
            <w:lang w:val="pl"/>
          </w:rPr>
          <w:t>Gorraiz Lizarraga i Inni p. Hiszpanii</w:t>
        </w:r>
        <w:r>
          <w:rPr>
            <w:lang w:val="pl"/>
          </w:rPr>
          <w:t>,</w:t>
        </w:r>
      </w:hyperlink>
      <w:r>
        <w:rPr>
          <w:lang w:val="pl"/>
        </w:rPr>
        <w:t xml:space="preserve"> §§ 37-39;</w:t>
      </w:r>
      <w:hyperlink r:id="rId218" w:history="1">
        <w:r>
          <w:rPr>
            <w:lang w:val="pl"/>
          </w:rPr>
          <w:t xml:space="preserve"> </w:t>
        </w:r>
        <w:r>
          <w:rPr>
            <w:i/>
            <w:iCs/>
            <w:color w:val="0072BC"/>
            <w:lang w:val="pl"/>
          </w:rPr>
          <w:t>Centre of Societies for Krishna</w:t>
        </w:r>
      </w:hyperlink>
      <w:r>
        <w:rPr>
          <w:i/>
          <w:iCs/>
          <w:color w:val="0072BC"/>
          <w:lang w:val="pl"/>
        </w:rPr>
        <w:t xml:space="preserve"> </w:t>
      </w:r>
      <w:hyperlink r:id="rId219" w:history="1">
        <w:r>
          <w:rPr>
            <w:i/>
            <w:iCs/>
            <w:color w:val="0072BC"/>
            <w:lang w:val="pl"/>
          </w:rPr>
          <w:t>Consciousness in Russia i Frolov p. Rosji</w:t>
        </w:r>
        <w:r>
          <w:rPr>
            <w:lang w:val="pl"/>
          </w:rPr>
          <w:t>,</w:t>
        </w:r>
      </w:hyperlink>
      <w:r>
        <w:rPr>
          <w:lang w:val="pl"/>
        </w:rPr>
        <w:t xml:space="preserve"> § 30; </w:t>
      </w:r>
      <w:r w:rsidR="002F5D1A">
        <w:rPr>
          <w:lang w:val="pl"/>
        </w:rPr>
        <w:t>odnośnie do</w:t>
      </w:r>
      <w:r>
        <w:rPr>
          <w:lang w:val="pl"/>
        </w:rPr>
        <w:t xml:space="preserve"> związk</w:t>
      </w:r>
      <w:r w:rsidR="002F5D1A">
        <w:rPr>
          <w:lang w:val="pl"/>
        </w:rPr>
        <w:t>u</w:t>
      </w:r>
      <w:r>
        <w:rPr>
          <w:lang w:val="pl"/>
        </w:rPr>
        <w:t xml:space="preserve"> między statusem ofiary na podstawie art. 34 a wyczerpaniem krajowych środ</w:t>
      </w:r>
      <w:r w:rsidR="0019438F">
        <w:rPr>
          <w:lang w:val="pl"/>
        </w:rPr>
        <w:t>ków odwoławczych zgodnie z art. </w:t>
      </w:r>
      <w:r>
        <w:rPr>
          <w:lang w:val="pl"/>
        </w:rPr>
        <w:t>35 ust. 1</w:t>
      </w:r>
      <w:r w:rsidR="002F5D1A">
        <w:rPr>
          <w:lang w:val="pl"/>
        </w:rPr>
        <w:t xml:space="preserve"> patrz</w:t>
      </w:r>
      <w:hyperlink r:id="rId220" w:history="1">
        <w:r w:rsidR="002F5D1A">
          <w:rPr>
            <w:i/>
            <w:iCs/>
            <w:lang w:val="pl"/>
          </w:rPr>
          <w:t xml:space="preserve"> </w:t>
        </w:r>
        <w:r w:rsidR="002F5D1A">
          <w:rPr>
            <w:i/>
            <w:iCs/>
            <w:color w:val="0072BC"/>
            <w:lang w:val="pl"/>
          </w:rPr>
          <w:t>Beizaras i Levickas p. Litwie</w:t>
        </w:r>
        <w:r w:rsidR="002F5D1A">
          <w:rPr>
            <w:lang w:val="pl"/>
          </w:rPr>
          <w:t>,</w:t>
        </w:r>
      </w:hyperlink>
      <w:r w:rsidR="002F5D1A">
        <w:rPr>
          <w:i/>
          <w:iCs/>
          <w:lang w:val="pl"/>
        </w:rPr>
        <w:t xml:space="preserve"> </w:t>
      </w:r>
      <w:r w:rsidR="002F5D1A">
        <w:rPr>
          <w:lang w:val="pl"/>
        </w:rPr>
        <w:t xml:space="preserve">§§ 78-81; </w:t>
      </w:r>
      <w:hyperlink r:id="rId221" w:history="1">
        <w:r w:rsidR="00875F9A">
          <w:rPr>
            <w:i/>
            <w:iCs/>
            <w:color w:val="0072BC"/>
            <w:lang w:val="pl"/>
          </w:rPr>
          <w:t>Thibaut p. </w:t>
        </w:r>
        <w:r w:rsidR="002F5D1A" w:rsidRPr="000625F6">
          <w:rPr>
            <w:i/>
            <w:iCs/>
            <w:color w:val="0072BC"/>
            <w:lang w:val="pl"/>
          </w:rPr>
          <w:t>Francji</w:t>
        </w:r>
      </w:hyperlink>
      <w:r w:rsidR="002F5D1A">
        <w:rPr>
          <w:lang w:val="pl"/>
        </w:rPr>
        <w:t xml:space="preserve"> (dec.), §§ 26-31</w:t>
      </w:r>
      <w:r>
        <w:rPr>
          <w:lang w:val="pl"/>
        </w:rPr>
        <w:t>).</w:t>
      </w:r>
      <w:bookmarkEnd w:id="37"/>
    </w:p>
    <w:p w:rsidR="00B71A20" w:rsidRPr="008D530C" w:rsidRDefault="008D530C" w:rsidP="008D530C">
      <w:pPr>
        <w:pStyle w:val="Nagwek41"/>
        <w:keepNext/>
        <w:keepLines/>
        <w:tabs>
          <w:tab w:val="left" w:pos="375"/>
        </w:tabs>
        <w:jc w:val="both"/>
        <w:rPr>
          <w:lang w:val="pl-PL"/>
        </w:rPr>
      </w:pPr>
      <w:bookmarkStart w:id="38" w:name="_Toc126335611"/>
      <w:bookmarkStart w:id="39" w:name="_Toc126660565"/>
      <w:r>
        <w:rPr>
          <w:lang w:val="pl"/>
        </w:rPr>
        <w:t xml:space="preserve">d.  </w:t>
      </w:r>
      <w:r w:rsidR="000425B4">
        <w:rPr>
          <w:lang w:val="pl"/>
        </w:rPr>
        <w:t xml:space="preserve">Potencjalne ofiary i </w:t>
      </w:r>
      <w:r w:rsidR="000425B4">
        <w:rPr>
          <w:i/>
          <w:iCs/>
          <w:lang w:val="pl"/>
        </w:rPr>
        <w:t>actio popularis</w:t>
      </w:r>
      <w:bookmarkEnd w:id="38"/>
      <w:bookmarkEnd w:id="39"/>
    </w:p>
    <w:p w:rsidR="00B71A20" w:rsidRPr="000625F6" w:rsidRDefault="000425B4" w:rsidP="00115011">
      <w:pPr>
        <w:pStyle w:val="Teksttreci0"/>
        <w:numPr>
          <w:ilvl w:val="0"/>
          <w:numId w:val="10"/>
        </w:numPr>
        <w:tabs>
          <w:tab w:val="left" w:pos="404"/>
        </w:tabs>
        <w:jc w:val="both"/>
        <w:rPr>
          <w:lang w:val="pl-PL"/>
        </w:rPr>
      </w:pPr>
      <w:r>
        <w:rPr>
          <w:lang w:val="pl"/>
        </w:rPr>
        <w:t xml:space="preserve">Artykuł 34 Konwencji nie dopuszcza składania skarg opartych na domniemaniu </w:t>
      </w:r>
      <w:r>
        <w:rPr>
          <w:i/>
          <w:iCs/>
          <w:lang w:val="pl"/>
        </w:rPr>
        <w:t>in abstracto</w:t>
      </w:r>
      <w:r>
        <w:rPr>
          <w:lang w:val="pl"/>
        </w:rPr>
        <w:t xml:space="preserve">, że doszło do naruszenia Konwencji </w:t>
      </w:r>
      <w:hyperlink r:id="rId222" w:history="1">
        <w:r>
          <w:rPr>
            <w:lang w:val="pl"/>
          </w:rPr>
          <w:t>(</w:t>
        </w:r>
        <w:r>
          <w:rPr>
            <w:i/>
            <w:iCs/>
            <w:color w:val="0072BC"/>
            <w:lang w:val="pl"/>
          </w:rPr>
          <w:t xml:space="preserve">Centre for Legal Resources w imieniu Valentina Câmpeanu p. Rumunii </w:t>
        </w:r>
      </w:hyperlink>
      <w:r>
        <w:rPr>
          <w:lang w:val="pl"/>
        </w:rPr>
        <w:t xml:space="preserve">[WI], § 101 i cytowane tam odniesienia). W określonych sytuacjach Trybunał przyjął jednak, że skarżący może być potencjalną ofiarą. Na przykład, gdy skarżący nie był w stanie ustalić, czy zaskarżone przez niego przepisy prawa zostały wobec niego zastosowane, ze względu na tajny charakter działań, do podjęcia których uprawniały </w:t>
      </w:r>
      <w:hyperlink r:id="rId223" w:history="1">
        <w:r>
          <w:rPr>
            <w:lang w:val="pl"/>
          </w:rPr>
          <w:t>(</w:t>
        </w:r>
        <w:r>
          <w:rPr>
            <w:i/>
            <w:iCs/>
            <w:color w:val="0072BC"/>
            <w:lang w:val="pl"/>
          </w:rPr>
          <w:t>Klass i Inni p. Niemcom</w:t>
        </w:r>
        <w:r>
          <w:rPr>
            <w:lang w:val="pl"/>
          </w:rPr>
          <w:t>)</w:t>
        </w:r>
      </w:hyperlink>
      <w:r>
        <w:rPr>
          <w:lang w:val="pl"/>
        </w:rPr>
        <w:t xml:space="preserve">, lub w sytuacji wydania nakazu wydalenia cudzoziemca, który nie został wykonany, ponieważ jego wykonanie </w:t>
      </w:r>
      <w:r w:rsidR="00A36163">
        <w:rPr>
          <w:lang w:val="pl"/>
        </w:rPr>
        <w:t>naraziłoby tego cudzoziemca w </w:t>
      </w:r>
      <w:r>
        <w:rPr>
          <w:lang w:val="pl"/>
        </w:rPr>
        <w:t xml:space="preserve">kraju przyjmującym na traktowanie sprzeczne z art. 3 Konwencji lub na naruszenie jego praw wynikających z art. 8 Konwencji </w:t>
      </w:r>
      <w:hyperlink r:id="rId224" w:history="1">
        <w:r>
          <w:rPr>
            <w:lang w:val="pl"/>
          </w:rPr>
          <w:t>(</w:t>
        </w:r>
        <w:r>
          <w:rPr>
            <w:i/>
            <w:iCs/>
            <w:color w:val="0072BC"/>
            <w:lang w:val="pl"/>
          </w:rPr>
          <w:t>Soering p. Wielkiej Brytanii</w:t>
        </w:r>
        <w:r>
          <w:rPr>
            <w:lang w:val="pl"/>
          </w:rPr>
          <w:t>)</w:t>
        </w:r>
      </w:hyperlink>
      <w:r>
        <w:rPr>
          <w:lang w:val="pl"/>
        </w:rPr>
        <w:t xml:space="preserve">, lub gdy zachodziło prawdopodobieństwo zastosowania przepisów sankcjonujących homoseksualizm w odniesieniu do określonej grupy ludności, do której należał skarżący </w:t>
      </w:r>
      <w:hyperlink r:id="rId225" w:history="1">
        <w:r>
          <w:rPr>
            <w:lang w:val="pl"/>
          </w:rPr>
          <w:t>(</w:t>
        </w:r>
        <w:r>
          <w:rPr>
            <w:i/>
            <w:iCs/>
            <w:color w:val="0072BC"/>
            <w:lang w:val="pl"/>
          </w:rPr>
          <w:t>Dudgeon p. Wielkiej Brytanii</w:t>
        </w:r>
        <w:r>
          <w:rPr>
            <w:lang w:val="pl"/>
          </w:rPr>
          <w:t>)</w:t>
        </w:r>
      </w:hyperlink>
      <w:r>
        <w:rPr>
          <w:lang w:val="pl"/>
        </w:rPr>
        <w:t xml:space="preserve">. Trybunał orzekał ponadto, że skarżący może twierdzić, że jest ofiarą naruszenia Konwencji, jeśli mają do niego zastosowanie przepisy dopuszczające stosowanie środków niejawnego nadzoru, a skarżący nie dysponuje środkami odwoławczymi, aby kwestionować taki niejawny nadzór </w:t>
      </w:r>
      <w:hyperlink r:id="rId226" w:history="1">
        <w:r>
          <w:rPr>
            <w:lang w:val="pl"/>
          </w:rPr>
          <w:t>(</w:t>
        </w:r>
        <w:r>
          <w:rPr>
            <w:i/>
            <w:iCs/>
            <w:color w:val="0072BC"/>
            <w:lang w:val="pl"/>
          </w:rPr>
          <w:t>Roman Zakharov</w:t>
        </w:r>
        <w:r>
          <w:rPr>
            <w:color w:val="0072BC"/>
            <w:lang w:val="pl"/>
          </w:rPr>
          <w:t> </w:t>
        </w:r>
        <w:r>
          <w:rPr>
            <w:i/>
            <w:iCs/>
            <w:color w:val="0072BC"/>
            <w:lang w:val="pl"/>
          </w:rPr>
          <w:t xml:space="preserve">p. Rosji </w:t>
        </w:r>
      </w:hyperlink>
      <w:r>
        <w:rPr>
          <w:lang w:val="pl"/>
        </w:rPr>
        <w:t>[WI], §§ 173</w:t>
      </w:r>
      <w:r>
        <w:rPr>
          <w:lang w:val="pl"/>
        </w:rPr>
        <w:noBreakHyphen/>
        <w:t>78).</w:t>
      </w:r>
    </w:p>
    <w:p w:rsidR="00B71A20" w:rsidRPr="000625F6" w:rsidRDefault="000425B4" w:rsidP="00115011">
      <w:pPr>
        <w:pStyle w:val="Teksttreci0"/>
        <w:numPr>
          <w:ilvl w:val="0"/>
          <w:numId w:val="10"/>
        </w:numPr>
        <w:tabs>
          <w:tab w:val="left" w:pos="404"/>
        </w:tabs>
        <w:jc w:val="both"/>
        <w:rPr>
          <w:lang w:val="pl-PL"/>
        </w:rPr>
      </w:pPr>
      <w:r>
        <w:rPr>
          <w:lang w:val="pl"/>
        </w:rPr>
        <w:t>Aby móc domagać się statusu ofiary w takiej sytuacji, skarżący</w:t>
      </w:r>
      <w:r w:rsidR="00414809">
        <w:rPr>
          <w:lang w:val="pl"/>
        </w:rPr>
        <w:t xml:space="preserve"> musi przedstawić uzasadnione i </w:t>
      </w:r>
      <w:r>
        <w:rPr>
          <w:lang w:val="pl"/>
        </w:rPr>
        <w:t xml:space="preserve">przekonujące dowody na prawdopodobieństwo popełnienia naruszenia godzącego w niego osobiście; samo podejrzenie lub domysł nie wystarczy </w:t>
      </w:r>
      <w:hyperlink r:id="rId227" w:history="1">
        <w:r>
          <w:rPr>
            <w:lang w:val="pl"/>
          </w:rPr>
          <w:t>(</w:t>
        </w:r>
        <w:r>
          <w:rPr>
            <w:i/>
            <w:iCs/>
            <w:color w:val="0072BC"/>
            <w:lang w:val="pl"/>
          </w:rPr>
          <w:t>Senator Lines GmbH p. piętnastu państwom członkowskim</w:t>
        </w:r>
      </w:hyperlink>
      <w:r>
        <w:rPr>
          <w:i/>
          <w:iCs/>
          <w:color w:val="0072BC"/>
          <w:lang w:val="pl"/>
        </w:rPr>
        <w:t xml:space="preserve"> </w:t>
      </w:r>
      <w:hyperlink r:id="rId228" w:history="1">
        <w:r>
          <w:rPr>
            <w:i/>
            <w:iCs/>
            <w:color w:val="0072BC"/>
            <w:lang w:val="pl"/>
          </w:rPr>
          <w:t>Unii Europejskiej</w:t>
        </w:r>
        <w:r>
          <w:rPr>
            <w:color w:val="0072BC"/>
            <w:lang w:val="pl"/>
          </w:rPr>
          <w:t xml:space="preserve"> </w:t>
        </w:r>
      </w:hyperlink>
      <w:r>
        <w:rPr>
          <w:lang w:val="pl"/>
        </w:rPr>
        <w:t>(dec.) [WI];</w:t>
      </w:r>
      <w:hyperlink r:id="rId229" w:history="1">
        <w:r>
          <w:rPr>
            <w:lang w:val="pl"/>
          </w:rPr>
          <w:t xml:space="preserve"> </w:t>
        </w:r>
        <w:r>
          <w:rPr>
            <w:i/>
            <w:iCs/>
            <w:color w:val="0072BC"/>
            <w:lang w:val="pl"/>
          </w:rPr>
          <w:t>Shortall i Inni p. Irlandii</w:t>
        </w:r>
        <w:r>
          <w:rPr>
            <w:color w:val="0072BC"/>
            <w:lang w:val="pl"/>
          </w:rPr>
          <w:t xml:space="preserve"> </w:t>
        </w:r>
      </w:hyperlink>
      <w:r>
        <w:rPr>
          <w:lang w:val="pl"/>
        </w:rPr>
        <w:t>(dec.)). Sprawa braku formalnego nakazu wydalenia, patrz</w:t>
      </w:r>
      <w:hyperlink r:id="rId230" w:history="1">
        <w:r>
          <w:rPr>
            <w:lang w:val="pl"/>
          </w:rPr>
          <w:t xml:space="preserve"> </w:t>
        </w:r>
        <w:r>
          <w:rPr>
            <w:i/>
            <w:iCs/>
            <w:color w:val="0072BC"/>
            <w:lang w:val="pl"/>
          </w:rPr>
          <w:t>Vijayanathan i Pusparajah p. Francji</w:t>
        </w:r>
        <w:r>
          <w:rPr>
            <w:lang w:val="pl"/>
          </w:rPr>
          <w:t>,</w:t>
        </w:r>
      </w:hyperlink>
      <w:r>
        <w:rPr>
          <w:lang w:val="pl"/>
        </w:rPr>
        <w:t xml:space="preserve"> § 46; sprawa zarzucanych skutków sprawozdania parlamentarnego, patrz</w:t>
      </w:r>
      <w:hyperlink r:id="rId231" w:history="1">
        <w:r>
          <w:rPr>
            <w:lang w:val="pl"/>
          </w:rPr>
          <w:t xml:space="preserve"> </w:t>
        </w:r>
        <w:r>
          <w:rPr>
            <w:i/>
            <w:iCs/>
            <w:color w:val="0072BC"/>
            <w:lang w:val="pl"/>
          </w:rPr>
          <w:t xml:space="preserve">Fédération chrétienne des témoins de Jéhovah de Francji p. Francji </w:t>
        </w:r>
      </w:hyperlink>
      <w:r>
        <w:rPr>
          <w:lang w:val="pl"/>
        </w:rPr>
        <w:t>(dec.); sprawa zarzucanych skutków orzeczenia sądowego dotyczącego osoby trzeciej będącej w stanie śpiączki, patrz</w:t>
      </w:r>
      <w:hyperlink r:id="rId232" w:history="1">
        <w:r>
          <w:rPr>
            <w:lang w:val="pl"/>
          </w:rPr>
          <w:t xml:space="preserve"> </w:t>
        </w:r>
        <w:r>
          <w:rPr>
            <w:i/>
            <w:iCs/>
            <w:color w:val="0072BC"/>
            <w:lang w:val="pl"/>
          </w:rPr>
          <w:t>Rossi i Inni</w:t>
        </w:r>
      </w:hyperlink>
      <w:r>
        <w:rPr>
          <w:i/>
          <w:iCs/>
          <w:color w:val="0072BC"/>
          <w:lang w:val="pl"/>
        </w:rPr>
        <w:t xml:space="preserve"> </w:t>
      </w:r>
      <w:hyperlink r:id="rId233" w:history="1">
        <w:r>
          <w:rPr>
            <w:i/>
            <w:iCs/>
            <w:color w:val="0072BC"/>
            <w:lang w:val="pl"/>
          </w:rPr>
          <w:t xml:space="preserve">p. Włochom </w:t>
        </w:r>
      </w:hyperlink>
      <w:r>
        <w:rPr>
          <w:lang w:val="pl"/>
        </w:rPr>
        <w:t>(dec.); sprawa zarzucanych skutków środków antydopingowych dla stowarzyszeń sportowych i osób zawodowo uprawiających sport, patrz</w:t>
      </w:r>
      <w:hyperlink r:id="rId234" w:history="1">
        <w:r>
          <w:rPr>
            <w:lang w:val="pl"/>
          </w:rPr>
          <w:t xml:space="preserve"> </w:t>
        </w:r>
        <w:r>
          <w:rPr>
            <w:i/>
            <w:iCs/>
            <w:color w:val="0072BC"/>
            <w:lang w:val="pl"/>
          </w:rPr>
          <w:t>National Federation of Sportspersons’ Associations and Unions</w:t>
        </w:r>
      </w:hyperlink>
      <w:r>
        <w:rPr>
          <w:i/>
          <w:iCs/>
          <w:color w:val="0072BC"/>
          <w:lang w:val="pl"/>
        </w:rPr>
        <w:t xml:space="preserve"> </w:t>
      </w:r>
      <w:hyperlink r:id="rId235" w:history="1">
        <w:r>
          <w:rPr>
            <w:i/>
            <w:iCs/>
            <w:color w:val="0072BC"/>
            <w:lang w:val="pl"/>
          </w:rPr>
          <w:t>(FNASS) i Inni p. Francji</w:t>
        </w:r>
        <w:r>
          <w:rPr>
            <w:lang w:val="pl"/>
          </w:rPr>
          <w:t>,</w:t>
        </w:r>
      </w:hyperlink>
      <w:r>
        <w:rPr>
          <w:lang w:val="pl"/>
        </w:rPr>
        <w:t xml:space="preserve"> §§ 91</w:t>
      </w:r>
      <w:r>
        <w:rPr>
          <w:lang w:val="pl"/>
        </w:rPr>
        <w:noBreakHyphen/>
        <w:t>103.</w:t>
      </w:r>
    </w:p>
    <w:p w:rsidR="00B71A20" w:rsidRPr="000625F6" w:rsidRDefault="000425B4" w:rsidP="00115011">
      <w:pPr>
        <w:pStyle w:val="Teksttreci0"/>
        <w:numPr>
          <w:ilvl w:val="0"/>
          <w:numId w:val="10"/>
        </w:numPr>
        <w:tabs>
          <w:tab w:val="left" w:pos="394"/>
        </w:tabs>
        <w:jc w:val="both"/>
        <w:rPr>
          <w:lang w:val="pl-PL"/>
        </w:rPr>
      </w:pPr>
      <w:r>
        <w:rPr>
          <w:lang w:val="pl"/>
        </w:rPr>
        <w:t xml:space="preserve">Skarżący nie może domagać się statusu ofiary w sprawie, w której jest uznany za osobę częściowo odpowiedzialną za zarzucane naruszenie </w:t>
      </w:r>
      <w:hyperlink r:id="rId236" w:history="1">
        <w:r>
          <w:rPr>
            <w:lang w:val="pl"/>
          </w:rPr>
          <w:t>(</w:t>
        </w:r>
        <w:r>
          <w:rPr>
            <w:i/>
            <w:iCs/>
            <w:color w:val="0072BC"/>
            <w:lang w:val="pl"/>
          </w:rPr>
          <w:t>Paşa i Erkan Erol p. Turcji</w:t>
        </w:r>
        <w:r>
          <w:rPr>
            <w:lang w:val="pl"/>
          </w:rPr>
          <w:t>)</w:t>
        </w:r>
      </w:hyperlink>
      <w:r>
        <w:rPr>
          <w:lang w:val="pl"/>
        </w:rPr>
        <w:t>.</w:t>
      </w:r>
    </w:p>
    <w:p w:rsidR="00B71A20" w:rsidRPr="000625F6" w:rsidRDefault="000425B4" w:rsidP="00115011">
      <w:pPr>
        <w:pStyle w:val="Teksttreci0"/>
        <w:numPr>
          <w:ilvl w:val="0"/>
          <w:numId w:val="10"/>
        </w:numPr>
        <w:tabs>
          <w:tab w:val="left" w:pos="404"/>
        </w:tabs>
        <w:jc w:val="both"/>
        <w:rPr>
          <w:lang w:val="pl-PL"/>
        </w:rPr>
      </w:pPr>
      <w:r>
        <w:rPr>
          <w:lang w:val="pl"/>
        </w:rPr>
        <w:t xml:space="preserve">Trybunał również podkreślił, że Konwencja nie przewiduje możliwości wniesienia </w:t>
      </w:r>
      <w:r>
        <w:rPr>
          <w:i/>
          <w:iCs/>
          <w:lang w:val="pl"/>
        </w:rPr>
        <w:t>actio popularis</w:t>
      </w:r>
      <w:r>
        <w:rPr>
          <w:lang w:val="pl"/>
        </w:rPr>
        <w:t xml:space="preserve"> w celu dokonania interpretacji określonych w niej praw lub wniesienia skargi indywidualnej na przepis prawa krajowego na wyłącznej podstawie, że skarżący, nie będąc bezpośrednio dotkniętym takim przepisem prawa, uznał, że może on być niezgodny z Konwencją </w:t>
      </w:r>
      <w:hyperlink r:id="rId237" w:history="1">
        <w:r>
          <w:rPr>
            <w:lang w:val="pl"/>
          </w:rPr>
          <w:t>(</w:t>
        </w:r>
        <w:r>
          <w:rPr>
            <w:i/>
            <w:iCs/>
            <w:color w:val="0072BC"/>
            <w:lang w:val="pl"/>
          </w:rPr>
          <w:t xml:space="preserve">Aksu p. Turcji </w:t>
        </w:r>
      </w:hyperlink>
      <w:r>
        <w:rPr>
          <w:lang w:val="pl"/>
        </w:rPr>
        <w:t>[WI], § 50;</w:t>
      </w:r>
      <w:hyperlink r:id="rId238" w:history="1">
        <w:r>
          <w:rPr>
            <w:i/>
            <w:iCs/>
            <w:lang w:val="pl"/>
          </w:rPr>
          <w:t xml:space="preserve"> </w:t>
        </w:r>
        <w:r w:rsidR="00414809">
          <w:rPr>
            <w:i/>
            <w:iCs/>
            <w:color w:val="0072BC"/>
            <w:lang w:val="pl"/>
          </w:rPr>
          <w:t>Burden p. </w:t>
        </w:r>
        <w:r>
          <w:rPr>
            <w:i/>
            <w:iCs/>
            <w:color w:val="0072BC"/>
            <w:lang w:val="pl"/>
          </w:rPr>
          <w:t>Wielkiej Brytanii</w:t>
        </w:r>
      </w:hyperlink>
      <w:r>
        <w:rPr>
          <w:color w:val="0072BC"/>
          <w:lang w:val="pl"/>
        </w:rPr>
        <w:t xml:space="preserve"> </w:t>
      </w:r>
      <w:r>
        <w:rPr>
          <w:lang w:val="pl"/>
        </w:rPr>
        <w:t>[WI], § 33;</w:t>
      </w:r>
      <w:hyperlink r:id="rId239" w:history="1">
        <w:r>
          <w:rPr>
            <w:i/>
            <w:iCs/>
            <w:lang w:val="pl"/>
          </w:rPr>
          <w:t xml:space="preserve"> </w:t>
        </w:r>
        <w:r>
          <w:rPr>
            <w:i/>
            <w:iCs/>
            <w:color w:val="0072BC"/>
            <w:lang w:val="pl"/>
          </w:rPr>
          <w:t xml:space="preserve">Dimitras i Inni p. Grecji </w:t>
        </w:r>
      </w:hyperlink>
      <w:r>
        <w:rPr>
          <w:lang w:val="pl"/>
        </w:rPr>
        <w:t>(dec.), §§ 28-32;</w:t>
      </w:r>
      <w:hyperlink r:id="rId240" w:history="1">
        <w:r>
          <w:rPr>
            <w:i/>
            <w:iCs/>
            <w:lang w:val="pl"/>
          </w:rPr>
          <w:t xml:space="preserve"> </w:t>
        </w:r>
        <w:r>
          <w:rPr>
            <w:i/>
            <w:iCs/>
            <w:color w:val="0072BC"/>
            <w:lang w:val="pl"/>
          </w:rPr>
          <w:t>Cordella i Inni p. Włochom</w:t>
        </w:r>
        <w:r>
          <w:rPr>
            <w:lang w:val="pl"/>
          </w:rPr>
          <w:t>,</w:t>
        </w:r>
      </w:hyperlink>
      <w:r w:rsidR="001347A4">
        <w:rPr>
          <w:lang w:val="pl"/>
        </w:rPr>
        <w:t xml:space="preserve"> § </w:t>
      </w:r>
      <w:r>
        <w:rPr>
          <w:lang w:val="pl"/>
        </w:rPr>
        <w:t xml:space="preserve">100; </w:t>
      </w:r>
      <w:hyperlink r:id="rId241" w:history="1">
        <w:r>
          <w:rPr>
            <w:i/>
            <w:iCs/>
            <w:color w:val="0072BC"/>
            <w:lang w:val="pl"/>
          </w:rPr>
          <w:t xml:space="preserve">Kalfagiannis i Pospert p. Grecji </w:t>
        </w:r>
      </w:hyperlink>
      <w:r>
        <w:rPr>
          <w:lang w:val="pl"/>
        </w:rPr>
        <w:t xml:space="preserve">(dec.), § 46). Przykładowo, mieszkańcy, którzy nie uczestniczyli w postępowaniu krajowym mającym na celu stwierdzenie nieważności decyzji administracyjnych, lub stowarzyszenia, których interesu prawnego nie uznały sądy krajowe, nie mogą twierdzić, że są ofiarami zarzucanego naruszenia prawa do wykonania orzeczeń sądowych na mocy art. 6 ust. 1 </w:t>
      </w:r>
      <w:hyperlink r:id="rId242" w:history="1">
        <w:r>
          <w:rPr>
            <w:lang w:val="pl"/>
          </w:rPr>
          <w:t>(</w:t>
        </w:r>
        <w:r>
          <w:rPr>
            <w:i/>
            <w:iCs/>
            <w:color w:val="0072BC"/>
            <w:lang w:val="pl"/>
          </w:rPr>
          <w:t>Bursa Barosu Başkanliği</w:t>
        </w:r>
      </w:hyperlink>
      <w:r>
        <w:rPr>
          <w:i/>
          <w:iCs/>
          <w:color w:val="0072BC"/>
          <w:lang w:val="pl"/>
        </w:rPr>
        <w:t xml:space="preserve"> </w:t>
      </w:r>
      <w:hyperlink r:id="rId243" w:history="1">
        <w:r>
          <w:rPr>
            <w:i/>
            <w:iCs/>
            <w:color w:val="0072BC"/>
            <w:lang w:val="pl"/>
          </w:rPr>
          <w:t>i Inni p. Turcji</w:t>
        </w:r>
        <w:r>
          <w:rPr>
            <w:lang w:val="pl"/>
          </w:rPr>
          <w:t>,</w:t>
        </w:r>
      </w:hyperlink>
      <w:r>
        <w:rPr>
          <w:lang w:val="pl"/>
        </w:rPr>
        <w:t xml:space="preserve"> §§ 114</w:t>
      </w:r>
      <w:r>
        <w:rPr>
          <w:lang w:val="pl"/>
        </w:rPr>
        <w:noBreakHyphen/>
        <w:t>116, sprawa dotycząca kwestii środowiskowych; por.</w:t>
      </w:r>
      <w:hyperlink r:id="rId244" w:history="1">
        <w:r>
          <w:rPr>
            <w:i/>
            <w:iCs/>
            <w:lang w:val="pl"/>
          </w:rPr>
          <w:t xml:space="preserve"> </w:t>
        </w:r>
        <w:r>
          <w:rPr>
            <w:i/>
            <w:iCs/>
            <w:color w:val="0072BC"/>
            <w:lang w:val="pl"/>
          </w:rPr>
          <w:t>Beizaras i</w:t>
        </w:r>
      </w:hyperlink>
      <w:r w:rsidR="00414809">
        <w:rPr>
          <w:i/>
          <w:iCs/>
          <w:color w:val="0072BC"/>
          <w:lang w:val="pl"/>
        </w:rPr>
        <w:t> </w:t>
      </w:r>
      <w:hyperlink r:id="rId245" w:history="1">
        <w:r>
          <w:rPr>
            <w:i/>
            <w:iCs/>
            <w:color w:val="0072BC"/>
            <w:lang w:val="pl"/>
          </w:rPr>
          <w:t>Levickas p. Litwie</w:t>
        </w:r>
        <w:r>
          <w:rPr>
            <w:lang w:val="pl"/>
          </w:rPr>
          <w:t>,</w:t>
        </w:r>
      </w:hyperlink>
      <w:r>
        <w:rPr>
          <w:lang w:val="pl"/>
        </w:rPr>
        <w:t xml:space="preserve"> § 80). Jeśli skarżący zarzuca naruszenie prawa do poszanowania życia prywatnego i</w:t>
      </w:r>
      <w:r w:rsidR="00414809">
        <w:rPr>
          <w:lang w:val="pl"/>
        </w:rPr>
        <w:t> </w:t>
      </w:r>
      <w:r>
        <w:rPr>
          <w:lang w:val="pl"/>
        </w:rPr>
        <w:t>rodzinnego z powodu ograniczeń ustawowych dotyczących widzeń</w:t>
      </w:r>
      <w:r w:rsidR="00414809">
        <w:rPr>
          <w:lang w:val="pl"/>
        </w:rPr>
        <w:t xml:space="preserve"> z członkami rodziny lub innymi </w:t>
      </w:r>
      <w:r>
        <w:rPr>
          <w:lang w:val="pl"/>
        </w:rPr>
        <w:lastRenderedPageBreak/>
        <w:t xml:space="preserve">osobami, do tego, aby mógł twierdzić, że jest ofiarą zarzucanego naruszenia, powinien wykazać co najmniej, że: a) ma krewnych lub inne osoby, z którymi naprawdę chce i próbuje utrzymywać kontakty, przebywając w zakładzie karnym, oraz b) korzystał z przysługującego mu prawa do widzeń tak często, jak pozwalało na to prawo krajowe </w:t>
      </w:r>
      <w:hyperlink r:id="rId246" w:history="1">
        <w:r>
          <w:rPr>
            <w:lang w:val="pl"/>
          </w:rPr>
          <w:t>(</w:t>
        </w:r>
        <w:r>
          <w:rPr>
            <w:i/>
            <w:iCs/>
            <w:color w:val="0072BC"/>
            <w:lang w:val="pl"/>
          </w:rPr>
          <w:t xml:space="preserve">Chernenko i Inni p. Rosji </w:t>
        </w:r>
      </w:hyperlink>
      <w:r>
        <w:rPr>
          <w:lang w:val="pl"/>
        </w:rPr>
        <w:t xml:space="preserve">(dec.), § 45). W kontekście art. 10 Konwencji sam fakt, że skarżący nie mógł nadal oglądać lub słuchać audycji nadawanych wcześniej przez nadawcę publicznego, którego działalność przerwał rząd, nie jest wystarczający do uznania, że ów skarżący ma status ofiary w odniesieniu do prawa do otrzymywania informacji </w:t>
      </w:r>
      <w:hyperlink r:id="rId247" w:history="1">
        <w:r>
          <w:rPr>
            <w:lang w:val="pl"/>
          </w:rPr>
          <w:t>(</w:t>
        </w:r>
        <w:r>
          <w:rPr>
            <w:i/>
            <w:iCs/>
            <w:color w:val="0072BC"/>
            <w:lang w:val="pl"/>
          </w:rPr>
          <w:t>K</w:t>
        </w:r>
        <w:r w:rsidR="00414809">
          <w:rPr>
            <w:i/>
            <w:iCs/>
            <w:color w:val="0072BC"/>
            <w:lang w:val="pl"/>
          </w:rPr>
          <w:t>alfagiannis i </w:t>
        </w:r>
        <w:r>
          <w:rPr>
            <w:i/>
            <w:iCs/>
            <w:color w:val="0072BC"/>
            <w:lang w:val="pl"/>
          </w:rPr>
          <w:t xml:space="preserve">Pospert p. Grecji </w:t>
        </w:r>
      </w:hyperlink>
      <w:r>
        <w:rPr>
          <w:lang w:val="pl"/>
        </w:rPr>
        <w:t>(dec.), §§ 46-47).</w:t>
      </w:r>
    </w:p>
    <w:p w:rsidR="00B71A20" w:rsidRPr="000625F6" w:rsidRDefault="000425B4" w:rsidP="00115011">
      <w:pPr>
        <w:pStyle w:val="Teksttreci0"/>
        <w:numPr>
          <w:ilvl w:val="0"/>
          <w:numId w:val="10"/>
        </w:numPr>
        <w:tabs>
          <w:tab w:val="left" w:pos="399"/>
        </w:tabs>
        <w:spacing w:after="220"/>
        <w:jc w:val="both"/>
        <w:rPr>
          <w:lang w:val="pl-PL"/>
        </w:rPr>
      </w:pPr>
      <w:bookmarkStart w:id="40" w:name="bookmark39"/>
      <w:r>
        <w:rPr>
          <w:lang w:val="pl"/>
        </w:rPr>
        <w:t xml:space="preserve">Jednak to w gestii danej osoby pozostaje stwierdzenie, czy przepisy naruszają jej prawa w sytuacji braku indywidualnego środka wykonania, gdy odmowa zmiany postępowania niesie za sobą ryzyko wejścia na drogę sądową lub jeżeli osoba ta przynależy do grupy, której członkowie są bezpośrednio narażeni na skutki działania przepisów prawa </w:t>
      </w:r>
      <w:hyperlink r:id="rId248" w:history="1">
        <w:r>
          <w:rPr>
            <w:lang w:val="pl"/>
          </w:rPr>
          <w:t>(</w:t>
        </w:r>
        <w:r>
          <w:rPr>
            <w:i/>
            <w:iCs/>
            <w:color w:val="0072BC"/>
            <w:lang w:val="pl"/>
          </w:rPr>
          <w:t>Tanase p. Mołdawii</w:t>
        </w:r>
        <w:r>
          <w:rPr>
            <w:color w:val="0072BC"/>
            <w:lang w:val="pl"/>
          </w:rPr>
          <w:t xml:space="preserve"> </w:t>
        </w:r>
      </w:hyperlink>
      <w:r>
        <w:rPr>
          <w:lang w:val="pl"/>
        </w:rPr>
        <w:t>[WI], § 104;</w:t>
      </w:r>
      <w:hyperlink r:id="rId249" w:history="1">
        <w:r>
          <w:rPr>
            <w:lang w:val="pl"/>
          </w:rPr>
          <w:t xml:space="preserve"> </w:t>
        </w:r>
        <w:r>
          <w:rPr>
            <w:i/>
            <w:iCs/>
            <w:color w:val="0072BC"/>
            <w:lang w:val="pl"/>
          </w:rPr>
          <w:t>Michaud p. Francji</w:t>
        </w:r>
        <w:r>
          <w:rPr>
            <w:lang w:val="pl"/>
          </w:rPr>
          <w:t>,</w:t>
        </w:r>
      </w:hyperlink>
      <w:r w:rsidR="00414809">
        <w:rPr>
          <w:lang w:val="pl"/>
        </w:rPr>
        <w:t xml:space="preserve"> §§ </w:t>
      </w:r>
      <w:r>
        <w:rPr>
          <w:lang w:val="pl"/>
        </w:rPr>
        <w:t>51-52;</w:t>
      </w:r>
      <w:hyperlink r:id="rId250" w:history="1">
        <w:r>
          <w:rPr>
            <w:lang w:val="pl"/>
          </w:rPr>
          <w:t xml:space="preserve"> </w:t>
        </w:r>
        <w:r>
          <w:rPr>
            <w:i/>
            <w:iCs/>
            <w:color w:val="0072BC"/>
            <w:lang w:val="pl"/>
          </w:rPr>
          <w:t>Sejdić i</w:t>
        </w:r>
      </w:hyperlink>
      <w:r>
        <w:rPr>
          <w:i/>
          <w:iCs/>
          <w:color w:val="0072BC"/>
          <w:lang w:val="pl"/>
        </w:rPr>
        <w:t xml:space="preserve"> </w:t>
      </w:r>
      <w:hyperlink r:id="rId251" w:history="1">
        <w:r>
          <w:rPr>
            <w:i/>
            <w:iCs/>
            <w:color w:val="0072BC"/>
            <w:lang w:val="pl"/>
          </w:rPr>
          <w:t>Finci p. Bośni i Hercegowinie</w:t>
        </w:r>
        <w:r>
          <w:rPr>
            <w:color w:val="0072BC"/>
            <w:lang w:val="pl"/>
          </w:rPr>
          <w:t xml:space="preserve"> </w:t>
        </w:r>
      </w:hyperlink>
      <w:r>
        <w:rPr>
          <w:lang w:val="pl"/>
        </w:rPr>
        <w:t>[WI], § 28).</w:t>
      </w:r>
      <w:bookmarkEnd w:id="40"/>
    </w:p>
    <w:p w:rsidR="00B71A20" w:rsidRDefault="008D530C" w:rsidP="008D530C">
      <w:pPr>
        <w:pStyle w:val="Nagwek41"/>
        <w:keepNext/>
        <w:keepLines/>
        <w:tabs>
          <w:tab w:val="left" w:pos="388"/>
        </w:tabs>
        <w:jc w:val="both"/>
      </w:pPr>
      <w:bookmarkStart w:id="41" w:name="_Toc126335612"/>
      <w:bookmarkStart w:id="42" w:name="_Toc126660566"/>
      <w:r>
        <w:rPr>
          <w:lang w:val="pl"/>
        </w:rPr>
        <w:t xml:space="preserve">e.  </w:t>
      </w:r>
      <w:r w:rsidR="000425B4">
        <w:rPr>
          <w:lang w:val="pl"/>
        </w:rPr>
        <w:t>Utrata statusu ofiary</w:t>
      </w:r>
      <w:bookmarkEnd w:id="41"/>
      <w:bookmarkEnd w:id="42"/>
    </w:p>
    <w:p w:rsidR="00B71A20" w:rsidRPr="000625F6" w:rsidRDefault="000425B4" w:rsidP="00115011">
      <w:pPr>
        <w:pStyle w:val="Teksttreci0"/>
        <w:numPr>
          <w:ilvl w:val="0"/>
          <w:numId w:val="11"/>
        </w:numPr>
        <w:tabs>
          <w:tab w:val="left" w:pos="404"/>
        </w:tabs>
        <w:jc w:val="both"/>
        <w:rPr>
          <w:lang w:val="pl-PL"/>
        </w:rPr>
      </w:pPr>
      <w:r>
        <w:rPr>
          <w:lang w:val="pl"/>
        </w:rPr>
        <w:t xml:space="preserve">To władze krajowe w pierwszej kolejności powinny naprawić zarzucane naruszenie Konwencji. Stąd na wszystkich etapach postępowania przed Trybunałem istotne jest pytanie, czy skarżący może twierdzić, że jest ofiarą zarzuconego naruszenia </w:t>
      </w:r>
      <w:hyperlink r:id="rId252" w:history="1">
        <w:r>
          <w:rPr>
            <w:lang w:val="pl"/>
          </w:rPr>
          <w:t>(</w:t>
        </w:r>
        <w:r>
          <w:rPr>
            <w:i/>
            <w:iCs/>
            <w:color w:val="0072BC"/>
            <w:lang w:val="pl"/>
          </w:rPr>
          <w:t xml:space="preserve">Scordino p. Włochom (nr 1) </w:t>
        </w:r>
      </w:hyperlink>
      <w:r>
        <w:rPr>
          <w:lang w:val="pl"/>
        </w:rPr>
        <w:t>[WI], § 179;</w:t>
      </w:r>
      <w:hyperlink r:id="rId253" w:history="1">
        <w:r>
          <w:rPr>
            <w:i/>
            <w:iCs/>
            <w:lang w:val="pl"/>
          </w:rPr>
          <w:t xml:space="preserve"> </w:t>
        </w:r>
        <w:r>
          <w:rPr>
            <w:i/>
            <w:iCs/>
            <w:color w:val="0072BC"/>
            <w:lang w:val="pl"/>
          </w:rPr>
          <w:t>Rooman p. Belgii</w:t>
        </w:r>
      </w:hyperlink>
      <w:r>
        <w:rPr>
          <w:color w:val="0072BC"/>
          <w:lang w:val="pl"/>
        </w:rPr>
        <w:t xml:space="preserve"> </w:t>
      </w:r>
      <w:r>
        <w:rPr>
          <w:lang w:val="pl"/>
        </w:rPr>
        <w:t>[WI], §§ 128</w:t>
      </w:r>
      <w:r>
        <w:rPr>
          <w:lang w:val="pl"/>
        </w:rPr>
        <w:noBreakHyphen/>
        <w:t xml:space="preserve">133). W tym względzie skarżący musi być w stanie uzasadnić swój status ofiary na każdym etapie postępowania </w:t>
      </w:r>
      <w:hyperlink r:id="rId254" w:history="1">
        <w:r>
          <w:rPr>
            <w:lang w:val="pl"/>
          </w:rPr>
          <w:t>(</w:t>
        </w:r>
        <w:r>
          <w:rPr>
            <w:i/>
            <w:iCs/>
            <w:color w:val="0072BC"/>
            <w:lang w:val="pl"/>
          </w:rPr>
          <w:t>Burdov p. Rosji</w:t>
        </w:r>
        <w:r>
          <w:rPr>
            <w:lang w:val="pl"/>
          </w:rPr>
          <w:t>,</w:t>
        </w:r>
      </w:hyperlink>
      <w:r>
        <w:rPr>
          <w:lang w:val="pl"/>
        </w:rPr>
        <w:t xml:space="preserve"> § 30;</w:t>
      </w:r>
      <w:hyperlink r:id="rId255" w:history="1">
        <w:r>
          <w:rPr>
            <w:lang w:val="pl"/>
          </w:rPr>
          <w:t xml:space="preserve"> </w:t>
        </w:r>
        <w:r>
          <w:rPr>
            <w:i/>
            <w:iCs/>
            <w:color w:val="0072BC"/>
            <w:lang w:val="pl"/>
          </w:rPr>
          <w:t>Centro Europa 7 S.r.l. i Di Stefano p. Włochom</w:t>
        </w:r>
      </w:hyperlink>
      <w:r>
        <w:rPr>
          <w:color w:val="0072BC"/>
          <w:lang w:val="pl"/>
        </w:rPr>
        <w:t xml:space="preserve"> </w:t>
      </w:r>
      <w:r>
        <w:rPr>
          <w:lang w:val="pl"/>
        </w:rPr>
        <w:t>[WI], § 80).</w:t>
      </w:r>
    </w:p>
    <w:p w:rsidR="00B71A20" w:rsidRPr="000625F6" w:rsidRDefault="000425B4" w:rsidP="00115011">
      <w:pPr>
        <w:pStyle w:val="Teksttreci0"/>
        <w:numPr>
          <w:ilvl w:val="0"/>
          <w:numId w:val="11"/>
        </w:numPr>
        <w:tabs>
          <w:tab w:val="left" w:pos="399"/>
        </w:tabs>
        <w:jc w:val="both"/>
        <w:rPr>
          <w:lang w:val="pl-PL"/>
        </w:rPr>
      </w:pPr>
      <w:r>
        <w:rPr>
          <w:lang w:val="pl"/>
        </w:rPr>
        <w:t xml:space="preserve">Możliwość twierdzenia przez osobę, że nadal jest ofiarą zarzucanego naruszenia Konwencji, zasadniczo wymaga od Trybunału dokonania badania </w:t>
      </w:r>
      <w:r>
        <w:rPr>
          <w:i/>
          <w:iCs/>
          <w:lang w:val="pl"/>
        </w:rPr>
        <w:t xml:space="preserve">ex post facto </w:t>
      </w:r>
      <w:r>
        <w:rPr>
          <w:lang w:val="pl"/>
        </w:rPr>
        <w:t xml:space="preserve">jej sytuacji </w:t>
      </w:r>
      <w:hyperlink r:id="rId256" w:history="1">
        <w:r>
          <w:rPr>
            <w:lang w:val="pl"/>
          </w:rPr>
          <w:t>(</w:t>
        </w:r>
        <w:r>
          <w:rPr>
            <w:i/>
            <w:iCs/>
            <w:color w:val="0072BC"/>
            <w:lang w:val="pl"/>
          </w:rPr>
          <w:t>ibid.</w:t>
        </w:r>
        <w:r>
          <w:rPr>
            <w:lang w:val="pl"/>
          </w:rPr>
          <w:t>,</w:t>
        </w:r>
      </w:hyperlink>
      <w:r>
        <w:rPr>
          <w:lang w:val="pl"/>
        </w:rPr>
        <w:t xml:space="preserve"> § 82).</w:t>
      </w:r>
    </w:p>
    <w:p w:rsidR="00B71A20" w:rsidRPr="000625F6" w:rsidRDefault="000425B4" w:rsidP="00115011">
      <w:pPr>
        <w:pStyle w:val="Teksttreci0"/>
        <w:numPr>
          <w:ilvl w:val="0"/>
          <w:numId w:val="11"/>
        </w:numPr>
        <w:tabs>
          <w:tab w:val="left" w:pos="404"/>
        </w:tabs>
        <w:jc w:val="both"/>
        <w:rPr>
          <w:lang w:val="pl-PL"/>
        </w:rPr>
      </w:pPr>
      <w:r>
        <w:rPr>
          <w:lang w:val="pl"/>
        </w:rPr>
        <w:t xml:space="preserve">Decyzja lub środek korzystny dla skarżącego nie wystarcza, co do zasady, by pozbawić go statusu „ofiary” w myśl art. 34 Konwencji, chyba że władze krajowe stwierdziły w sposób wyraźny lub co do istoty naruszenie Konwencji, a następnie je naprawiły </w:t>
      </w:r>
      <w:hyperlink r:id="rId257" w:history="1">
        <w:r>
          <w:rPr>
            <w:lang w:val="pl"/>
          </w:rPr>
          <w:t>(</w:t>
        </w:r>
        <w:r>
          <w:rPr>
            <w:i/>
            <w:iCs/>
            <w:color w:val="0072BC"/>
            <w:lang w:val="pl"/>
          </w:rPr>
          <w:t xml:space="preserve">Scordino p. Włochom (nr 1) </w:t>
        </w:r>
      </w:hyperlink>
      <w:r>
        <w:rPr>
          <w:lang w:val="pl"/>
        </w:rPr>
        <w:t>[WI], § 180;</w:t>
      </w:r>
      <w:hyperlink r:id="rId258" w:history="1">
        <w:r>
          <w:rPr>
            <w:lang w:val="pl"/>
          </w:rPr>
          <w:t xml:space="preserve"> </w:t>
        </w:r>
        <w:r>
          <w:rPr>
            <w:i/>
            <w:iCs/>
            <w:color w:val="0072BC"/>
            <w:lang w:val="pl"/>
          </w:rPr>
          <w:t xml:space="preserve">Gäfgen p. Niemcom </w:t>
        </w:r>
      </w:hyperlink>
      <w:r>
        <w:rPr>
          <w:lang w:val="pl"/>
        </w:rPr>
        <w:t>[WI], § 115;</w:t>
      </w:r>
      <w:hyperlink r:id="rId259" w:history="1">
        <w:r>
          <w:rPr>
            <w:lang w:val="pl"/>
          </w:rPr>
          <w:t xml:space="preserve"> </w:t>
        </w:r>
        <w:r>
          <w:rPr>
            <w:i/>
            <w:iCs/>
            <w:color w:val="0072BC"/>
            <w:lang w:val="pl"/>
          </w:rPr>
          <w:t xml:space="preserve">Nada p. Szwajcarii </w:t>
        </w:r>
      </w:hyperlink>
      <w:r>
        <w:rPr>
          <w:lang w:val="pl"/>
        </w:rPr>
        <w:t>[WI], § 128;</w:t>
      </w:r>
      <w:hyperlink r:id="rId260" w:history="1">
        <w:r>
          <w:rPr>
            <w:lang w:val="pl"/>
          </w:rPr>
          <w:t xml:space="preserve"> </w:t>
        </w:r>
        <w:r>
          <w:rPr>
            <w:i/>
            <w:iCs/>
            <w:color w:val="0072BC"/>
            <w:lang w:val="pl"/>
          </w:rPr>
          <w:t>Blyudik p. Rosji</w:t>
        </w:r>
        <w:r>
          <w:rPr>
            <w:lang w:val="pl"/>
          </w:rPr>
          <w:t>,</w:t>
        </w:r>
      </w:hyperlink>
      <w:r>
        <w:rPr>
          <w:lang w:val="pl"/>
        </w:rPr>
        <w:t xml:space="preserve"> §§ 49</w:t>
      </w:r>
      <w:r>
        <w:rPr>
          <w:lang w:val="pl"/>
        </w:rPr>
        <w:noBreakHyphen/>
        <w:t>50;</w:t>
      </w:r>
      <w:hyperlink r:id="rId261" w:history="1">
        <w:r>
          <w:rPr>
            <w:lang w:val="pl"/>
          </w:rPr>
          <w:t xml:space="preserve"> </w:t>
        </w:r>
        <w:r>
          <w:rPr>
            <w:i/>
            <w:iCs/>
            <w:color w:val="0072BC"/>
            <w:lang w:val="pl"/>
          </w:rPr>
          <w:t>Dimo Dimov i Inni</w:t>
        </w:r>
      </w:hyperlink>
      <w:r>
        <w:rPr>
          <w:i/>
          <w:iCs/>
          <w:color w:val="0072BC"/>
          <w:lang w:val="pl"/>
        </w:rPr>
        <w:t xml:space="preserve"> </w:t>
      </w:r>
      <w:hyperlink r:id="rId262" w:history="1">
        <w:r>
          <w:rPr>
            <w:i/>
            <w:iCs/>
            <w:color w:val="0072BC"/>
            <w:lang w:val="pl"/>
          </w:rPr>
          <w:t>p. Bułgarii</w:t>
        </w:r>
        <w:r>
          <w:rPr>
            <w:lang w:val="pl"/>
          </w:rPr>
          <w:t xml:space="preserve">, </w:t>
        </w:r>
      </w:hyperlink>
      <w:r>
        <w:rPr>
          <w:lang w:val="pl"/>
        </w:rPr>
        <w:t>§§ 51-56;</w:t>
      </w:r>
      <w:hyperlink r:id="rId263" w:history="1">
        <w:r>
          <w:rPr>
            <w:lang w:val="pl"/>
          </w:rPr>
          <w:t xml:space="preserve"> </w:t>
        </w:r>
        <w:r>
          <w:rPr>
            <w:i/>
            <w:iCs/>
            <w:color w:val="0072BC"/>
            <w:lang w:val="pl"/>
          </w:rPr>
          <w:t>Roth p. Niemcom</w:t>
        </w:r>
        <w:r>
          <w:rPr>
            <w:lang w:val="pl"/>
          </w:rPr>
          <w:t>,</w:t>
        </w:r>
      </w:hyperlink>
      <w:r>
        <w:rPr>
          <w:lang w:val="pl"/>
        </w:rPr>
        <w:t xml:space="preserve"> §§ 75-81). Jedynie wówczas, gdy warunki te zostaną spełnione, subsydiarny charakter mechanizmu ochronnego Konwencji wyklucza zbadanie skargi </w:t>
      </w:r>
      <w:hyperlink r:id="rId264" w:history="1">
        <w:r>
          <w:rPr>
            <w:lang w:val="pl"/>
          </w:rPr>
          <w:t>(</w:t>
        </w:r>
        <w:r w:rsidR="00414809">
          <w:rPr>
            <w:i/>
            <w:iCs/>
            <w:color w:val="0072BC"/>
            <w:lang w:val="pl"/>
          </w:rPr>
          <w:t>Jensen i </w:t>
        </w:r>
        <w:r>
          <w:rPr>
            <w:i/>
            <w:iCs/>
            <w:color w:val="0072BC"/>
            <w:lang w:val="pl"/>
          </w:rPr>
          <w:t xml:space="preserve">Rasmussen p. Danii </w:t>
        </w:r>
      </w:hyperlink>
      <w:r>
        <w:rPr>
          <w:lang w:val="pl"/>
        </w:rPr>
        <w:t>(dec.);</w:t>
      </w:r>
      <w:hyperlink r:id="rId265" w:history="1">
        <w:r>
          <w:rPr>
            <w:lang w:val="pl"/>
          </w:rPr>
          <w:t xml:space="preserve"> </w:t>
        </w:r>
        <w:r>
          <w:rPr>
            <w:i/>
            <w:iCs/>
            <w:color w:val="0072BC"/>
            <w:lang w:val="pl"/>
          </w:rPr>
          <w:t>Albayrak p. Turcji</w:t>
        </w:r>
        <w:r>
          <w:rPr>
            <w:lang w:val="pl"/>
          </w:rPr>
          <w:t>,</w:t>
        </w:r>
      </w:hyperlink>
      <w:r>
        <w:rPr>
          <w:lang w:val="pl"/>
        </w:rPr>
        <w:t xml:space="preserve"> § 32;</w:t>
      </w:r>
      <w:hyperlink r:id="rId266" w:history="1">
        <w:r>
          <w:rPr>
            <w:lang w:val="pl"/>
          </w:rPr>
          <w:t xml:space="preserve"> </w:t>
        </w:r>
        <w:r>
          <w:rPr>
            <w:i/>
            <w:iCs/>
            <w:color w:val="0072BC"/>
            <w:lang w:val="pl"/>
          </w:rPr>
          <w:t>Selahattin Demirtaş</w:t>
        </w:r>
      </w:hyperlink>
      <w:r>
        <w:rPr>
          <w:i/>
          <w:iCs/>
          <w:color w:val="0072BC"/>
          <w:lang w:val="pl"/>
        </w:rPr>
        <w:t xml:space="preserve"> </w:t>
      </w:r>
      <w:hyperlink r:id="rId267" w:history="1">
        <w:r>
          <w:rPr>
            <w:i/>
            <w:iCs/>
            <w:color w:val="0072BC"/>
            <w:lang w:val="pl"/>
          </w:rPr>
          <w:t xml:space="preserve">p. Turcji (nr 2) </w:t>
        </w:r>
      </w:hyperlink>
      <w:r>
        <w:rPr>
          <w:lang w:val="pl"/>
        </w:rPr>
        <w:t>[WI], §§ 217-223).</w:t>
      </w:r>
    </w:p>
    <w:p w:rsidR="00B71A20" w:rsidRDefault="000425B4" w:rsidP="00115011">
      <w:pPr>
        <w:pStyle w:val="Teksttreci0"/>
        <w:numPr>
          <w:ilvl w:val="0"/>
          <w:numId w:val="11"/>
        </w:numPr>
        <w:tabs>
          <w:tab w:val="left" w:pos="399"/>
        </w:tabs>
        <w:jc w:val="both"/>
      </w:pPr>
      <w:r>
        <w:rPr>
          <w:lang w:val="pl"/>
        </w:rPr>
        <w:t xml:space="preserve">Skarżący pozostałby ofiarą, jeżeli władze nie uznałyby w sposób wyraźny lub co do istoty, że nastąpiło naruszenie praw skarżącego </w:t>
      </w:r>
      <w:hyperlink r:id="rId268" w:history="1">
        <w:r>
          <w:rPr>
            <w:lang w:val="pl"/>
          </w:rPr>
          <w:t>(</w:t>
        </w:r>
        <w:r>
          <w:rPr>
            <w:i/>
            <w:iCs/>
            <w:color w:val="0072BC"/>
            <w:lang w:val="pl"/>
          </w:rPr>
          <w:t>Albayrak p. Turcji</w:t>
        </w:r>
        <w:r>
          <w:rPr>
            <w:lang w:val="pl"/>
          </w:rPr>
          <w:t>,</w:t>
        </w:r>
      </w:hyperlink>
      <w:r>
        <w:rPr>
          <w:lang w:val="pl"/>
        </w:rPr>
        <w:t xml:space="preserve"> § 33;</w:t>
      </w:r>
      <w:hyperlink r:id="rId269" w:history="1">
        <w:r>
          <w:rPr>
            <w:i/>
            <w:iCs/>
            <w:lang w:val="pl"/>
          </w:rPr>
          <w:t xml:space="preserve"> </w:t>
        </w:r>
        <w:r>
          <w:rPr>
            <w:i/>
            <w:iCs/>
            <w:color w:val="0072BC"/>
            <w:lang w:val="pl"/>
          </w:rPr>
          <w:t xml:space="preserve">Jensen p. Danii </w:t>
        </w:r>
      </w:hyperlink>
      <w:r>
        <w:rPr>
          <w:lang w:val="pl"/>
        </w:rPr>
        <w:t xml:space="preserve">(dec.)), nawet gdyby otrzymał odszkodowanie </w:t>
      </w:r>
      <w:hyperlink r:id="rId270" w:history="1">
        <w:r>
          <w:rPr>
            <w:lang w:val="pl"/>
          </w:rPr>
          <w:t>(</w:t>
        </w:r>
        <w:r>
          <w:rPr>
            <w:i/>
            <w:iCs/>
            <w:color w:val="0072BC"/>
            <w:lang w:val="pl"/>
          </w:rPr>
          <w:t>Centro Europa 7 S.r.l.</w:t>
        </w:r>
      </w:hyperlink>
      <w:r>
        <w:rPr>
          <w:i/>
          <w:iCs/>
          <w:color w:val="0072BC"/>
          <w:lang w:val="pl"/>
        </w:rPr>
        <w:t xml:space="preserve"> </w:t>
      </w:r>
      <w:hyperlink r:id="rId271" w:history="1">
        <w:r>
          <w:rPr>
            <w:i/>
            <w:iCs/>
            <w:color w:val="0072BC"/>
            <w:lang w:val="pl"/>
          </w:rPr>
          <w:t xml:space="preserve">i Di Stefano p. Włochom </w:t>
        </w:r>
      </w:hyperlink>
      <w:r>
        <w:rPr>
          <w:lang w:val="pl"/>
        </w:rPr>
        <w:t>[WI], § 88).</w:t>
      </w:r>
    </w:p>
    <w:p w:rsidR="00B71A20" w:rsidRPr="000625F6" w:rsidRDefault="000425B4" w:rsidP="00115011">
      <w:pPr>
        <w:pStyle w:val="Teksttreci0"/>
        <w:numPr>
          <w:ilvl w:val="0"/>
          <w:numId w:val="11"/>
        </w:numPr>
        <w:tabs>
          <w:tab w:val="left" w:pos="399"/>
        </w:tabs>
        <w:jc w:val="both"/>
        <w:rPr>
          <w:lang w:val="pl-PL"/>
        </w:rPr>
      </w:pPr>
      <w:r>
        <w:rPr>
          <w:lang w:val="pl"/>
        </w:rPr>
        <w:t xml:space="preserve">Ponadto naprawa musi być adekwatna i wystarczająca. To zależy od wszystkich okoliczności sprawy, szczególnie od charakteru zarzucanego naruszenia Konwencji w danej sprawie </w:t>
      </w:r>
      <w:hyperlink r:id="rId272" w:history="1">
        <w:r>
          <w:rPr>
            <w:lang w:val="pl"/>
          </w:rPr>
          <w:t>(</w:t>
        </w:r>
        <w:r w:rsidR="00414809">
          <w:rPr>
            <w:i/>
            <w:iCs/>
            <w:color w:val="0072BC"/>
            <w:lang w:val="pl"/>
          </w:rPr>
          <w:t>Gäfgen p. </w:t>
        </w:r>
        <w:r>
          <w:rPr>
            <w:i/>
            <w:iCs/>
            <w:color w:val="0072BC"/>
            <w:lang w:val="pl"/>
          </w:rPr>
          <w:t xml:space="preserve">Niemcom </w:t>
        </w:r>
      </w:hyperlink>
      <w:r>
        <w:rPr>
          <w:lang w:val="pl"/>
        </w:rPr>
        <w:t>[WI], § 116;</w:t>
      </w:r>
      <w:hyperlink r:id="rId273" w:history="1">
        <w:r>
          <w:rPr>
            <w:i/>
            <w:iCs/>
            <w:lang w:val="pl"/>
          </w:rPr>
          <w:t xml:space="preserve"> </w:t>
        </w:r>
        <w:r>
          <w:rPr>
            <w:i/>
            <w:iCs/>
            <w:color w:val="0072BC"/>
            <w:lang w:val="pl"/>
          </w:rPr>
          <w:t>Bivolaru p. Rumunii (nr 2)</w:t>
        </w:r>
        <w:r>
          <w:rPr>
            <w:lang w:val="pl"/>
          </w:rPr>
          <w:t>,</w:t>
        </w:r>
      </w:hyperlink>
      <w:r>
        <w:rPr>
          <w:lang w:val="pl"/>
        </w:rPr>
        <w:t xml:space="preserve"> § 170).</w:t>
      </w:r>
    </w:p>
    <w:p w:rsidR="00B71A20" w:rsidRPr="000625F6" w:rsidRDefault="000425B4" w:rsidP="00115011">
      <w:pPr>
        <w:pStyle w:val="Teksttreci0"/>
        <w:numPr>
          <w:ilvl w:val="0"/>
          <w:numId w:val="11"/>
        </w:numPr>
        <w:tabs>
          <w:tab w:val="left" w:pos="399"/>
        </w:tabs>
        <w:jc w:val="both"/>
        <w:rPr>
          <w:lang w:val="pl-PL"/>
        </w:rPr>
      </w:pPr>
      <w:r>
        <w:rPr>
          <w:lang w:val="pl"/>
        </w:rPr>
        <w:t>Na przykład w sprawach dotyczących umyślnego złego traktowania przez funkcjonariuszy państwowych wbrew postanowieniom art. 3, Trybunał wielokrotnie uznawał, że do przyznania wystarczającego środka naprawczego muszą być spełnione dwa warunki. Po pierwsze, władze państwowe muszą przeprowadzić dokładne i skuteczne postępowanie przygotowawcze umożliwiające doprowadzenie do wskazania i ukarania osób odpowiedzialnych. P</w:t>
      </w:r>
      <w:r w:rsidR="00414809">
        <w:rPr>
          <w:lang w:val="pl"/>
        </w:rPr>
        <w:t>o drugie, skarżący musi w </w:t>
      </w:r>
      <w:r>
        <w:rPr>
          <w:lang w:val="pl"/>
        </w:rPr>
        <w:t>stosownych przypadkach uzyskać odszkodowanie albo co n</w:t>
      </w:r>
      <w:r w:rsidR="00414809">
        <w:rPr>
          <w:lang w:val="pl"/>
        </w:rPr>
        <w:t>ajmniej możliwość dochodzenia i </w:t>
      </w:r>
      <w:r>
        <w:rPr>
          <w:lang w:val="pl"/>
        </w:rPr>
        <w:t xml:space="preserve">uzyskania odszkodowania za szkodę doznaną przez skarżącego w wyniku złego traktowania </w:t>
      </w:r>
      <w:hyperlink r:id="rId274" w:history="1">
        <w:r>
          <w:rPr>
            <w:lang w:val="pl"/>
          </w:rPr>
          <w:t>(</w:t>
        </w:r>
        <w:r>
          <w:rPr>
            <w:i/>
            <w:iCs/>
            <w:color w:val="0072BC"/>
            <w:lang w:val="pl"/>
          </w:rPr>
          <w:t>Gäfgen</w:t>
        </w:r>
      </w:hyperlink>
      <w:r>
        <w:rPr>
          <w:i/>
          <w:iCs/>
          <w:color w:val="0072BC"/>
          <w:lang w:val="pl"/>
        </w:rPr>
        <w:t xml:space="preserve"> </w:t>
      </w:r>
      <w:hyperlink r:id="rId275" w:history="1">
        <w:r>
          <w:rPr>
            <w:i/>
            <w:iCs/>
            <w:color w:val="0072BC"/>
            <w:lang w:val="pl"/>
          </w:rPr>
          <w:t xml:space="preserve">p. Niemcom </w:t>
        </w:r>
      </w:hyperlink>
      <w:r>
        <w:rPr>
          <w:lang w:val="pl"/>
        </w:rPr>
        <w:t>[WI], §§ 116-118).</w:t>
      </w:r>
    </w:p>
    <w:p w:rsidR="00B71A20" w:rsidRPr="000625F6" w:rsidRDefault="000425B4" w:rsidP="00115011">
      <w:pPr>
        <w:pStyle w:val="Teksttreci0"/>
        <w:numPr>
          <w:ilvl w:val="0"/>
          <w:numId w:val="11"/>
        </w:numPr>
        <w:tabs>
          <w:tab w:val="left" w:pos="399"/>
        </w:tabs>
        <w:jc w:val="both"/>
        <w:rPr>
          <w:lang w:val="pl-PL"/>
        </w:rPr>
      </w:pPr>
      <w:r>
        <w:rPr>
          <w:lang w:val="pl"/>
        </w:rPr>
        <w:t xml:space="preserve">W sprawach dotyczących umyślnego złego traktowania przez funkcjonariuszy państwowych naruszenia art. 3 nie można naprawić wyłącznie w drodze odszkodowania dla ofiary </w:t>
      </w:r>
      <w:hyperlink r:id="rId276" w:history="1">
        <w:r>
          <w:rPr>
            <w:lang w:val="pl"/>
          </w:rPr>
          <w:t>(</w:t>
        </w:r>
        <w:r>
          <w:rPr>
            <w:i/>
            <w:iCs/>
            <w:color w:val="0072BC"/>
            <w:lang w:val="pl"/>
          </w:rPr>
          <w:t>ibid</w:t>
        </w:r>
        <w:r>
          <w:rPr>
            <w:color w:val="0072BC"/>
            <w:lang w:val="pl"/>
          </w:rPr>
          <w:t>.</w:t>
        </w:r>
        <w:r>
          <w:rPr>
            <w:lang w:val="pl"/>
          </w:rPr>
          <w:t xml:space="preserve">, </w:t>
        </w:r>
      </w:hyperlink>
      <w:r>
        <w:rPr>
          <w:lang w:val="pl"/>
        </w:rPr>
        <w:t>§ 119;</w:t>
      </w:r>
      <w:hyperlink r:id="rId277" w:history="1">
        <w:r>
          <w:rPr>
            <w:i/>
            <w:iCs/>
            <w:lang w:val="pl"/>
          </w:rPr>
          <w:t xml:space="preserve"> </w:t>
        </w:r>
        <w:r>
          <w:rPr>
            <w:i/>
            <w:iCs/>
            <w:color w:val="0072BC"/>
            <w:lang w:val="pl"/>
          </w:rPr>
          <w:t>Shmorgunov i Inni p. Ukrainie</w:t>
        </w:r>
        <w:r>
          <w:rPr>
            <w:lang w:val="pl"/>
          </w:rPr>
          <w:t xml:space="preserve">, </w:t>
        </w:r>
      </w:hyperlink>
      <w:r>
        <w:rPr>
          <w:lang w:val="pl"/>
        </w:rPr>
        <w:t xml:space="preserve">§§ 397-401). Te zasady mają zastosowanie nie tylko do spraw dotyczących złego traktowania przez funkcjonariuszy państwowych, ale także do tych dotyczących </w:t>
      </w:r>
      <w:r>
        <w:rPr>
          <w:lang w:val="pl"/>
        </w:rPr>
        <w:lastRenderedPageBreak/>
        <w:t xml:space="preserve">złego traktowania przez osoby prywatne </w:t>
      </w:r>
      <w:hyperlink r:id="rId278" w:history="1">
        <w:r>
          <w:rPr>
            <w:lang w:val="pl"/>
          </w:rPr>
          <w:t>(</w:t>
        </w:r>
        <w:r>
          <w:rPr>
            <w:i/>
            <w:iCs/>
            <w:color w:val="0072BC"/>
            <w:lang w:val="pl"/>
          </w:rPr>
          <w:t>Beganović p. Chorwacji</w:t>
        </w:r>
        <w:r>
          <w:rPr>
            <w:lang w:val="pl"/>
          </w:rPr>
          <w:t>,</w:t>
        </w:r>
      </w:hyperlink>
      <w:r>
        <w:rPr>
          <w:lang w:val="pl"/>
        </w:rPr>
        <w:t xml:space="preserve"> § 56;</w:t>
      </w:r>
      <w:hyperlink r:id="rId279" w:history="1">
        <w:r>
          <w:rPr>
            <w:i/>
            <w:iCs/>
            <w:lang w:val="pl"/>
          </w:rPr>
          <w:t xml:space="preserve"> </w:t>
        </w:r>
        <w:r>
          <w:rPr>
            <w:i/>
            <w:iCs/>
            <w:color w:val="0072BC"/>
            <w:lang w:val="pl"/>
          </w:rPr>
          <w:t>Škorjanec p. Chorwacji</w:t>
        </w:r>
        <w:r>
          <w:rPr>
            <w:lang w:val="pl"/>
          </w:rPr>
          <w:t>,</w:t>
        </w:r>
      </w:hyperlink>
      <w:r>
        <w:rPr>
          <w:lang w:val="pl"/>
        </w:rPr>
        <w:t xml:space="preserve"> § 47). W szczególności w sprawach dotyczących przemocy domowej lub przemocy ze względu na płeć uznanie, że doszło do przemocy, może oznaczać potrzebę gruntownego zbadania reakcji organów ścigania i ich bezczynności, być może motywowanej dyskryminacją ze względu na płeć, wobec zarzutów stawianych przez ofiarę </w:t>
      </w:r>
      <w:hyperlink r:id="rId280" w:history="1">
        <w:r>
          <w:rPr>
            <w:lang w:val="pl"/>
          </w:rPr>
          <w:t>(</w:t>
        </w:r>
        <w:r>
          <w:rPr>
            <w:i/>
            <w:iCs/>
            <w:color w:val="0072BC"/>
            <w:lang w:val="pl"/>
          </w:rPr>
          <w:t>A. i B. p. Gruzji</w:t>
        </w:r>
        <w:r>
          <w:rPr>
            <w:lang w:val="pl"/>
          </w:rPr>
          <w:t>,</w:t>
        </w:r>
      </w:hyperlink>
      <w:r>
        <w:rPr>
          <w:lang w:val="pl"/>
        </w:rPr>
        <w:t xml:space="preserve"> § 44).</w:t>
      </w:r>
    </w:p>
    <w:p w:rsidR="00B71A20" w:rsidRPr="000625F6" w:rsidRDefault="000425B4" w:rsidP="00115011">
      <w:pPr>
        <w:pStyle w:val="Teksttreci0"/>
        <w:numPr>
          <w:ilvl w:val="0"/>
          <w:numId w:val="11"/>
        </w:numPr>
        <w:tabs>
          <w:tab w:val="left" w:pos="404"/>
        </w:tabs>
        <w:jc w:val="both"/>
        <w:rPr>
          <w:lang w:val="pl-PL"/>
        </w:rPr>
      </w:pPr>
      <w:r>
        <w:rPr>
          <w:lang w:val="pl"/>
        </w:rPr>
        <w:t>Gdy sądy krajowe przyznają adekwatny i wystarczający środek naprawczy z tytułu zarzucanego naruszenia art. 3 (warunki pozbawienia wolności) skarżącym, którzy już przebywają na wolności, tacy skarżący tracą status ofiar. Dzieje się tak np. wtedy, gdy władze krajowe przyznały odszkodowanie za złe warunki pozbawienia wolności, w jakich przebywali skarż</w:t>
      </w:r>
      <w:r w:rsidR="00414809">
        <w:rPr>
          <w:lang w:val="pl"/>
        </w:rPr>
        <w:t>ący, polegające na określonym i </w:t>
      </w:r>
      <w:r>
        <w:rPr>
          <w:lang w:val="pl"/>
        </w:rPr>
        <w:t xml:space="preserve">wymiernym skróceniu zasądzonej im kary prowadzącym do ich przedterminowego zwolnienia </w:t>
      </w:r>
      <w:hyperlink r:id="rId281" w:history="1">
        <w:r>
          <w:rPr>
            <w:lang w:val="pl"/>
          </w:rPr>
          <w:t>(</w:t>
        </w:r>
        <w:r>
          <w:rPr>
            <w:i/>
            <w:iCs/>
            <w:color w:val="0072BC"/>
            <w:lang w:val="pl"/>
          </w:rPr>
          <w:t xml:space="preserve">Dîrjan i Ștefan p. Rumunii </w:t>
        </w:r>
      </w:hyperlink>
      <w:r>
        <w:rPr>
          <w:lang w:val="pl"/>
        </w:rPr>
        <w:t>(dec.), §§ 23-34).</w:t>
      </w:r>
    </w:p>
    <w:p w:rsidR="00B71A20" w:rsidRPr="000625F6" w:rsidRDefault="000425B4">
      <w:pPr>
        <w:pStyle w:val="Teksttreci0"/>
        <w:jc w:val="both"/>
        <w:rPr>
          <w:lang w:val="pl-PL"/>
        </w:rPr>
      </w:pPr>
      <w:r>
        <w:rPr>
          <w:lang w:val="pl"/>
        </w:rPr>
        <w:t xml:space="preserve">Jeśli jednak sądy krajowe przyznają odszkodowanie osobom wciąż pozbawionym wolności, takie odszkodowanie nie umożliwia tym osobom uzyskania bezpośredniego i adekwatnego środka naprawczego z tytułu naruszenia ich praw na mocy art. 3, tj. przerwania wykonywania kary pozbawienia wolności lub poprawy warunków jej odbywania </w:t>
      </w:r>
      <w:hyperlink r:id="rId282" w:history="1">
        <w:r>
          <w:rPr>
            <w:lang w:val="pl"/>
          </w:rPr>
          <w:t>(</w:t>
        </w:r>
        <w:r>
          <w:rPr>
            <w:i/>
            <w:iCs/>
            <w:color w:val="0072BC"/>
            <w:lang w:val="pl"/>
          </w:rPr>
          <w:t>J.M.B. i Inni p. Francji</w:t>
        </w:r>
        <w:r>
          <w:rPr>
            <w:lang w:val="pl"/>
          </w:rPr>
          <w:t>,</w:t>
        </w:r>
      </w:hyperlink>
      <w:r>
        <w:rPr>
          <w:lang w:val="pl"/>
        </w:rPr>
        <w:t xml:space="preserve"> §§ 167-169).</w:t>
      </w:r>
    </w:p>
    <w:p w:rsidR="00B71A20" w:rsidRPr="008D530C" w:rsidRDefault="000425B4" w:rsidP="00115011">
      <w:pPr>
        <w:pStyle w:val="Teksttreci0"/>
        <w:numPr>
          <w:ilvl w:val="0"/>
          <w:numId w:val="11"/>
        </w:numPr>
        <w:tabs>
          <w:tab w:val="left" w:pos="404"/>
          <w:tab w:val="left" w:pos="898"/>
          <w:tab w:val="left" w:pos="5088"/>
        </w:tabs>
        <w:spacing w:before="120" w:after="120"/>
        <w:jc w:val="both"/>
        <w:rPr>
          <w:lang w:val="pl-PL"/>
        </w:rPr>
      </w:pPr>
      <w:r w:rsidRPr="008D530C">
        <w:rPr>
          <w:lang w:val="pl"/>
        </w:rPr>
        <w:t xml:space="preserve">Jeśli naruszenie art. 5 ust. 1 zostało wyraźnie potwierdzone na szczeblu krajowym, co umożliwiło skarżącemu dochodzenie odszkodowania w toku odrębnych postępowań oraz uzyskanie odpowiedniej kwoty odszkodowania, można było w uzasadniony sposób oczekiwać, że skarżący zwróci się do sądów krajowych o uzyskanie odszkodowania zamiast zwracać się do Trybunału o potwierdzenie uznanej już bezprawności pozbawienia go wolności </w:t>
      </w:r>
      <w:hyperlink r:id="rId283" w:history="1">
        <w:r w:rsidRPr="008D530C">
          <w:rPr>
            <w:lang w:val="pl"/>
          </w:rPr>
          <w:t>(</w:t>
        </w:r>
        <w:r w:rsidRPr="008D530C">
          <w:rPr>
            <w:i/>
            <w:iCs/>
            <w:color w:val="0072BC"/>
            <w:lang w:val="pl"/>
          </w:rPr>
          <w:t xml:space="preserve">Al Husin p. Bośni i Hercegowinie </w:t>
        </w:r>
      </w:hyperlink>
      <w:r w:rsidRPr="008D530C">
        <w:rPr>
          <w:i/>
          <w:iCs/>
          <w:lang w:val="pl"/>
        </w:rPr>
        <w:t>(nr 2)</w:t>
      </w:r>
      <w:r w:rsidRPr="008D530C">
        <w:rPr>
          <w:lang w:val="pl"/>
        </w:rPr>
        <w:t>, §§ 89</w:t>
      </w:r>
      <w:r w:rsidRPr="008D530C">
        <w:rPr>
          <w:lang w:val="pl"/>
        </w:rPr>
        <w:noBreakHyphen/>
        <w:t>90; w odniesieniu do potwierdzenia bezprawności pozbawienia wolności w kontekście postępowania dyscyplinarnego przeciwko sędziom, którzy zatwierdzili pozbawienie skarżących wolności, i odszkodowania przyznanego w toku odrębnego postępowania patrz</w:t>
      </w:r>
      <w:hyperlink r:id="rId284" w:history="1">
        <w:r w:rsidRPr="008D530C">
          <w:rPr>
            <w:lang w:val="pl"/>
          </w:rPr>
          <w:t xml:space="preserve"> </w:t>
        </w:r>
        <w:r w:rsidRPr="008D530C">
          <w:rPr>
            <w:i/>
            <w:iCs/>
            <w:color w:val="0072BC"/>
            <w:lang w:val="pl"/>
          </w:rPr>
          <w:t>Dubovtsev i Inni p. Ukrainie</w:t>
        </w:r>
        <w:r w:rsidRPr="008D530C">
          <w:rPr>
            <w:lang w:val="pl"/>
          </w:rPr>
          <w:t xml:space="preserve">, </w:t>
        </w:r>
      </w:hyperlink>
      <w:r w:rsidRPr="008D530C">
        <w:rPr>
          <w:lang w:val="pl"/>
        </w:rPr>
        <w:t xml:space="preserve">§§ </w:t>
      </w:r>
      <w:r w:rsidR="00414809">
        <w:rPr>
          <w:lang w:val="pl"/>
        </w:rPr>
        <w:t>57-66). Odnośnie do art. 5 ust. </w:t>
      </w:r>
      <w:r w:rsidRPr="008D530C">
        <w:rPr>
          <w:lang w:val="pl"/>
        </w:rPr>
        <w:t xml:space="preserve">5 skarżący może stracić status ofiary, gdy władze krajowe przyznają rekompensatę w postaci skrócenia w wyraźny i wymierny sposób wyroku skazującego wydanego wobec skarżącego zamiast przyznania skarżącemu korzyści finansowej </w:t>
      </w:r>
      <w:hyperlink r:id="rId285" w:history="1">
        <w:r w:rsidRPr="008D530C">
          <w:rPr>
            <w:lang w:val="pl"/>
          </w:rPr>
          <w:t>(</w:t>
        </w:r>
        <w:r w:rsidRPr="008D530C">
          <w:rPr>
            <w:i/>
            <w:iCs/>
            <w:color w:val="0072BC"/>
            <w:lang w:val="pl"/>
          </w:rPr>
          <w:t xml:space="preserve">Porchet p. Szwajcarii </w:t>
        </w:r>
      </w:hyperlink>
      <w:r w:rsidRPr="008D530C">
        <w:rPr>
          <w:lang w:val="pl"/>
        </w:rPr>
        <w:t>(dec.), §§ 14-26). Złagodzenie wyroku może mieć też znaczenie dla utraty statusu ofiary w odniesieniu do długości tymczasowego aresztowani</w:t>
      </w:r>
      <w:r w:rsidR="008D530C" w:rsidRPr="008D530C">
        <w:rPr>
          <w:lang w:val="pl"/>
        </w:rPr>
        <w:t xml:space="preserve">a stanowiącej naruszenie art. 5 </w:t>
      </w:r>
      <w:r w:rsidRPr="008D530C">
        <w:rPr>
          <w:lang w:val="pl"/>
        </w:rPr>
        <w:t xml:space="preserve">ust. 3 </w:t>
      </w:r>
      <w:hyperlink r:id="rId286" w:history="1">
        <w:r w:rsidRPr="008D530C">
          <w:rPr>
            <w:lang w:val="pl"/>
          </w:rPr>
          <w:t>(</w:t>
        </w:r>
        <w:r w:rsidRPr="008D530C">
          <w:rPr>
            <w:i/>
            <w:iCs/>
            <w:color w:val="0072BC"/>
            <w:lang w:val="pl"/>
          </w:rPr>
          <w:t>ibid.</w:t>
        </w:r>
        <w:r w:rsidRPr="008D530C">
          <w:rPr>
            <w:lang w:val="pl"/>
          </w:rPr>
          <w:t>,</w:t>
        </w:r>
      </w:hyperlink>
      <w:r w:rsidRPr="008D530C">
        <w:rPr>
          <w:lang w:val="pl"/>
        </w:rPr>
        <w:t xml:space="preserve"> § 20;</w:t>
      </w:r>
      <w:hyperlink r:id="rId287" w:history="1">
        <w:r w:rsidRPr="008D530C">
          <w:rPr>
            <w:i/>
            <w:iCs/>
            <w:lang w:val="pl"/>
          </w:rPr>
          <w:t xml:space="preserve"> </w:t>
        </w:r>
        <w:r w:rsidRPr="008D530C">
          <w:rPr>
            <w:i/>
            <w:iCs/>
            <w:color w:val="0072BC"/>
            <w:lang w:val="pl"/>
          </w:rPr>
          <w:t>Ščensnovičius p. Litwie</w:t>
        </w:r>
        <w:r w:rsidRPr="008D530C">
          <w:rPr>
            <w:lang w:val="pl"/>
          </w:rPr>
          <w:t>,</w:t>
        </w:r>
      </w:hyperlink>
      <w:r w:rsidRPr="008D530C">
        <w:rPr>
          <w:lang w:val="pl"/>
        </w:rPr>
        <w:tab/>
        <w:t>§§ 88</w:t>
      </w:r>
      <w:r w:rsidRPr="008D530C">
        <w:rPr>
          <w:lang w:val="pl"/>
        </w:rPr>
        <w:noBreakHyphen/>
        <w:t>93; por. przeciwny wyrok w sprawie</w:t>
      </w:r>
      <w:hyperlink r:id="rId288" w:history="1">
        <w:r w:rsidRPr="008D530C">
          <w:rPr>
            <w:i/>
            <w:iCs/>
            <w:lang w:val="pl"/>
          </w:rPr>
          <w:t xml:space="preserve"> </w:t>
        </w:r>
        <w:r w:rsidRPr="008D530C">
          <w:rPr>
            <w:i/>
            <w:iCs/>
            <w:color w:val="0072BC"/>
            <w:lang w:val="pl"/>
          </w:rPr>
          <w:t>Malkov</w:t>
        </w:r>
      </w:hyperlink>
      <w:r w:rsidR="008D530C">
        <w:rPr>
          <w:i/>
          <w:iCs/>
          <w:color w:val="0072BC"/>
          <w:lang w:val="pl"/>
        </w:rPr>
        <w:t xml:space="preserve"> </w:t>
      </w:r>
      <w:hyperlink r:id="rId289" w:history="1">
        <w:r w:rsidRPr="008D530C">
          <w:rPr>
            <w:i/>
            <w:iCs/>
            <w:color w:val="0072BC"/>
            <w:lang w:val="pl"/>
          </w:rPr>
          <w:t>p. Estonii</w:t>
        </w:r>
        <w:r w:rsidRPr="008D530C">
          <w:rPr>
            <w:lang w:val="pl"/>
          </w:rPr>
          <w:t>,</w:t>
        </w:r>
      </w:hyperlink>
      <w:r w:rsidRPr="008D530C">
        <w:rPr>
          <w:lang w:val="pl"/>
        </w:rPr>
        <w:t xml:space="preserve"> §§ 40</w:t>
      </w:r>
      <w:r w:rsidRPr="008D530C">
        <w:rPr>
          <w:lang w:val="pl"/>
        </w:rPr>
        <w:noBreakHyphen/>
        <w:t>41).</w:t>
      </w:r>
    </w:p>
    <w:p w:rsidR="00B71A20" w:rsidRPr="000625F6" w:rsidRDefault="000425B4" w:rsidP="00115011">
      <w:pPr>
        <w:pStyle w:val="Teksttreci0"/>
        <w:numPr>
          <w:ilvl w:val="0"/>
          <w:numId w:val="11"/>
        </w:numPr>
        <w:tabs>
          <w:tab w:val="left" w:pos="399"/>
        </w:tabs>
        <w:jc w:val="both"/>
        <w:rPr>
          <w:lang w:val="pl-PL"/>
        </w:rPr>
      </w:pPr>
      <w:r>
        <w:rPr>
          <w:lang w:val="pl"/>
        </w:rPr>
        <w:t xml:space="preserve">Ponadto osoba nie może twierdzić, że jest ofiarą, ponieważ jej prawa do rzetelnego procesu sądowego określone w art. 6 Konwencji zostały naruszone w trakcie postępowania, w którym została uniewinniona lub które zostało umorzone </w:t>
      </w:r>
      <w:hyperlink r:id="rId290" w:history="1">
        <w:r>
          <w:rPr>
            <w:lang w:val="pl"/>
          </w:rPr>
          <w:t>(</w:t>
        </w:r>
        <w:r>
          <w:rPr>
            <w:i/>
            <w:iCs/>
            <w:color w:val="0072BC"/>
            <w:lang w:val="pl"/>
          </w:rPr>
          <w:t xml:space="preserve">Sakhnovskiy p. Rosji </w:t>
        </w:r>
      </w:hyperlink>
      <w:r>
        <w:rPr>
          <w:lang w:val="pl"/>
        </w:rPr>
        <w:t>[WI], § 77;</w:t>
      </w:r>
      <w:hyperlink r:id="rId291" w:history="1">
        <w:r>
          <w:rPr>
            <w:i/>
            <w:iCs/>
            <w:lang w:val="pl"/>
          </w:rPr>
          <w:t xml:space="preserve"> </w:t>
        </w:r>
        <w:r>
          <w:rPr>
            <w:i/>
            <w:iCs/>
            <w:color w:val="0072BC"/>
            <w:lang w:val="pl"/>
          </w:rPr>
          <w:t xml:space="preserve">Oleksy p. Polsce </w:t>
        </w:r>
      </w:hyperlink>
      <w:r>
        <w:rPr>
          <w:lang w:val="pl"/>
        </w:rPr>
        <w:t>(dec.);</w:t>
      </w:r>
      <w:hyperlink r:id="rId292" w:history="1">
        <w:r>
          <w:rPr>
            <w:i/>
            <w:iCs/>
            <w:lang w:val="pl"/>
          </w:rPr>
          <w:t xml:space="preserve"> </w:t>
        </w:r>
        <w:r>
          <w:rPr>
            <w:i/>
            <w:iCs/>
            <w:color w:val="0072BC"/>
            <w:lang w:val="pl"/>
          </w:rPr>
          <w:t>Koç</w:t>
        </w:r>
      </w:hyperlink>
      <w:r>
        <w:rPr>
          <w:i/>
          <w:iCs/>
          <w:color w:val="0072BC"/>
          <w:lang w:val="pl"/>
        </w:rPr>
        <w:t xml:space="preserve"> </w:t>
      </w:r>
      <w:hyperlink r:id="rId293" w:history="1">
        <w:r w:rsidR="00414809">
          <w:rPr>
            <w:i/>
            <w:iCs/>
            <w:color w:val="0072BC"/>
            <w:lang w:val="pl"/>
          </w:rPr>
          <w:t>i </w:t>
        </w:r>
        <w:r>
          <w:rPr>
            <w:i/>
            <w:iCs/>
            <w:color w:val="0072BC"/>
            <w:lang w:val="pl"/>
          </w:rPr>
          <w:t xml:space="preserve">Tambaş p. Turcji </w:t>
        </w:r>
      </w:hyperlink>
      <w:r>
        <w:rPr>
          <w:lang w:val="pl"/>
        </w:rPr>
        <w:t>(dec.);</w:t>
      </w:r>
      <w:hyperlink r:id="rId294" w:history="1">
        <w:r>
          <w:rPr>
            <w:i/>
            <w:iCs/>
            <w:lang w:val="pl"/>
          </w:rPr>
          <w:t xml:space="preserve"> </w:t>
        </w:r>
        <w:r>
          <w:rPr>
            <w:i/>
            <w:iCs/>
            <w:color w:val="0072BC"/>
            <w:lang w:val="pl"/>
          </w:rPr>
          <w:t xml:space="preserve">Bouglame p. Belgii </w:t>
        </w:r>
      </w:hyperlink>
      <w:r>
        <w:rPr>
          <w:lang w:val="pl"/>
        </w:rPr>
        <w:t xml:space="preserve">(dec.)), z wyjątkiem skargi dotyczącej długości takiego postępowania </w:t>
      </w:r>
      <w:hyperlink r:id="rId295" w:history="1">
        <w:r>
          <w:rPr>
            <w:lang w:val="pl"/>
          </w:rPr>
          <w:t>(</w:t>
        </w:r>
        <w:r>
          <w:rPr>
            <w:i/>
            <w:iCs/>
            <w:color w:val="0072BC"/>
            <w:lang w:val="pl"/>
          </w:rPr>
          <w:t xml:space="preserve">Osmanov i Husseinov p. Bułgarii </w:t>
        </w:r>
      </w:hyperlink>
      <w:r>
        <w:rPr>
          <w:lang w:val="pl"/>
        </w:rPr>
        <w:t xml:space="preserve">(dec.)). Z kolei w przypadku skarg na podstawie art. 10 uniewinnienie nie może mieć wpływu na utratę statusu ofiary </w:t>
      </w:r>
      <w:hyperlink r:id="rId296" w:history="1">
        <w:r>
          <w:rPr>
            <w:lang w:val="pl"/>
          </w:rPr>
          <w:t>(</w:t>
        </w:r>
        <w:r>
          <w:rPr>
            <w:i/>
            <w:iCs/>
            <w:color w:val="0072BC"/>
            <w:lang w:val="pl"/>
          </w:rPr>
          <w:t>Döner i Inni</w:t>
        </w:r>
      </w:hyperlink>
      <w:r>
        <w:rPr>
          <w:i/>
          <w:iCs/>
          <w:color w:val="0072BC"/>
          <w:lang w:val="pl"/>
        </w:rPr>
        <w:t xml:space="preserve"> </w:t>
      </w:r>
      <w:hyperlink r:id="rId297" w:history="1">
        <w:r>
          <w:rPr>
            <w:i/>
            <w:iCs/>
            <w:color w:val="0072BC"/>
            <w:lang w:val="pl"/>
          </w:rPr>
          <w:t>p. Turcji</w:t>
        </w:r>
        <w:r>
          <w:rPr>
            <w:lang w:val="pl"/>
          </w:rPr>
          <w:t>,</w:t>
        </w:r>
      </w:hyperlink>
      <w:r>
        <w:rPr>
          <w:lang w:val="pl"/>
        </w:rPr>
        <w:t xml:space="preserve"> § 89).</w:t>
      </w:r>
    </w:p>
    <w:p w:rsidR="00B71A20" w:rsidRPr="000625F6" w:rsidRDefault="000425B4">
      <w:pPr>
        <w:pStyle w:val="Teksttreci0"/>
        <w:spacing w:after="120"/>
        <w:jc w:val="both"/>
        <w:rPr>
          <w:lang w:val="pl-PL"/>
        </w:rPr>
      </w:pPr>
      <w:r>
        <w:rPr>
          <w:lang w:val="pl"/>
        </w:rPr>
        <w:t>Jeśli skarżący zostaje ostatecznie skazany w toku postępowania, które</w:t>
      </w:r>
      <w:r w:rsidR="00414809">
        <w:rPr>
          <w:lang w:val="pl"/>
        </w:rPr>
        <w:t xml:space="preserve"> stanowiło naruszenie art. 6, a </w:t>
      </w:r>
      <w:r>
        <w:rPr>
          <w:lang w:val="pl"/>
        </w:rPr>
        <w:t>tym samym nabywa status ofiary, wówczas do państwa należ</w:t>
      </w:r>
      <w:r w:rsidR="00414809">
        <w:rPr>
          <w:lang w:val="pl"/>
        </w:rPr>
        <w:t>y zapewnienie mu odpowiedniej i </w:t>
      </w:r>
      <w:r>
        <w:rPr>
          <w:lang w:val="pl"/>
        </w:rPr>
        <w:t xml:space="preserve">wystarczającej rekompensaty w związku z odnośną skargą, które zostanie przyznane w stosownym czasie. Trybunał wówczas oceni, czy takie następcze postępowanie skutkowało pozbawieniem skarżącego statusu ofiary w związku z przyznaniem mu wystarczającej rekompensaty </w:t>
      </w:r>
      <w:hyperlink r:id="rId298" w:history="1">
        <w:r>
          <w:rPr>
            <w:lang w:val="pl"/>
          </w:rPr>
          <w:t>(</w:t>
        </w:r>
        <w:r w:rsidR="00414809">
          <w:rPr>
            <w:i/>
            <w:iCs/>
            <w:color w:val="0072BC"/>
            <w:lang w:val="pl"/>
          </w:rPr>
          <w:t>Webster p. </w:t>
        </w:r>
        <w:r>
          <w:rPr>
            <w:i/>
            <w:iCs/>
            <w:color w:val="0072BC"/>
            <w:lang w:val="pl"/>
          </w:rPr>
          <w:t xml:space="preserve">Wielkiej Brytanii </w:t>
        </w:r>
      </w:hyperlink>
      <w:r>
        <w:rPr>
          <w:lang w:val="pl"/>
        </w:rPr>
        <w:t>(dec.) i cytowane tam odniesienia).</w:t>
      </w:r>
    </w:p>
    <w:p w:rsidR="00B71A20" w:rsidRPr="000625F6" w:rsidRDefault="000425B4">
      <w:pPr>
        <w:pStyle w:val="Teksttreci0"/>
        <w:spacing w:after="120"/>
        <w:jc w:val="both"/>
        <w:rPr>
          <w:lang w:val="pl-PL"/>
        </w:rPr>
      </w:pPr>
      <w:r>
        <w:rPr>
          <w:lang w:val="pl"/>
        </w:rPr>
        <w:t xml:space="preserve">Wydanie przez krajowy sąd karny łagodniejszego wyroku z powodu przewlekłości postępowania może stanowić odpowiednie uznanie i wystarczające naprawienie opóźnienia, z jakim przebiegało to postępowanie (art. 6 ust. 1), pod warunkiem że zmniejszenie wyroku jest wyraźne i wymierne </w:t>
      </w:r>
      <w:hyperlink r:id="rId299" w:history="1">
        <w:r>
          <w:rPr>
            <w:lang w:val="pl"/>
          </w:rPr>
          <w:t>(</w:t>
        </w:r>
        <w:r>
          <w:rPr>
            <w:i/>
            <w:iCs/>
            <w:color w:val="0072BC"/>
            <w:lang w:val="pl"/>
          </w:rPr>
          <w:t>Chiarello p. Niemcom</w:t>
        </w:r>
        <w:r>
          <w:rPr>
            <w:lang w:val="pl"/>
          </w:rPr>
          <w:t>,</w:t>
        </w:r>
      </w:hyperlink>
      <w:r>
        <w:rPr>
          <w:lang w:val="pl"/>
        </w:rPr>
        <w:t xml:space="preserve"> §§ 54</w:t>
      </w:r>
      <w:r>
        <w:rPr>
          <w:lang w:val="pl"/>
        </w:rPr>
        <w:noBreakHyphen/>
        <w:t>59). Złagodzenie wyroku może mieć też znacze</w:t>
      </w:r>
      <w:r w:rsidR="00414809">
        <w:rPr>
          <w:lang w:val="pl"/>
        </w:rPr>
        <w:t>nie dla utraty statusu ofiary w </w:t>
      </w:r>
      <w:r>
        <w:rPr>
          <w:lang w:val="pl"/>
        </w:rPr>
        <w:t xml:space="preserve">odniesieniu do długości tymczasowego aresztowania stanowiącej naruszenie art. 5 ust. 3 </w:t>
      </w:r>
      <w:hyperlink r:id="rId300" w:history="1">
        <w:r>
          <w:rPr>
            <w:lang w:val="pl"/>
          </w:rPr>
          <w:t>(</w:t>
        </w:r>
        <w:r>
          <w:rPr>
            <w:i/>
            <w:iCs/>
            <w:color w:val="0072BC"/>
            <w:lang w:val="pl"/>
          </w:rPr>
          <w:t>Ščensnovičius p. Litwie</w:t>
        </w:r>
        <w:r>
          <w:rPr>
            <w:lang w:val="pl"/>
          </w:rPr>
          <w:t>,</w:t>
        </w:r>
      </w:hyperlink>
      <w:r>
        <w:rPr>
          <w:lang w:val="pl"/>
        </w:rPr>
        <w:t xml:space="preserve"> §§ 88</w:t>
      </w:r>
      <w:r>
        <w:rPr>
          <w:lang w:val="pl"/>
        </w:rPr>
        <w:noBreakHyphen/>
        <w:t>93; por. przeciwny wyrok w sprawie</w:t>
      </w:r>
      <w:hyperlink r:id="rId301" w:history="1">
        <w:r>
          <w:rPr>
            <w:i/>
            <w:iCs/>
            <w:lang w:val="pl"/>
          </w:rPr>
          <w:t xml:space="preserve"> </w:t>
        </w:r>
        <w:r>
          <w:rPr>
            <w:i/>
            <w:iCs/>
            <w:color w:val="0072BC"/>
            <w:lang w:val="pl"/>
          </w:rPr>
          <w:t>Malkov p. Estonii</w:t>
        </w:r>
        <w:r>
          <w:rPr>
            <w:lang w:val="pl"/>
          </w:rPr>
          <w:t>,</w:t>
        </w:r>
      </w:hyperlink>
      <w:r w:rsidR="00414809">
        <w:rPr>
          <w:lang w:val="pl"/>
        </w:rPr>
        <w:t xml:space="preserve"> §§ 40</w:t>
      </w:r>
      <w:r w:rsidR="00414809">
        <w:rPr>
          <w:lang w:val="pl"/>
        </w:rPr>
        <w:noBreakHyphen/>
        <w:t>41). Statusu ofiary w </w:t>
      </w:r>
      <w:r>
        <w:rPr>
          <w:lang w:val="pl"/>
        </w:rPr>
        <w:t xml:space="preserve">odniesieniu do prawa do rzetelnego procesu sądowego nie można utracić, jeśli w toku innego postępowania wobec danej osoby wydano inny, korzystny dla niej wyrok, dotyczący innej </w:t>
      </w:r>
      <w:r>
        <w:rPr>
          <w:lang w:val="pl"/>
        </w:rPr>
        <w:lastRenderedPageBreak/>
        <w:t xml:space="preserve">kwestii niż ta będąca przedmiotem skargi </w:t>
      </w:r>
      <w:hyperlink r:id="rId302" w:history="1">
        <w:r>
          <w:rPr>
            <w:lang w:val="pl"/>
          </w:rPr>
          <w:t>(</w:t>
        </w:r>
        <w:r>
          <w:rPr>
            <w:i/>
            <w:iCs/>
            <w:color w:val="0072BC"/>
            <w:lang w:val="pl"/>
          </w:rPr>
          <w:t>Sine Tsaggarakis A.E.E. p. Grecji</w:t>
        </w:r>
        <w:r>
          <w:rPr>
            <w:lang w:val="pl"/>
          </w:rPr>
          <w:t>,</w:t>
        </w:r>
      </w:hyperlink>
      <w:r>
        <w:rPr>
          <w:lang w:val="pl"/>
        </w:rPr>
        <w:t xml:space="preserve"> §§ 27</w:t>
      </w:r>
      <w:r>
        <w:rPr>
          <w:lang w:val="pl"/>
        </w:rPr>
        <w:noBreakHyphen/>
        <w:t>31).</w:t>
      </w:r>
    </w:p>
    <w:p w:rsidR="00B71A20" w:rsidRPr="008D530C" w:rsidRDefault="000425B4" w:rsidP="00115011">
      <w:pPr>
        <w:pStyle w:val="Teksttreci0"/>
        <w:numPr>
          <w:ilvl w:val="0"/>
          <w:numId w:val="11"/>
        </w:numPr>
        <w:tabs>
          <w:tab w:val="left" w:pos="398"/>
          <w:tab w:val="left" w:pos="6917"/>
        </w:tabs>
        <w:spacing w:after="120"/>
        <w:jc w:val="both"/>
        <w:rPr>
          <w:lang w:val="pl-PL"/>
        </w:rPr>
      </w:pPr>
      <w:r w:rsidRPr="008D530C">
        <w:rPr>
          <w:lang w:val="pl"/>
        </w:rPr>
        <w:t>W określonych przypadkach to, czy osoba nadal jest ofiarą, może również zależeć od wysokości odszkodowania przyznanego przez sądy krajowe, a przynajmn</w:t>
      </w:r>
      <w:r w:rsidR="00414809">
        <w:rPr>
          <w:lang w:val="pl"/>
        </w:rPr>
        <w:t>iej od możliwości dochodzenia i </w:t>
      </w:r>
      <w:r w:rsidRPr="008D530C">
        <w:rPr>
          <w:lang w:val="pl"/>
        </w:rPr>
        <w:t xml:space="preserve">uzyskania odszkodowania za doznaną szkodę, z uwzględnieniem faktów będących przedmiotem skargi wniesionej przez tę osobę przed Trybunałem oraz skuteczności (w tym szybkości) środka odwoławczego, na podstawie którego zostało przyznane odszkodowanie </w:t>
      </w:r>
      <w:hyperlink r:id="rId303" w:history="1">
        <w:r w:rsidRPr="008D530C">
          <w:rPr>
            <w:lang w:val="pl"/>
          </w:rPr>
          <w:t>(</w:t>
        </w:r>
        <w:r w:rsidRPr="008D530C">
          <w:rPr>
            <w:i/>
            <w:iCs/>
            <w:color w:val="0072BC"/>
            <w:lang w:val="pl"/>
          </w:rPr>
          <w:t xml:space="preserve">Normann p. Danii </w:t>
        </w:r>
      </w:hyperlink>
      <w:r w:rsidRPr="008D530C">
        <w:rPr>
          <w:lang w:val="pl"/>
        </w:rPr>
        <w:t>(dec.);</w:t>
      </w:r>
      <w:hyperlink r:id="rId304" w:history="1">
        <w:r w:rsidRPr="008D530C">
          <w:rPr>
            <w:lang w:val="pl"/>
          </w:rPr>
          <w:t xml:space="preserve"> </w:t>
        </w:r>
        <w:r w:rsidRPr="008D530C">
          <w:rPr>
            <w:i/>
            <w:iCs/>
            <w:color w:val="0072BC"/>
            <w:lang w:val="pl"/>
          </w:rPr>
          <w:t xml:space="preserve">Scordino p. Włochom (nr 1) </w:t>
        </w:r>
      </w:hyperlink>
      <w:r w:rsidRPr="008D530C">
        <w:rPr>
          <w:lang w:val="pl"/>
        </w:rPr>
        <w:t>[WI], § 202; patrz również</w:t>
      </w:r>
      <w:hyperlink r:id="rId305" w:history="1">
        <w:r w:rsidRPr="008D530C">
          <w:rPr>
            <w:lang w:val="pl"/>
          </w:rPr>
          <w:t xml:space="preserve"> </w:t>
        </w:r>
        <w:r w:rsidRPr="008D530C">
          <w:rPr>
            <w:i/>
            <w:iCs/>
            <w:color w:val="0072BC"/>
            <w:lang w:val="pl"/>
          </w:rPr>
          <w:t>Jensen i</w:t>
        </w:r>
      </w:hyperlink>
      <w:r w:rsidRPr="008D530C">
        <w:rPr>
          <w:i/>
          <w:iCs/>
          <w:color w:val="0072BC"/>
          <w:lang w:val="pl"/>
        </w:rPr>
        <w:t xml:space="preserve"> </w:t>
      </w:r>
      <w:hyperlink r:id="rId306" w:history="1">
        <w:r w:rsidRPr="008D530C">
          <w:rPr>
            <w:i/>
            <w:iCs/>
            <w:color w:val="0072BC"/>
            <w:lang w:val="pl"/>
          </w:rPr>
          <w:t xml:space="preserve">Rasmussen p. Danii </w:t>
        </w:r>
      </w:hyperlink>
      <w:r w:rsidRPr="008D530C">
        <w:rPr>
          <w:lang w:val="pl"/>
        </w:rPr>
        <w:t>(dec.);</w:t>
      </w:r>
      <w:hyperlink r:id="rId307" w:history="1">
        <w:r w:rsidRPr="008D530C">
          <w:rPr>
            <w:lang w:val="pl"/>
          </w:rPr>
          <w:t xml:space="preserve"> </w:t>
        </w:r>
        <w:r w:rsidRPr="008D530C">
          <w:rPr>
            <w:i/>
            <w:iCs/>
            <w:color w:val="0072BC"/>
            <w:lang w:val="pl"/>
          </w:rPr>
          <w:t xml:space="preserve">Kurić i Inni p. Słowenii </w:t>
        </w:r>
      </w:hyperlink>
      <w:r w:rsidRPr="008D530C">
        <w:rPr>
          <w:lang w:val="pl"/>
        </w:rPr>
        <w:t>[WI], § 262;</w:t>
      </w:r>
      <w:hyperlink r:id="rId308" w:history="1">
        <w:r w:rsidRPr="008D530C">
          <w:rPr>
            <w:lang w:val="pl"/>
          </w:rPr>
          <w:t xml:space="preserve"> </w:t>
        </w:r>
        <w:r w:rsidRPr="008D530C">
          <w:rPr>
            <w:i/>
            <w:iCs/>
            <w:color w:val="0072BC"/>
            <w:lang w:val="pl"/>
          </w:rPr>
          <w:t>J.B. i Inni p. Węgrom</w:t>
        </w:r>
      </w:hyperlink>
      <w:r w:rsidRPr="008D530C">
        <w:rPr>
          <w:color w:val="0072BC"/>
          <w:lang w:val="pl"/>
        </w:rPr>
        <w:t xml:space="preserve"> </w:t>
      </w:r>
      <w:r w:rsidRPr="008D530C">
        <w:rPr>
          <w:lang w:val="pl"/>
        </w:rPr>
        <w:t>(dec.), § 59). W odniesieniu do wystarczającego poziomu odszkodowania przyznanego stowarzyszeniu reprezentującemu kilka osób patrz</w:t>
      </w:r>
      <w:hyperlink r:id="rId309" w:history="1">
        <w:r w:rsidRPr="008D530C">
          <w:rPr>
            <w:i/>
            <w:iCs/>
            <w:lang w:val="pl"/>
          </w:rPr>
          <w:t xml:space="preserve"> </w:t>
        </w:r>
        <w:r w:rsidRPr="008D530C">
          <w:rPr>
            <w:i/>
            <w:iCs/>
            <w:color w:val="0072BC"/>
            <w:lang w:val="pl"/>
          </w:rPr>
          <w:t xml:space="preserve">Društvo za varstvo upnikov p. Słowenii </w:t>
        </w:r>
      </w:hyperlink>
      <w:r w:rsidR="008D530C" w:rsidRPr="008D530C">
        <w:rPr>
          <w:lang w:val="pl"/>
        </w:rPr>
        <w:t xml:space="preserve">(dec.), </w:t>
      </w:r>
      <w:r w:rsidRPr="008D530C">
        <w:rPr>
          <w:lang w:val="pl"/>
        </w:rPr>
        <w:t>§§ 48</w:t>
      </w:r>
      <w:r w:rsidRPr="008D530C">
        <w:rPr>
          <w:lang w:val="pl"/>
        </w:rPr>
        <w:noBreakHyphen/>
        <w:t>64. Wyraźne</w:t>
      </w:r>
      <w:r w:rsidR="008D530C">
        <w:rPr>
          <w:lang w:val="pl"/>
        </w:rPr>
        <w:t xml:space="preserve"> </w:t>
      </w:r>
      <w:r w:rsidRPr="008D530C">
        <w:rPr>
          <w:lang w:val="pl"/>
        </w:rPr>
        <w:t xml:space="preserve">uznanie na szczeblu krajowym naruszenia prawa skarżącego do sprawiedliwego rozpatrzenia jego sprawy w rozsądnym terminie w toku postępowania karnego nie może być wystarczające do tego, aby skarżący utracił status ofiary, jeśli nie przyznano mu żadnego odszkodowania ani nie skrócono wyroku </w:t>
      </w:r>
      <w:hyperlink r:id="rId310" w:history="1">
        <w:r w:rsidRPr="008D530C">
          <w:rPr>
            <w:lang w:val="pl"/>
          </w:rPr>
          <w:t>(</w:t>
        </w:r>
        <w:r w:rsidRPr="008D530C">
          <w:rPr>
            <w:i/>
            <w:iCs/>
            <w:color w:val="0072BC"/>
            <w:lang w:val="pl"/>
          </w:rPr>
          <w:t>Tempel p.</w:t>
        </w:r>
      </w:hyperlink>
      <w:r w:rsidRPr="008D530C">
        <w:rPr>
          <w:i/>
          <w:iCs/>
          <w:color w:val="0072BC"/>
          <w:lang w:val="pl"/>
        </w:rPr>
        <w:t xml:space="preserve"> </w:t>
      </w:r>
      <w:hyperlink r:id="rId311" w:history="1">
        <w:r w:rsidRPr="008D530C">
          <w:rPr>
            <w:i/>
            <w:iCs/>
            <w:color w:val="0072BC"/>
            <w:lang w:val="pl"/>
          </w:rPr>
          <w:t>Czechom</w:t>
        </w:r>
        <w:r w:rsidRPr="008D530C">
          <w:rPr>
            <w:lang w:val="pl"/>
          </w:rPr>
          <w:t xml:space="preserve">, </w:t>
        </w:r>
      </w:hyperlink>
      <w:r w:rsidRPr="008D530C">
        <w:rPr>
          <w:lang w:val="pl"/>
        </w:rPr>
        <w:t>§§ 77-83). Z kolei w sprawie dotyczącej prawnika, wobec którego naruszono obowiązującą go tajemnicę adwokacką, uzyskując dostęp do rozmowy telefonicznej, w której uczestniczył, i zmuszając go do wystąpienia przed sąd</w:t>
      </w:r>
      <w:r w:rsidR="00414809">
        <w:rPr>
          <w:lang w:val="pl"/>
        </w:rPr>
        <w:t>em w </w:t>
      </w:r>
      <w:r w:rsidRPr="008D530C">
        <w:rPr>
          <w:lang w:val="pl"/>
        </w:rPr>
        <w:t xml:space="preserve">roli świadka w procesie jego klienta, domniemane uznanie, że doszło do naruszenia, polegające na wyłączeniu odnośnego materiału dowodowego z akt sprawy oraz umożliwieniu temu prawnikowi dochodzenia zadośćuczynienia na drodze cywilnej uznano za wystarczające, aby pozbawić go statusu ofiary w związku z art. 8 Konwencji </w:t>
      </w:r>
      <w:hyperlink r:id="rId312" w:history="1">
        <w:r w:rsidRPr="008D530C">
          <w:rPr>
            <w:lang w:val="pl"/>
          </w:rPr>
          <w:t>(</w:t>
        </w:r>
        <w:r w:rsidRPr="008D530C">
          <w:rPr>
            <w:i/>
            <w:iCs/>
            <w:color w:val="0072BC"/>
            <w:lang w:val="pl"/>
          </w:rPr>
          <w:t>Mateut p. Rumunii</w:t>
        </w:r>
        <w:r w:rsidRPr="008D530C">
          <w:rPr>
            <w:color w:val="0072BC"/>
            <w:lang w:val="pl"/>
          </w:rPr>
          <w:t xml:space="preserve"> </w:t>
        </w:r>
      </w:hyperlink>
      <w:r w:rsidRPr="008D530C">
        <w:rPr>
          <w:lang w:val="pl"/>
        </w:rPr>
        <w:t>(dec.), §§ 33-39).</w:t>
      </w:r>
    </w:p>
    <w:p w:rsidR="00B71A20" w:rsidRPr="000625F6" w:rsidRDefault="000425B4" w:rsidP="00115011">
      <w:pPr>
        <w:pStyle w:val="Teksttreci0"/>
        <w:numPr>
          <w:ilvl w:val="0"/>
          <w:numId w:val="11"/>
        </w:numPr>
        <w:tabs>
          <w:tab w:val="left" w:pos="398"/>
        </w:tabs>
        <w:spacing w:after="120"/>
        <w:jc w:val="both"/>
        <w:rPr>
          <w:lang w:val="pl-PL"/>
        </w:rPr>
      </w:pPr>
      <w:r>
        <w:rPr>
          <w:lang w:val="pl"/>
        </w:rPr>
        <w:t xml:space="preserve">Skarżący, który z powodu niekorzystnych warunków środowiskowych został zmuszony do opuszczenia własnego domu, a następnie zakupu innego domu za własne pieniądze, nie przestaje być ofiarą zarzucanego naruszenia prawa do poszanowania życia prywatnego i mieszkania zgodnie z art. 8 Konwencji </w:t>
      </w:r>
      <w:hyperlink r:id="rId313" w:history="1">
        <w:r>
          <w:rPr>
            <w:lang w:val="pl"/>
          </w:rPr>
          <w:t>(</w:t>
        </w:r>
        <w:r>
          <w:rPr>
            <w:i/>
            <w:iCs/>
            <w:color w:val="0072BC"/>
            <w:lang w:val="pl"/>
          </w:rPr>
          <w:t>Yevgeniy Dmitriyev p. Rosji</w:t>
        </w:r>
        <w:r>
          <w:rPr>
            <w:lang w:val="pl"/>
          </w:rPr>
          <w:t>,</w:t>
        </w:r>
      </w:hyperlink>
      <w:r>
        <w:rPr>
          <w:i/>
          <w:iCs/>
          <w:lang w:val="pl"/>
        </w:rPr>
        <w:t xml:space="preserve"> </w:t>
      </w:r>
      <w:r>
        <w:rPr>
          <w:lang w:val="pl"/>
        </w:rPr>
        <w:t>§§ 37-38).</w:t>
      </w:r>
    </w:p>
    <w:p w:rsidR="00B71A20" w:rsidRPr="00414809" w:rsidRDefault="000425B4" w:rsidP="00115011">
      <w:pPr>
        <w:pStyle w:val="Teksttreci0"/>
        <w:numPr>
          <w:ilvl w:val="0"/>
          <w:numId w:val="11"/>
        </w:numPr>
        <w:tabs>
          <w:tab w:val="left" w:pos="399"/>
        </w:tabs>
        <w:spacing w:after="120"/>
        <w:jc w:val="both"/>
        <w:rPr>
          <w:lang w:val="pl-PL"/>
        </w:rPr>
      </w:pPr>
      <w:r>
        <w:rPr>
          <w:lang w:val="pl"/>
        </w:rPr>
        <w:t>Inne konkretne przypadki, patrz</w:t>
      </w:r>
      <w:hyperlink r:id="rId314" w:history="1">
        <w:r>
          <w:rPr>
            <w:lang w:val="pl"/>
          </w:rPr>
          <w:t xml:space="preserve"> </w:t>
        </w:r>
        <w:r>
          <w:rPr>
            <w:i/>
            <w:iCs/>
            <w:color w:val="0072BC"/>
            <w:lang w:val="pl"/>
          </w:rPr>
          <w:t>Marshall i Inni p. Malcie</w:t>
        </w:r>
        <w:r>
          <w:rPr>
            <w:lang w:val="pl"/>
          </w:rPr>
          <w:t>,</w:t>
        </w:r>
      </w:hyperlink>
      <w:r>
        <w:rPr>
          <w:lang w:val="pl"/>
        </w:rPr>
        <w:t xml:space="preserve"> §§ 33-34, 46-47 (art. 6);</w:t>
      </w:r>
      <w:hyperlink r:id="rId315" w:history="1">
        <w:r>
          <w:rPr>
            <w:lang w:val="pl"/>
          </w:rPr>
          <w:t xml:space="preserve"> </w:t>
        </w:r>
        <w:r>
          <w:rPr>
            <w:i/>
            <w:iCs/>
            <w:color w:val="0072BC"/>
            <w:lang w:val="pl"/>
          </w:rPr>
          <w:t>Arat</w:t>
        </w:r>
      </w:hyperlink>
      <w:r>
        <w:rPr>
          <w:i/>
          <w:iCs/>
          <w:color w:val="0072BC"/>
          <w:lang w:val="pl"/>
        </w:rPr>
        <w:t xml:space="preserve"> </w:t>
      </w:r>
      <w:hyperlink r:id="rId316" w:history="1">
        <w:r>
          <w:rPr>
            <w:i/>
            <w:iCs/>
            <w:color w:val="0072BC"/>
            <w:lang w:val="pl"/>
          </w:rPr>
          <w:t>p. Turcji</w:t>
        </w:r>
        <w:r>
          <w:rPr>
            <w:lang w:val="pl"/>
          </w:rPr>
          <w:t>,</w:t>
        </w:r>
      </w:hyperlink>
      <w:r w:rsidR="00414809">
        <w:rPr>
          <w:lang w:val="pl"/>
        </w:rPr>
        <w:t xml:space="preserve"> § </w:t>
      </w:r>
      <w:r>
        <w:rPr>
          <w:lang w:val="pl"/>
        </w:rPr>
        <w:t>47 (art. 6);</w:t>
      </w:r>
      <w:hyperlink r:id="rId317" w:history="1">
        <w:r>
          <w:rPr>
            <w:lang w:val="pl"/>
          </w:rPr>
          <w:t xml:space="preserve"> </w:t>
        </w:r>
        <w:r>
          <w:rPr>
            <w:i/>
            <w:iCs/>
            <w:color w:val="0072BC"/>
            <w:lang w:val="pl"/>
          </w:rPr>
          <w:t>Constantinescu p. Rumunii</w:t>
        </w:r>
        <w:r>
          <w:rPr>
            <w:lang w:val="pl"/>
          </w:rPr>
          <w:t>,</w:t>
        </w:r>
      </w:hyperlink>
      <w:r>
        <w:rPr>
          <w:lang w:val="pl"/>
        </w:rPr>
        <w:t xml:space="preserve"> §§ 40-44 (art. 6 i 10);</w:t>
      </w:r>
      <w:hyperlink r:id="rId318" w:history="1">
        <w:r>
          <w:rPr>
            <w:lang w:val="pl"/>
          </w:rPr>
          <w:t xml:space="preserve"> </w:t>
        </w:r>
        <w:r>
          <w:rPr>
            <w:i/>
            <w:iCs/>
            <w:color w:val="0072BC"/>
            <w:lang w:val="pl"/>
          </w:rPr>
          <w:t>Guisset p. Francji</w:t>
        </w:r>
        <w:r>
          <w:rPr>
            <w:lang w:val="pl"/>
          </w:rPr>
          <w:t>,</w:t>
        </w:r>
      </w:hyperlink>
      <w:r>
        <w:rPr>
          <w:lang w:val="pl"/>
        </w:rPr>
        <w:t xml:space="preserve"> §§ 66-70 (art. 6);</w:t>
      </w:r>
      <w:hyperlink r:id="rId319" w:history="1">
        <w:r>
          <w:rPr>
            <w:lang w:val="pl"/>
          </w:rPr>
          <w:t xml:space="preserve"> </w:t>
        </w:r>
        <w:r>
          <w:rPr>
            <w:i/>
            <w:iCs/>
            <w:color w:val="0072BC"/>
            <w:lang w:val="pl"/>
          </w:rPr>
          <w:t>Chevrol p. Francji</w:t>
        </w:r>
        <w:r>
          <w:rPr>
            <w:lang w:val="pl"/>
          </w:rPr>
          <w:t>,</w:t>
        </w:r>
      </w:hyperlink>
      <w:r>
        <w:rPr>
          <w:lang w:val="pl"/>
        </w:rPr>
        <w:t xml:space="preserve"> §§ 30 i następne (art. 6);</w:t>
      </w:r>
      <w:hyperlink r:id="rId320" w:history="1">
        <w:r>
          <w:rPr>
            <w:lang w:val="pl"/>
          </w:rPr>
          <w:t xml:space="preserve"> </w:t>
        </w:r>
        <w:r>
          <w:rPr>
            <w:i/>
            <w:iCs/>
            <w:color w:val="0072BC"/>
            <w:lang w:val="pl"/>
          </w:rPr>
          <w:t>Kerman p. Turcji</w:t>
        </w:r>
        <w:r>
          <w:rPr>
            <w:lang w:val="pl"/>
          </w:rPr>
          <w:t>,</w:t>
        </w:r>
      </w:hyperlink>
      <w:r>
        <w:rPr>
          <w:lang w:val="pl"/>
        </w:rPr>
        <w:t xml:space="preserve"> § 106 (art. 6); </w:t>
      </w:r>
      <w:hyperlink r:id="rId321" w:history="1">
        <w:r>
          <w:rPr>
            <w:i/>
            <w:iCs/>
            <w:color w:val="0072BC"/>
            <w:lang w:val="pl"/>
          </w:rPr>
          <w:t>Moskovets p. Rosji</w:t>
        </w:r>
        <w:r>
          <w:rPr>
            <w:lang w:val="pl"/>
          </w:rPr>
          <w:t>,</w:t>
        </w:r>
      </w:hyperlink>
      <w:r>
        <w:rPr>
          <w:lang w:val="pl"/>
        </w:rPr>
        <w:t xml:space="preserve"> § 50 (art. 5);</w:t>
      </w:r>
      <w:hyperlink r:id="rId322" w:history="1">
        <w:r>
          <w:rPr>
            <w:lang w:val="pl"/>
          </w:rPr>
          <w:t xml:space="preserve"> </w:t>
        </w:r>
        <w:r>
          <w:rPr>
            <w:i/>
            <w:iCs/>
            <w:color w:val="0072BC"/>
            <w:lang w:val="pl"/>
          </w:rPr>
          <w:t>Bivolaru p. Rumunii (nr 2)</w:t>
        </w:r>
        <w:r>
          <w:rPr>
            <w:lang w:val="pl"/>
          </w:rPr>
          <w:t>,</w:t>
        </w:r>
      </w:hyperlink>
      <w:r>
        <w:rPr>
          <w:lang w:val="pl"/>
        </w:rPr>
        <w:t xml:space="preserve"> §§ 168</w:t>
      </w:r>
      <w:r>
        <w:rPr>
          <w:lang w:val="pl"/>
        </w:rPr>
        <w:noBreakHyphen/>
        <w:t>175;</w:t>
      </w:r>
      <w:hyperlink r:id="rId323" w:history="1">
        <w:r>
          <w:rPr>
            <w:lang w:val="pl"/>
          </w:rPr>
          <w:t xml:space="preserve"> </w:t>
        </w:r>
        <w:r>
          <w:rPr>
            <w:i/>
            <w:iCs/>
            <w:color w:val="0072BC"/>
            <w:lang w:val="pl"/>
          </w:rPr>
          <w:t>Y.Y. i Y.Y. p. Rosji</w:t>
        </w:r>
        <w:r>
          <w:rPr>
            <w:lang w:val="pl"/>
          </w:rPr>
          <w:t>*</w:t>
        </w:r>
      </w:hyperlink>
      <w:r>
        <w:rPr>
          <w:lang w:val="pl"/>
        </w:rPr>
        <w:t>, § 51 (art. 8);</w:t>
      </w:r>
      <w:hyperlink r:id="rId324" w:history="1">
        <w:r>
          <w:rPr>
            <w:lang w:val="pl"/>
          </w:rPr>
          <w:t xml:space="preserve"> </w:t>
        </w:r>
        <w:r>
          <w:rPr>
            <w:i/>
            <w:iCs/>
            <w:color w:val="0072BC"/>
            <w:lang w:val="pl"/>
          </w:rPr>
          <w:t>X. i Y. p. Rumunii</w:t>
        </w:r>
        <w:r>
          <w:rPr>
            <w:lang w:val="pl"/>
          </w:rPr>
          <w:t xml:space="preserve">, </w:t>
        </w:r>
      </w:hyperlink>
      <w:r w:rsidR="00414809">
        <w:rPr>
          <w:lang w:val="pl"/>
        </w:rPr>
        <w:t>§§ </w:t>
      </w:r>
      <w:r>
        <w:rPr>
          <w:lang w:val="pl"/>
        </w:rPr>
        <w:t>109-114 (art. 8);</w:t>
      </w:r>
      <w:hyperlink r:id="rId325" w:history="1">
        <w:r>
          <w:rPr>
            <w:lang w:val="pl"/>
          </w:rPr>
          <w:t xml:space="preserve"> </w:t>
        </w:r>
        <w:r>
          <w:rPr>
            <w:i/>
            <w:iCs/>
            <w:color w:val="0072BC"/>
            <w:lang w:val="pl"/>
          </w:rPr>
          <w:t>Wikimedia Foundation, Inc. p. Turcji</w:t>
        </w:r>
      </w:hyperlink>
      <w:r>
        <w:rPr>
          <w:i/>
          <w:iCs/>
          <w:color w:val="0072BC"/>
          <w:lang w:val="pl"/>
        </w:rPr>
        <w:t xml:space="preserve"> </w:t>
      </w:r>
      <w:r>
        <w:rPr>
          <w:lang w:val="pl"/>
        </w:rPr>
        <w:t>(dec.), §§ 47-51 (art. 10);</w:t>
      </w:r>
      <w:hyperlink r:id="rId326" w:history="1">
        <w:r>
          <w:rPr>
            <w:lang w:val="pl"/>
          </w:rPr>
          <w:t xml:space="preserve"> </w:t>
        </w:r>
        <w:r>
          <w:rPr>
            <w:i/>
            <w:iCs/>
            <w:color w:val="0072BC"/>
            <w:lang w:val="pl"/>
          </w:rPr>
          <w:t>Kemal Çetin p. Turcji</w:t>
        </w:r>
        <w:r>
          <w:rPr>
            <w:lang w:val="pl"/>
          </w:rPr>
          <w:t>,</w:t>
        </w:r>
      </w:hyperlink>
      <w:r>
        <w:rPr>
          <w:lang w:val="pl"/>
        </w:rPr>
        <w:t xml:space="preserve"> § 33 (art. 11);</w:t>
      </w:r>
      <w:hyperlink r:id="rId327" w:history="1">
        <w:r>
          <w:rPr>
            <w:lang w:val="pl"/>
          </w:rPr>
          <w:t xml:space="preserve"> </w:t>
        </w:r>
        <w:r>
          <w:rPr>
            <w:i/>
            <w:iCs/>
            <w:color w:val="0072BC"/>
            <w:lang w:val="pl"/>
          </w:rPr>
          <w:t>Moon p. Francji</w:t>
        </w:r>
        <w:r>
          <w:rPr>
            <w:lang w:val="pl"/>
          </w:rPr>
          <w:t>,</w:t>
        </w:r>
      </w:hyperlink>
      <w:r>
        <w:rPr>
          <w:lang w:val="pl"/>
        </w:rPr>
        <w:t xml:space="preserve"> §§ 29 i następne (art. 1 Protokołu nr 1);</w:t>
      </w:r>
      <w:hyperlink r:id="rId328" w:history="1">
        <w:r>
          <w:rPr>
            <w:lang w:val="pl"/>
          </w:rPr>
          <w:t xml:space="preserve"> </w:t>
        </w:r>
        <w:r>
          <w:rPr>
            <w:i/>
            <w:iCs/>
            <w:color w:val="0072BC"/>
            <w:lang w:val="pl"/>
          </w:rPr>
          <w:t xml:space="preserve">D.J. i A.-K.R. p. Rumunii </w:t>
        </w:r>
      </w:hyperlink>
      <w:r>
        <w:rPr>
          <w:lang w:val="pl"/>
        </w:rPr>
        <w:t>(dec.), §§ 77 i następne (art. 2 Protokołu nr 4); oraz</w:t>
      </w:r>
      <w:hyperlink r:id="rId329" w:history="1">
        <w:r>
          <w:rPr>
            <w:lang w:val="pl"/>
          </w:rPr>
          <w:t xml:space="preserve"> </w:t>
        </w:r>
        <w:r>
          <w:rPr>
            <w:i/>
            <w:iCs/>
            <w:color w:val="0072BC"/>
            <w:lang w:val="pl"/>
          </w:rPr>
          <w:t xml:space="preserve">Sergey Zolotukhin p. Rosji </w:t>
        </w:r>
      </w:hyperlink>
      <w:r>
        <w:rPr>
          <w:lang w:val="pl"/>
        </w:rPr>
        <w:t>[WI], § 115 (art. 4 Protokołu nr 7);</w:t>
      </w:r>
      <w:hyperlink r:id="rId330" w:history="1">
        <w:r>
          <w:rPr>
            <w:lang w:val="pl"/>
          </w:rPr>
          <w:t xml:space="preserve"> </w:t>
        </w:r>
        <w:r>
          <w:rPr>
            <w:i/>
            <w:iCs/>
            <w:color w:val="0072BC"/>
            <w:lang w:val="pl"/>
          </w:rPr>
          <w:t xml:space="preserve">Dalban p. Rumunii </w:t>
        </w:r>
      </w:hyperlink>
      <w:r>
        <w:rPr>
          <w:lang w:val="pl"/>
        </w:rPr>
        <w:t>[WI], § 44 (art. 10);</w:t>
      </w:r>
      <w:hyperlink r:id="rId331" w:history="1">
        <w:r>
          <w:rPr>
            <w:lang w:val="pl"/>
          </w:rPr>
          <w:t xml:space="preserve"> </w:t>
        </w:r>
        <w:r>
          <w:rPr>
            <w:i/>
            <w:iCs/>
            <w:color w:val="0072BC"/>
            <w:lang w:val="pl"/>
          </w:rPr>
          <w:t xml:space="preserve">Güneş p. Turcji </w:t>
        </w:r>
      </w:hyperlink>
      <w:r>
        <w:rPr>
          <w:lang w:val="pl"/>
        </w:rPr>
        <w:t>(dec.) (art. 10);</w:t>
      </w:r>
      <w:hyperlink r:id="rId332" w:history="1">
        <w:r>
          <w:rPr>
            <w:lang w:val="pl"/>
          </w:rPr>
          <w:t xml:space="preserve"> </w:t>
        </w:r>
        <w:r>
          <w:rPr>
            <w:i/>
            <w:iCs/>
            <w:color w:val="0072BC"/>
            <w:lang w:val="pl"/>
          </w:rPr>
          <w:t>Çölgeçen i Inni p. Turcji</w:t>
        </w:r>
        <w:r>
          <w:rPr>
            <w:lang w:val="pl"/>
          </w:rPr>
          <w:t>,</w:t>
        </w:r>
      </w:hyperlink>
      <w:r>
        <w:rPr>
          <w:lang w:val="pl"/>
        </w:rPr>
        <w:t xml:space="preserve"> §§ 39</w:t>
      </w:r>
      <w:r>
        <w:rPr>
          <w:lang w:val="pl"/>
        </w:rPr>
        <w:noBreakHyphen/>
        <w:t>40 (art. 2 Protokołu nr 1).</w:t>
      </w:r>
    </w:p>
    <w:p w:rsidR="00B71A20" w:rsidRPr="000625F6" w:rsidRDefault="000425B4" w:rsidP="00115011">
      <w:pPr>
        <w:pStyle w:val="Teksttreci0"/>
        <w:numPr>
          <w:ilvl w:val="0"/>
          <w:numId w:val="11"/>
        </w:numPr>
        <w:tabs>
          <w:tab w:val="left" w:pos="399"/>
        </w:tabs>
        <w:jc w:val="both"/>
        <w:rPr>
          <w:lang w:val="pl-PL"/>
        </w:rPr>
      </w:pPr>
      <w:r>
        <w:rPr>
          <w:lang w:val="pl"/>
        </w:rPr>
        <w:t xml:space="preserve">Ogłoszenie upadłości osoby prawnej w trakcie trwania postępowania przed Trybunałem nie musi pozbawiać jej statusu ofiary </w:t>
      </w:r>
      <w:hyperlink r:id="rId333" w:history="1">
        <w:r>
          <w:rPr>
            <w:lang w:val="pl"/>
          </w:rPr>
          <w:t>(</w:t>
        </w:r>
        <w:r>
          <w:rPr>
            <w:i/>
            <w:iCs/>
            <w:color w:val="0072BC"/>
            <w:lang w:val="pl"/>
          </w:rPr>
          <w:t>Satakunnan Markkinapörssi Oy i Satamedia Oy</w:t>
        </w:r>
      </w:hyperlink>
      <w:r>
        <w:rPr>
          <w:i/>
          <w:iCs/>
          <w:color w:val="0072BC"/>
          <w:lang w:val="pl"/>
        </w:rPr>
        <w:t xml:space="preserve"> </w:t>
      </w:r>
      <w:hyperlink r:id="rId334" w:history="1">
        <w:r>
          <w:rPr>
            <w:i/>
            <w:iCs/>
            <w:color w:val="0072BC"/>
            <w:lang w:val="pl"/>
          </w:rPr>
          <w:t xml:space="preserve">p. Finlandii </w:t>
        </w:r>
      </w:hyperlink>
      <w:r>
        <w:rPr>
          <w:lang w:val="pl"/>
        </w:rPr>
        <w:t xml:space="preserve">[WI], § 94). Podobnie jest w przypadku spółki, która przestała istnieć, a jej jedyni udziałowcy wykazali interes </w:t>
      </w:r>
      <w:r w:rsidR="00414809">
        <w:rPr>
          <w:lang w:val="pl"/>
        </w:rPr>
        <w:t>w </w:t>
      </w:r>
      <w:r>
        <w:rPr>
          <w:lang w:val="pl"/>
        </w:rPr>
        <w:t xml:space="preserve">kontynuowaniu skargi wniesionej w jej imieniu </w:t>
      </w:r>
      <w:hyperlink r:id="rId335" w:history="1">
        <w:r>
          <w:rPr>
            <w:lang w:val="pl"/>
          </w:rPr>
          <w:t>(</w:t>
        </w:r>
        <w:r>
          <w:rPr>
            <w:i/>
            <w:iCs/>
            <w:color w:val="0072BC"/>
            <w:lang w:val="pl"/>
          </w:rPr>
          <w:t>Euromak Metal</w:t>
        </w:r>
      </w:hyperlink>
      <w:r>
        <w:rPr>
          <w:i/>
          <w:iCs/>
          <w:color w:val="0072BC"/>
          <w:lang w:val="pl"/>
        </w:rPr>
        <w:t xml:space="preserve"> </w:t>
      </w:r>
      <w:hyperlink r:id="rId336" w:history="1">
        <w:r>
          <w:rPr>
            <w:i/>
            <w:iCs/>
            <w:color w:val="0072BC"/>
            <w:lang w:val="pl"/>
          </w:rPr>
          <w:t>Doo p. Byłej Jugosłowiańskiej Republice Macedonii</w:t>
        </w:r>
        <w:r>
          <w:rPr>
            <w:lang w:val="pl"/>
          </w:rPr>
          <w:t>,</w:t>
        </w:r>
      </w:hyperlink>
      <w:r>
        <w:rPr>
          <w:lang w:val="pl"/>
        </w:rPr>
        <w:t xml:space="preserve"> §§ 32</w:t>
      </w:r>
      <w:r>
        <w:rPr>
          <w:lang w:val="pl"/>
        </w:rPr>
        <w:noBreakHyphen/>
        <w:t>33, sprawa dotycząca sporu podatkowego w świetle art. 1 Protokołu nr 1; patrz też</w:t>
      </w:r>
      <w:hyperlink r:id="rId337" w:history="1">
        <w:r>
          <w:rPr>
            <w:i/>
            <w:iCs/>
            <w:lang w:val="pl"/>
          </w:rPr>
          <w:t xml:space="preserve"> </w:t>
        </w:r>
        <w:r>
          <w:rPr>
            <w:i/>
            <w:iCs/>
            <w:color w:val="0072BC"/>
            <w:lang w:val="pl"/>
          </w:rPr>
          <w:t>Schweizerische Radio- und Fernsehgesellschaft i publisuisse SA</w:t>
        </w:r>
      </w:hyperlink>
      <w:r>
        <w:rPr>
          <w:i/>
          <w:iCs/>
          <w:color w:val="0072BC"/>
          <w:lang w:val="pl"/>
        </w:rPr>
        <w:t xml:space="preserve"> </w:t>
      </w:r>
      <w:hyperlink r:id="rId338" w:history="1">
        <w:r>
          <w:rPr>
            <w:i/>
            <w:iCs/>
            <w:color w:val="0072BC"/>
            <w:lang w:val="pl"/>
          </w:rPr>
          <w:t>p. Szwajcarii</w:t>
        </w:r>
        <w:r>
          <w:rPr>
            <w:lang w:val="pl"/>
          </w:rPr>
          <w:t xml:space="preserve">, </w:t>
        </w:r>
      </w:hyperlink>
      <w:r>
        <w:rPr>
          <w:lang w:val="pl"/>
        </w:rPr>
        <w:t>§ 43</w:t>
      </w:r>
      <w:r>
        <w:rPr>
          <w:i/>
          <w:iCs/>
          <w:lang w:val="pl"/>
        </w:rPr>
        <w:t xml:space="preserve">, </w:t>
      </w:r>
      <w:r>
        <w:rPr>
          <w:lang w:val="pl"/>
        </w:rPr>
        <w:t>sprawa dotycząca spółki, która przerwała działalność po wniesieniu skargi do Trybunału, a jej działalność została przejęta przez inne przedsiębiorstwo, które zamierzało kontynuować postępowanie).</w:t>
      </w:r>
    </w:p>
    <w:p w:rsidR="00B71A20" w:rsidRPr="000625F6" w:rsidRDefault="000425B4" w:rsidP="00115011">
      <w:pPr>
        <w:pStyle w:val="Teksttreci0"/>
        <w:numPr>
          <w:ilvl w:val="0"/>
          <w:numId w:val="11"/>
        </w:numPr>
        <w:tabs>
          <w:tab w:val="left" w:pos="404"/>
        </w:tabs>
        <w:jc w:val="both"/>
        <w:rPr>
          <w:lang w:val="pl-PL"/>
        </w:rPr>
      </w:pPr>
      <w:r>
        <w:rPr>
          <w:lang w:val="pl"/>
        </w:rPr>
        <w:t>Sprawa może zostać skreślona z listy spraw z powodu utraty przez skarżącego statusu ofiary/</w:t>
      </w:r>
      <w:r>
        <w:rPr>
          <w:i/>
          <w:iCs/>
          <w:lang w:val="pl"/>
        </w:rPr>
        <w:t>locus standi</w:t>
      </w:r>
      <w:r>
        <w:rPr>
          <w:lang w:val="pl"/>
        </w:rPr>
        <w:t>. Rozstrzygnięcie sprawy na szczeblu krajowym po wydaniu decyzji dotyczącej dopuszczalności, patrz</w:t>
      </w:r>
      <w:hyperlink r:id="rId339" w:history="1">
        <w:r>
          <w:rPr>
            <w:lang w:val="pl"/>
          </w:rPr>
          <w:t xml:space="preserve"> </w:t>
        </w:r>
        <w:r>
          <w:rPr>
            <w:i/>
            <w:iCs/>
            <w:color w:val="0072BC"/>
            <w:lang w:val="pl"/>
          </w:rPr>
          <w:t>Ohlen</w:t>
        </w:r>
      </w:hyperlink>
      <w:r>
        <w:rPr>
          <w:i/>
          <w:iCs/>
          <w:color w:val="0072BC"/>
          <w:lang w:val="pl"/>
        </w:rPr>
        <w:t xml:space="preserve"> </w:t>
      </w:r>
      <w:hyperlink r:id="rId340" w:history="1">
        <w:r>
          <w:rPr>
            <w:i/>
            <w:iCs/>
            <w:color w:val="0072BC"/>
            <w:lang w:val="pl"/>
          </w:rPr>
          <w:t>p. Danii</w:t>
        </w:r>
        <w:r>
          <w:rPr>
            <w:color w:val="0072BC"/>
            <w:lang w:val="pl"/>
          </w:rPr>
          <w:t xml:space="preserve"> </w:t>
        </w:r>
      </w:hyperlink>
      <w:r>
        <w:rPr>
          <w:lang w:val="pl"/>
        </w:rPr>
        <w:t>(skreślenie); umowa przenosząca prawa, które były przedmiotem skargi badanej przez Trybunał, patrz</w:t>
      </w:r>
      <w:hyperlink r:id="rId341" w:history="1">
        <w:r>
          <w:rPr>
            <w:lang w:val="pl"/>
          </w:rPr>
          <w:t xml:space="preserve"> </w:t>
        </w:r>
        <w:r>
          <w:rPr>
            <w:i/>
            <w:iCs/>
            <w:color w:val="0072BC"/>
            <w:lang w:val="pl"/>
          </w:rPr>
          <w:t>Dimitrescu p. Rumunii</w:t>
        </w:r>
        <w:r>
          <w:rPr>
            <w:lang w:val="pl"/>
          </w:rPr>
          <w:t>,</w:t>
        </w:r>
      </w:hyperlink>
      <w:r>
        <w:rPr>
          <w:lang w:val="pl"/>
        </w:rPr>
        <w:t xml:space="preserve"> §§ 33-34.</w:t>
      </w:r>
    </w:p>
    <w:p w:rsidR="00B71A20" w:rsidRPr="000625F6" w:rsidRDefault="000425B4" w:rsidP="00115011">
      <w:pPr>
        <w:pStyle w:val="Teksttreci0"/>
        <w:numPr>
          <w:ilvl w:val="0"/>
          <w:numId w:val="11"/>
        </w:numPr>
        <w:tabs>
          <w:tab w:val="left" w:pos="399"/>
        </w:tabs>
        <w:spacing w:after="220"/>
        <w:jc w:val="both"/>
        <w:rPr>
          <w:lang w:val="pl-PL"/>
        </w:rPr>
      </w:pPr>
      <w:bookmarkStart w:id="43" w:name="bookmark42"/>
      <w:r>
        <w:rPr>
          <w:lang w:val="pl"/>
        </w:rPr>
        <w:t xml:space="preserve">Trybunał również bada, czy sprawa powinna być skreślona z listy spraw na gruncie art. 37 Konwencji w świetle wydarzeń następujących po wniesieniu skargi, niezależnie od faktu, że skarżący może nadal twierdzić, że jest „ofiarą” </w:t>
      </w:r>
      <w:hyperlink r:id="rId342" w:history="1">
        <w:r>
          <w:rPr>
            <w:lang w:val="pl"/>
          </w:rPr>
          <w:t>(</w:t>
        </w:r>
        <w:r>
          <w:rPr>
            <w:i/>
            <w:iCs/>
            <w:color w:val="0072BC"/>
            <w:lang w:val="pl"/>
          </w:rPr>
          <w:t xml:space="preserve">Pisano p. Włochom </w:t>
        </w:r>
      </w:hyperlink>
      <w:r>
        <w:rPr>
          <w:lang w:val="pl"/>
        </w:rPr>
        <w:t>(skreślenie) [WI], § 39), i nawet niezależnie od tego, czy osoba ta nadal domaga się statusu poszkodowanego. Wydarzenia następujące po decyzji o zrzeczeniu się jurysdykcji na rzecz Wielkiej Izby, patrz</w:t>
      </w:r>
      <w:hyperlink r:id="rId343" w:history="1">
        <w:r>
          <w:rPr>
            <w:lang w:val="pl"/>
          </w:rPr>
          <w:t xml:space="preserve"> </w:t>
        </w:r>
        <w:r>
          <w:rPr>
            <w:i/>
            <w:iCs/>
            <w:color w:val="0072BC"/>
            <w:lang w:val="pl"/>
          </w:rPr>
          <w:t>El Majjaoui i Stichting Touba Moskee p. Holandii</w:t>
        </w:r>
      </w:hyperlink>
      <w:r>
        <w:rPr>
          <w:color w:val="0072BC"/>
          <w:lang w:val="pl"/>
        </w:rPr>
        <w:t xml:space="preserve"> </w:t>
      </w:r>
      <w:r>
        <w:rPr>
          <w:lang w:val="pl"/>
        </w:rPr>
        <w:lastRenderedPageBreak/>
        <w:t>(skreślenie) [WI], §§ 28-35; po uznaniu skargi za dopuszczalną, patrz</w:t>
      </w:r>
      <w:hyperlink r:id="rId344" w:history="1">
        <w:r>
          <w:rPr>
            <w:lang w:val="pl"/>
          </w:rPr>
          <w:t xml:space="preserve"> </w:t>
        </w:r>
        <w:r>
          <w:rPr>
            <w:i/>
            <w:iCs/>
            <w:color w:val="0072BC"/>
            <w:lang w:val="pl"/>
          </w:rPr>
          <w:t>Shevanova</w:t>
        </w:r>
      </w:hyperlink>
      <w:r>
        <w:rPr>
          <w:i/>
          <w:iCs/>
          <w:color w:val="0072BC"/>
          <w:lang w:val="pl"/>
        </w:rPr>
        <w:t xml:space="preserve"> </w:t>
      </w:r>
      <w:hyperlink r:id="rId345" w:history="1">
        <w:r>
          <w:rPr>
            <w:i/>
            <w:iCs/>
            <w:color w:val="0072BC"/>
            <w:lang w:val="pl"/>
          </w:rPr>
          <w:t xml:space="preserve">p. Łotwie </w:t>
        </w:r>
      </w:hyperlink>
      <w:r>
        <w:rPr>
          <w:lang w:val="pl"/>
        </w:rPr>
        <w:t>(skreślenie) [WI], §§ 44 i następne; i po orzeczeniu Izby, patrz</w:t>
      </w:r>
      <w:hyperlink r:id="rId346" w:history="1">
        <w:r>
          <w:rPr>
            <w:lang w:val="pl"/>
          </w:rPr>
          <w:t xml:space="preserve"> </w:t>
        </w:r>
        <w:r>
          <w:rPr>
            <w:i/>
            <w:iCs/>
            <w:color w:val="0072BC"/>
            <w:lang w:val="pl"/>
          </w:rPr>
          <w:t>Sisojeva i Inni</w:t>
        </w:r>
      </w:hyperlink>
      <w:r>
        <w:rPr>
          <w:i/>
          <w:iCs/>
          <w:color w:val="0072BC"/>
          <w:lang w:val="pl"/>
        </w:rPr>
        <w:t xml:space="preserve"> </w:t>
      </w:r>
      <w:hyperlink r:id="rId347" w:history="1">
        <w:r>
          <w:rPr>
            <w:i/>
            <w:iCs/>
            <w:color w:val="0072BC"/>
            <w:lang w:val="pl"/>
          </w:rPr>
          <w:t xml:space="preserve">p. Łotwie </w:t>
        </w:r>
      </w:hyperlink>
      <w:r>
        <w:rPr>
          <w:lang w:val="pl"/>
        </w:rPr>
        <w:t>(skreślenie) [WI], § 96.</w:t>
      </w:r>
      <w:bookmarkEnd w:id="43"/>
    </w:p>
    <w:p w:rsidR="00B71A20" w:rsidRDefault="008D530C" w:rsidP="008D530C">
      <w:pPr>
        <w:pStyle w:val="Nagwek41"/>
        <w:keepNext/>
        <w:keepLines/>
        <w:tabs>
          <w:tab w:val="left" w:pos="387"/>
        </w:tabs>
        <w:jc w:val="both"/>
      </w:pPr>
      <w:bookmarkStart w:id="44" w:name="_Toc126335613"/>
      <w:bookmarkStart w:id="45" w:name="_Toc126660567"/>
      <w:r>
        <w:rPr>
          <w:lang w:val="pl"/>
        </w:rPr>
        <w:t xml:space="preserve">f.  </w:t>
      </w:r>
      <w:r w:rsidR="000425B4">
        <w:rPr>
          <w:lang w:val="pl"/>
        </w:rPr>
        <w:t>Śmierć skarżącego</w:t>
      </w:r>
      <w:bookmarkEnd w:id="44"/>
      <w:bookmarkEnd w:id="45"/>
    </w:p>
    <w:p w:rsidR="00B71A20" w:rsidRPr="000625F6" w:rsidRDefault="000425B4" w:rsidP="00115011">
      <w:pPr>
        <w:pStyle w:val="Teksttreci0"/>
        <w:numPr>
          <w:ilvl w:val="0"/>
          <w:numId w:val="12"/>
        </w:numPr>
        <w:tabs>
          <w:tab w:val="left" w:pos="404"/>
        </w:tabs>
        <w:jc w:val="both"/>
        <w:rPr>
          <w:lang w:val="pl"/>
        </w:rPr>
      </w:pPr>
      <w:r>
        <w:rPr>
          <w:lang w:val="pl"/>
        </w:rPr>
        <w:t xml:space="preserve">Co do zasady, spadkobiercy lub członkowie bliskiej rodziny chcący, by postępowanie toczyło się dalej, mogą kontynuować skargę złożoną przez skarżącego przed jego śmiercią pod warunkiem, że mają w sprawie wystarczający/uprawniony interes </w:t>
      </w:r>
      <w:hyperlink r:id="rId348" w:history="1">
        <w:r>
          <w:rPr>
            <w:lang w:val="pl"/>
          </w:rPr>
          <w:t>(</w:t>
        </w:r>
        <w:r>
          <w:rPr>
            <w:i/>
            <w:iCs/>
            <w:color w:val="0072BC"/>
            <w:lang w:val="pl"/>
          </w:rPr>
          <w:t xml:space="preserve">López Ribalda i Inni p. Hiszpanii </w:t>
        </w:r>
      </w:hyperlink>
      <w:r>
        <w:rPr>
          <w:lang w:val="pl"/>
        </w:rPr>
        <w:t>[WI], §§ 71-73;</w:t>
      </w:r>
      <w:hyperlink r:id="rId349" w:history="1">
        <w:r>
          <w:rPr>
            <w:lang w:val="pl"/>
          </w:rPr>
          <w:t xml:space="preserve"> </w:t>
        </w:r>
        <w:r>
          <w:rPr>
            <w:i/>
            <w:iCs/>
            <w:color w:val="0072BC"/>
            <w:lang w:val="pl"/>
          </w:rPr>
          <w:t xml:space="preserve">Malhous p. Czechom </w:t>
        </w:r>
      </w:hyperlink>
      <w:r>
        <w:rPr>
          <w:lang w:val="pl"/>
        </w:rPr>
        <w:t>(dec.) [WI];</w:t>
      </w:r>
      <w:hyperlink r:id="rId350" w:history="1">
        <w:r>
          <w:rPr>
            <w:lang w:val="pl"/>
          </w:rPr>
          <w:t xml:space="preserve"> </w:t>
        </w:r>
        <w:r>
          <w:rPr>
            <w:i/>
            <w:iCs/>
            <w:color w:val="0072BC"/>
            <w:lang w:val="pl"/>
          </w:rPr>
          <w:t>Tagiyev i Huseynov p. Azerbejdżanowi</w:t>
        </w:r>
        <w:r>
          <w:rPr>
            <w:lang w:val="pl"/>
          </w:rPr>
          <w:t>,</w:t>
        </w:r>
      </w:hyperlink>
      <w:r>
        <w:rPr>
          <w:lang w:val="pl"/>
        </w:rPr>
        <w:t xml:space="preserve"> §§ 23-24 i cytowane tam odniesienia;</w:t>
      </w:r>
      <w:hyperlink r:id="rId351" w:history="1">
        <w:r>
          <w:rPr>
            <w:lang w:val="pl"/>
          </w:rPr>
          <w:t xml:space="preserve"> </w:t>
        </w:r>
        <w:r>
          <w:rPr>
            <w:i/>
            <w:iCs/>
            <w:color w:val="0072BC"/>
            <w:lang w:val="pl"/>
          </w:rPr>
          <w:t>Hristozov i Inni p. Bułgarii</w:t>
        </w:r>
        <w:r>
          <w:rPr>
            <w:lang w:val="pl"/>
          </w:rPr>
          <w:t>,</w:t>
        </w:r>
      </w:hyperlink>
      <w:r>
        <w:rPr>
          <w:lang w:val="pl"/>
        </w:rPr>
        <w:t xml:space="preserve"> § 71;</w:t>
      </w:r>
      <w:hyperlink r:id="rId352" w:history="1">
        <w:r>
          <w:rPr>
            <w:lang w:val="pl"/>
          </w:rPr>
          <w:t xml:space="preserve"> </w:t>
        </w:r>
        <w:r>
          <w:rPr>
            <w:i/>
            <w:iCs/>
            <w:color w:val="0072BC"/>
            <w:lang w:val="pl"/>
          </w:rPr>
          <w:t>Ergezen p. Turcji</w:t>
        </w:r>
        <w:r>
          <w:rPr>
            <w:lang w:val="pl"/>
          </w:rPr>
          <w:t>,</w:t>
        </w:r>
      </w:hyperlink>
      <w:r>
        <w:rPr>
          <w:lang w:val="pl"/>
        </w:rPr>
        <w:t xml:space="preserve"> § 30;</w:t>
      </w:r>
      <w:hyperlink r:id="rId353" w:history="1">
        <w:r>
          <w:rPr>
            <w:lang w:val="pl"/>
          </w:rPr>
          <w:t xml:space="preserve"> </w:t>
        </w:r>
        <w:r>
          <w:rPr>
            <w:i/>
            <w:iCs/>
            <w:color w:val="0072BC"/>
            <w:lang w:val="pl"/>
          </w:rPr>
          <w:t>Pais</w:t>
        </w:r>
      </w:hyperlink>
      <w:r>
        <w:rPr>
          <w:i/>
          <w:iCs/>
          <w:color w:val="0072BC"/>
          <w:lang w:val="pl"/>
        </w:rPr>
        <w:t xml:space="preserve"> </w:t>
      </w:r>
      <w:hyperlink r:id="rId354" w:history="1">
        <w:r>
          <w:rPr>
            <w:i/>
            <w:iCs/>
            <w:color w:val="0072BC"/>
            <w:lang w:val="pl"/>
          </w:rPr>
          <w:t>Pires de Lima p. Portugalii</w:t>
        </w:r>
        <w:r>
          <w:rPr>
            <w:lang w:val="pl"/>
          </w:rPr>
          <w:t>,</w:t>
        </w:r>
      </w:hyperlink>
      <w:r>
        <w:rPr>
          <w:lang w:val="pl"/>
        </w:rPr>
        <w:t xml:space="preserve"> §§ 36</w:t>
      </w:r>
      <w:r>
        <w:rPr>
          <w:lang w:val="pl"/>
        </w:rPr>
        <w:noBreakHyphen/>
        <w:t>40;</w:t>
      </w:r>
      <w:hyperlink r:id="rId355" w:history="1">
        <w:r>
          <w:rPr>
            <w:lang w:val="pl"/>
          </w:rPr>
          <w:t xml:space="preserve"> </w:t>
        </w:r>
        <w:r>
          <w:rPr>
            <w:i/>
            <w:iCs/>
            <w:color w:val="0072BC"/>
            <w:lang w:val="pl"/>
          </w:rPr>
          <w:t>Karastelev i Inni p. Rosji</w:t>
        </w:r>
        <w:r>
          <w:rPr>
            <w:lang w:val="pl"/>
          </w:rPr>
          <w:t xml:space="preserve">, </w:t>
        </w:r>
      </w:hyperlink>
      <w:r>
        <w:rPr>
          <w:lang w:val="pl"/>
        </w:rPr>
        <w:t>§ 51;</w:t>
      </w:r>
      <w:hyperlink r:id="rId356" w:history="1">
        <w:r>
          <w:rPr>
            <w:lang w:val="pl"/>
          </w:rPr>
          <w:t xml:space="preserve"> </w:t>
        </w:r>
        <w:r>
          <w:rPr>
            <w:i/>
            <w:iCs/>
            <w:color w:val="0072BC"/>
            <w:lang w:val="pl"/>
          </w:rPr>
          <w:t>Mile Novaković p. Chorwacji</w:t>
        </w:r>
        <w:r>
          <w:rPr>
            <w:lang w:val="pl"/>
          </w:rPr>
          <w:t>,</w:t>
        </w:r>
      </w:hyperlink>
      <w:r>
        <w:rPr>
          <w:lang w:val="pl"/>
        </w:rPr>
        <w:t xml:space="preserve"> §§ 33-34).</w:t>
      </w:r>
    </w:p>
    <w:p w:rsidR="00B71A20" w:rsidRPr="000625F6" w:rsidRDefault="000425B4" w:rsidP="00115011">
      <w:pPr>
        <w:pStyle w:val="Teksttreci0"/>
        <w:numPr>
          <w:ilvl w:val="0"/>
          <w:numId w:val="12"/>
        </w:numPr>
        <w:tabs>
          <w:tab w:val="left" w:pos="394"/>
        </w:tabs>
        <w:jc w:val="both"/>
        <w:rPr>
          <w:lang w:val="pl-PL"/>
        </w:rPr>
      </w:pPr>
      <w:r>
        <w:rPr>
          <w:lang w:val="pl"/>
        </w:rPr>
        <w:t>Jednak w sytuacji, gdy skarżący umiera w trakcie postępowania i nikt nie wyraził woli kontynuowania skargi albo osoby, które wyraziły taką wolę, nie są spadkobiercami lub wystarczająco bliskimi krewnymi skarżącego oraz nie są w stanie wykazać, że mają uprawniony interes w</w:t>
      </w:r>
      <w:r w:rsidR="00414809">
        <w:rPr>
          <w:lang w:val="pl"/>
        </w:rPr>
        <w:t> </w:t>
      </w:r>
      <w:r>
        <w:rPr>
          <w:lang w:val="pl"/>
        </w:rPr>
        <w:t xml:space="preserve">kontynuowaniu skargi, Trybunał skreśli skargę ze swojej listy </w:t>
      </w:r>
      <w:hyperlink r:id="rId357" w:history="1">
        <w:r>
          <w:rPr>
            <w:lang w:val="pl"/>
          </w:rPr>
          <w:t>(</w:t>
        </w:r>
        <w:r>
          <w:rPr>
            <w:i/>
            <w:iCs/>
            <w:color w:val="0072BC"/>
            <w:lang w:val="pl"/>
          </w:rPr>
          <w:t xml:space="preserve">Léger p. Francji </w:t>
        </w:r>
      </w:hyperlink>
      <w:r>
        <w:rPr>
          <w:lang w:val="pl"/>
        </w:rPr>
        <w:t>(skreślenie) [WI], § 50;</w:t>
      </w:r>
      <w:hyperlink r:id="rId358" w:history="1">
        <w:r>
          <w:rPr>
            <w:lang w:val="pl"/>
          </w:rPr>
          <w:t xml:space="preserve"> </w:t>
        </w:r>
        <w:r>
          <w:rPr>
            <w:i/>
            <w:iCs/>
            <w:color w:val="0072BC"/>
            <w:lang w:val="pl"/>
          </w:rPr>
          <w:t xml:space="preserve">Hirsi Jamaa i Inni p. Włochom </w:t>
        </w:r>
      </w:hyperlink>
      <w:r>
        <w:rPr>
          <w:lang w:val="pl"/>
        </w:rPr>
        <w:t>[WI], § 57;</w:t>
      </w:r>
      <w:hyperlink r:id="rId359" w:history="1">
        <w:r>
          <w:rPr>
            <w:lang w:val="pl"/>
          </w:rPr>
          <w:t xml:space="preserve"> </w:t>
        </w:r>
        <w:r>
          <w:rPr>
            <w:i/>
            <w:iCs/>
            <w:color w:val="0072BC"/>
            <w:lang w:val="pl"/>
          </w:rPr>
          <w:t>Burlya i</w:t>
        </w:r>
      </w:hyperlink>
      <w:r>
        <w:rPr>
          <w:i/>
          <w:iCs/>
          <w:color w:val="0072BC"/>
          <w:lang w:val="pl"/>
        </w:rPr>
        <w:t xml:space="preserve"> </w:t>
      </w:r>
      <w:hyperlink r:id="rId360" w:history="1">
        <w:r>
          <w:rPr>
            <w:i/>
            <w:iCs/>
            <w:color w:val="0072BC"/>
            <w:lang w:val="pl"/>
          </w:rPr>
          <w:t>Inni p. Ukrainie</w:t>
        </w:r>
        <w:r>
          <w:rPr>
            <w:sz w:val="20"/>
            <w:szCs w:val="20"/>
            <w:lang w:val="pl"/>
          </w:rPr>
          <w:t>,</w:t>
        </w:r>
      </w:hyperlink>
      <w:r>
        <w:rPr>
          <w:sz w:val="20"/>
          <w:szCs w:val="20"/>
          <w:lang w:val="pl"/>
        </w:rPr>
        <w:t xml:space="preserve"> §§ 70</w:t>
      </w:r>
      <w:r>
        <w:rPr>
          <w:sz w:val="20"/>
          <w:szCs w:val="20"/>
          <w:lang w:val="pl"/>
        </w:rPr>
        <w:noBreakHyphen/>
        <w:t>75</w:t>
      </w:r>
      <w:r>
        <w:rPr>
          <w:lang w:val="pl"/>
        </w:rPr>
        <w:t xml:space="preserve">), chyba że sprawa jest bardzo wyjątkowa, a Trybunał stwierdzi, że poszanowanie praw człowieka tak, jak zostało ono zdefiniowane w Konwencji i Protokołach do niej, wymaga dalszego jej badania </w:t>
      </w:r>
      <w:hyperlink r:id="rId361" w:history="1">
        <w:r>
          <w:rPr>
            <w:lang w:val="pl"/>
          </w:rPr>
          <w:t>(</w:t>
        </w:r>
        <w:r>
          <w:rPr>
            <w:i/>
            <w:iCs/>
            <w:color w:val="0072BC"/>
            <w:lang w:val="pl"/>
          </w:rPr>
          <w:t xml:space="preserve">Paposhvili p. Belgii </w:t>
        </w:r>
      </w:hyperlink>
      <w:r>
        <w:rPr>
          <w:lang w:val="pl"/>
        </w:rPr>
        <w:t>[WI], §§ 129-133;</w:t>
      </w:r>
      <w:hyperlink r:id="rId362" w:history="1">
        <w:r>
          <w:rPr>
            <w:lang w:val="pl"/>
          </w:rPr>
          <w:t xml:space="preserve"> </w:t>
        </w:r>
        <w:r>
          <w:rPr>
            <w:i/>
            <w:iCs/>
            <w:color w:val="0072BC"/>
            <w:lang w:val="pl"/>
          </w:rPr>
          <w:t>Delecolle p. Francji</w:t>
        </w:r>
        <w:r>
          <w:rPr>
            <w:lang w:val="pl"/>
          </w:rPr>
          <w:t>,</w:t>
        </w:r>
      </w:hyperlink>
      <w:r>
        <w:rPr>
          <w:lang w:val="pl"/>
        </w:rPr>
        <w:t xml:space="preserve"> § 39;</w:t>
      </w:r>
      <w:hyperlink r:id="rId363" w:history="1">
        <w:r>
          <w:rPr>
            <w:lang w:val="pl"/>
          </w:rPr>
          <w:t xml:space="preserve"> </w:t>
        </w:r>
        <w:r>
          <w:rPr>
            <w:i/>
            <w:iCs/>
            <w:color w:val="0072BC"/>
            <w:lang w:val="pl"/>
          </w:rPr>
          <w:t>Karner</w:t>
        </w:r>
      </w:hyperlink>
      <w:r>
        <w:rPr>
          <w:i/>
          <w:iCs/>
          <w:color w:val="0072BC"/>
          <w:lang w:val="pl"/>
        </w:rPr>
        <w:t xml:space="preserve"> </w:t>
      </w:r>
      <w:hyperlink r:id="rId364" w:history="1">
        <w:r>
          <w:rPr>
            <w:i/>
            <w:iCs/>
            <w:color w:val="0072BC"/>
            <w:lang w:val="pl"/>
          </w:rPr>
          <w:t>p. Austrii</w:t>
        </w:r>
        <w:r>
          <w:rPr>
            <w:lang w:val="pl"/>
          </w:rPr>
          <w:t>,</w:t>
        </w:r>
      </w:hyperlink>
      <w:r>
        <w:rPr>
          <w:lang w:val="pl"/>
        </w:rPr>
        <w:t xml:space="preserve"> §§ 25 i nast.).</w:t>
      </w:r>
    </w:p>
    <w:p w:rsidR="00B71A20" w:rsidRPr="000625F6" w:rsidRDefault="000425B4" w:rsidP="00115011">
      <w:pPr>
        <w:pStyle w:val="Teksttreci0"/>
        <w:numPr>
          <w:ilvl w:val="0"/>
          <w:numId w:val="12"/>
        </w:numPr>
        <w:tabs>
          <w:tab w:val="left" w:pos="394"/>
        </w:tabs>
        <w:spacing w:after="220"/>
        <w:jc w:val="both"/>
        <w:rPr>
          <w:lang w:val="pl-PL"/>
        </w:rPr>
      </w:pPr>
      <w:bookmarkStart w:id="46" w:name="bookmark45"/>
      <w:r>
        <w:rPr>
          <w:lang w:val="pl"/>
        </w:rPr>
        <w:t>Patrz, na przykład,</w:t>
      </w:r>
      <w:hyperlink r:id="rId365" w:history="1">
        <w:r>
          <w:rPr>
            <w:lang w:val="pl"/>
          </w:rPr>
          <w:t xml:space="preserve"> </w:t>
        </w:r>
        <w:r>
          <w:rPr>
            <w:i/>
            <w:iCs/>
            <w:color w:val="0072BC"/>
            <w:lang w:val="pl"/>
          </w:rPr>
          <w:t>Raimondo p. Włochom</w:t>
        </w:r>
        <w:r>
          <w:rPr>
            <w:lang w:val="pl"/>
          </w:rPr>
          <w:t>,</w:t>
        </w:r>
      </w:hyperlink>
      <w:r>
        <w:rPr>
          <w:lang w:val="pl"/>
        </w:rPr>
        <w:t xml:space="preserve"> § 2, i</w:t>
      </w:r>
      <w:hyperlink r:id="rId366" w:history="1">
        <w:r>
          <w:rPr>
            <w:lang w:val="pl"/>
          </w:rPr>
          <w:t xml:space="preserve"> </w:t>
        </w:r>
        <w:r>
          <w:rPr>
            <w:i/>
            <w:iCs/>
            <w:color w:val="0072BC"/>
            <w:lang w:val="pl"/>
          </w:rPr>
          <w:t>Stojkovic p. Byłej Jugosłowiańskiej Republice</w:t>
        </w:r>
      </w:hyperlink>
      <w:r>
        <w:rPr>
          <w:i/>
          <w:iCs/>
          <w:color w:val="0072BC"/>
          <w:lang w:val="pl"/>
        </w:rPr>
        <w:t xml:space="preserve"> </w:t>
      </w:r>
      <w:hyperlink r:id="rId367" w:history="1">
        <w:r>
          <w:rPr>
            <w:i/>
            <w:iCs/>
            <w:color w:val="0072BC"/>
            <w:lang w:val="pl"/>
          </w:rPr>
          <w:t>Macedonii</w:t>
        </w:r>
        <w:r>
          <w:rPr>
            <w:lang w:val="pl"/>
          </w:rPr>
          <w:t>,</w:t>
        </w:r>
      </w:hyperlink>
      <w:r>
        <w:rPr>
          <w:lang w:val="pl"/>
        </w:rPr>
        <w:t xml:space="preserve"> § 25 (wdowa i dzieci);</w:t>
      </w:r>
      <w:hyperlink r:id="rId368" w:history="1">
        <w:r>
          <w:rPr>
            <w:lang w:val="pl"/>
          </w:rPr>
          <w:t xml:space="preserve"> </w:t>
        </w:r>
        <w:r>
          <w:rPr>
            <w:i/>
            <w:iCs/>
            <w:color w:val="0072BC"/>
            <w:lang w:val="pl"/>
          </w:rPr>
          <w:t>X p. Francji</w:t>
        </w:r>
        <w:r>
          <w:rPr>
            <w:lang w:val="pl"/>
          </w:rPr>
          <w:t>,</w:t>
        </w:r>
      </w:hyperlink>
      <w:r>
        <w:rPr>
          <w:lang w:val="pl"/>
        </w:rPr>
        <w:t xml:space="preserve"> § 26 (rodzice);</w:t>
      </w:r>
      <w:hyperlink r:id="rId369" w:history="1">
        <w:r>
          <w:rPr>
            <w:lang w:val="pl"/>
          </w:rPr>
          <w:t xml:space="preserve"> </w:t>
        </w:r>
        <w:r>
          <w:rPr>
            <w:i/>
            <w:iCs/>
            <w:color w:val="0072BC"/>
            <w:lang w:val="pl"/>
          </w:rPr>
          <w:t>Malhous p. Czechom</w:t>
        </w:r>
      </w:hyperlink>
      <w:r>
        <w:rPr>
          <w:color w:val="0072BC"/>
          <w:lang w:val="pl"/>
        </w:rPr>
        <w:t xml:space="preserve"> </w:t>
      </w:r>
      <w:r>
        <w:rPr>
          <w:lang w:val="pl"/>
        </w:rPr>
        <w:t>(dec.) [WI] (bratanek i potencjalny spadkobierca);</w:t>
      </w:r>
      <w:hyperlink r:id="rId370" w:history="1">
        <w:r>
          <w:rPr>
            <w:lang w:val="pl"/>
          </w:rPr>
          <w:t xml:space="preserve"> </w:t>
        </w:r>
        <w:r>
          <w:rPr>
            <w:i/>
            <w:iCs/>
            <w:color w:val="0072BC"/>
            <w:lang w:val="pl"/>
          </w:rPr>
          <w:t xml:space="preserve">Velikova p. Bułgarii </w:t>
        </w:r>
      </w:hyperlink>
      <w:r>
        <w:rPr>
          <w:lang w:val="pl"/>
        </w:rPr>
        <w:t>(dec.),</w:t>
      </w:r>
      <w:hyperlink r:id="rId371" w:history="1">
        <w:r>
          <w:rPr>
            <w:lang w:val="pl"/>
          </w:rPr>
          <w:t xml:space="preserve"> </w:t>
        </w:r>
        <w:r>
          <w:rPr>
            <w:i/>
            <w:iCs/>
            <w:color w:val="0072BC"/>
            <w:lang w:val="pl"/>
          </w:rPr>
          <w:t>Ivko p. Rosji</w:t>
        </w:r>
        <w:r>
          <w:rPr>
            <w:lang w:val="pl"/>
          </w:rPr>
          <w:t xml:space="preserve">, </w:t>
        </w:r>
      </w:hyperlink>
      <w:r>
        <w:rPr>
          <w:lang w:val="pl"/>
        </w:rPr>
        <w:t>§§ 64</w:t>
      </w:r>
      <w:r>
        <w:rPr>
          <w:lang w:val="pl"/>
        </w:rPr>
        <w:noBreakHyphen/>
        <w:t xml:space="preserve">70, i </w:t>
      </w:r>
      <w:hyperlink r:id="rId372" w:history="1">
        <w:r>
          <w:rPr>
            <w:i/>
            <w:iCs/>
            <w:color w:val="0072BC"/>
            <w:lang w:val="pl"/>
          </w:rPr>
          <w:t>Delecolle p. Francji</w:t>
        </w:r>
        <w:r>
          <w:rPr>
            <w:lang w:val="pl"/>
          </w:rPr>
          <w:t>,</w:t>
        </w:r>
      </w:hyperlink>
      <w:r>
        <w:rPr>
          <w:lang w:val="pl"/>
        </w:rPr>
        <w:t xml:space="preserve"> §§ 39</w:t>
      </w:r>
      <w:r>
        <w:rPr>
          <w:lang w:val="pl"/>
        </w:rPr>
        <w:noBreakHyphen/>
        <w:t xml:space="preserve">44 (nieżonaty lub </w:t>
      </w:r>
      <w:r>
        <w:rPr>
          <w:i/>
          <w:iCs/>
          <w:lang w:val="pl"/>
        </w:rPr>
        <w:t>de facto</w:t>
      </w:r>
      <w:r>
        <w:rPr>
          <w:lang w:val="pl"/>
        </w:rPr>
        <w:t xml:space="preserve"> partner); w odróżnieniu od</w:t>
      </w:r>
      <w:hyperlink r:id="rId373" w:history="1">
        <w:r>
          <w:rPr>
            <w:lang w:val="pl"/>
          </w:rPr>
          <w:t xml:space="preserve"> </w:t>
        </w:r>
        <w:r>
          <w:rPr>
            <w:i/>
            <w:iCs/>
            <w:color w:val="0072BC"/>
            <w:lang w:val="pl"/>
          </w:rPr>
          <w:t>Thévenon p. Francji</w:t>
        </w:r>
      </w:hyperlink>
      <w:r>
        <w:rPr>
          <w:color w:val="0072BC"/>
          <w:lang w:val="pl"/>
        </w:rPr>
        <w:t xml:space="preserve"> </w:t>
      </w:r>
      <w:r>
        <w:rPr>
          <w:lang w:val="pl"/>
        </w:rPr>
        <w:t>(dec.) (jedyny spadkobierca testamentowy niespokrewniony ze zmarłym);</w:t>
      </w:r>
      <w:hyperlink r:id="rId374" w:history="1">
        <w:r>
          <w:rPr>
            <w:lang w:val="pl"/>
          </w:rPr>
          <w:t xml:space="preserve"> </w:t>
        </w:r>
        <w:r>
          <w:rPr>
            <w:i/>
            <w:iCs/>
            <w:color w:val="0072BC"/>
            <w:lang w:val="pl"/>
          </w:rPr>
          <w:t xml:space="preserve">Léger p. Francji </w:t>
        </w:r>
      </w:hyperlink>
      <w:r>
        <w:rPr>
          <w:lang w:val="pl"/>
        </w:rPr>
        <w:t>(skreślenie) [WI], §§ 50-51 (siostrzenica);</w:t>
      </w:r>
      <w:hyperlink r:id="rId375" w:history="1">
        <w:r>
          <w:rPr>
            <w:lang w:val="pl"/>
          </w:rPr>
          <w:t xml:space="preserve"> </w:t>
        </w:r>
        <w:r>
          <w:rPr>
            <w:i/>
            <w:iCs/>
            <w:color w:val="0072BC"/>
            <w:lang w:val="pl"/>
          </w:rPr>
          <w:t>Savenko i Inni p. Rosji</w:t>
        </w:r>
        <w:r>
          <w:rPr>
            <w:lang w:val="pl"/>
          </w:rPr>
          <w:t>,</w:t>
        </w:r>
      </w:hyperlink>
      <w:r>
        <w:rPr>
          <w:lang w:val="pl"/>
        </w:rPr>
        <w:t xml:space="preserve"> § 53 (była żona, która rozwiodła się ze skarżącym dwanaście lat przed jego śmiercią i po rozwodzie nie utrzymywała z nim bliskich kontaktów).</w:t>
      </w:r>
      <w:bookmarkEnd w:id="46"/>
    </w:p>
    <w:p w:rsidR="00B71A20" w:rsidRPr="00714765" w:rsidRDefault="0097345A" w:rsidP="0097345A">
      <w:pPr>
        <w:pStyle w:val="Nagwek31"/>
        <w:keepNext/>
        <w:keepLines/>
        <w:tabs>
          <w:tab w:val="left" w:pos="340"/>
        </w:tabs>
        <w:spacing w:after="100"/>
        <w:jc w:val="both"/>
      </w:pPr>
      <w:bookmarkStart w:id="47" w:name="bookmark46"/>
      <w:bookmarkStart w:id="48" w:name="_Toc126335614"/>
      <w:bookmarkStart w:id="49" w:name="_Toc126660568"/>
      <w:r>
        <w:rPr>
          <w:lang w:val="pl"/>
        </w:rPr>
        <w:t xml:space="preserve">4.  </w:t>
      </w:r>
      <w:r w:rsidR="000425B4" w:rsidRPr="00714765">
        <w:rPr>
          <w:lang w:val="pl"/>
        </w:rPr>
        <w:t>Reprezentacja</w:t>
      </w:r>
      <w:bookmarkEnd w:id="47"/>
      <w:bookmarkEnd w:id="48"/>
      <w:bookmarkEnd w:id="49"/>
    </w:p>
    <w:p w:rsidR="00B71A20" w:rsidRPr="000625F6" w:rsidRDefault="000425B4" w:rsidP="00115011">
      <w:pPr>
        <w:pStyle w:val="Teksttreci0"/>
        <w:numPr>
          <w:ilvl w:val="0"/>
          <w:numId w:val="12"/>
        </w:numPr>
        <w:tabs>
          <w:tab w:val="left" w:pos="394"/>
        </w:tabs>
        <w:spacing w:after="120"/>
        <w:jc w:val="both"/>
        <w:rPr>
          <w:lang w:val="pl-PL"/>
        </w:rPr>
      </w:pPr>
      <w:r>
        <w:rPr>
          <w:lang w:val="pl"/>
        </w:rPr>
        <w:t xml:space="preserve">W sytuacji, gdy zgodnie z Regułą 36 § 1 Regulaminu Trybunału skarżący zdecydują się wnieść skargę za pośrednictwem przedstawiciela zamiast osobiście, muszą przedstawić należycie podpisane pisemne upoważnienie do działania, o czym mówi Reguła 45 § 3. Niezbędne jest, aby przedstawiciele wykazali, że otrzymali konkretne i wyraźne instrukcje od domniemanej ofiary w rozumieniu art. 34, w imieniu której zamierzają występować przed Trybunałem </w:t>
      </w:r>
      <w:hyperlink r:id="rId376" w:history="1">
        <w:r>
          <w:rPr>
            <w:lang w:val="pl"/>
          </w:rPr>
          <w:t>(</w:t>
        </w:r>
        <w:r>
          <w:rPr>
            <w:i/>
            <w:iCs/>
            <w:color w:val="0072BC"/>
            <w:lang w:val="pl"/>
          </w:rPr>
          <w:t xml:space="preserve">Post p. Holandii </w:t>
        </w:r>
      </w:hyperlink>
      <w:r>
        <w:rPr>
          <w:lang w:val="pl"/>
        </w:rPr>
        <w:t>(dec.);</w:t>
      </w:r>
      <w:hyperlink r:id="rId377" w:history="1">
        <w:r>
          <w:rPr>
            <w:i/>
            <w:iCs/>
            <w:lang w:val="pl"/>
          </w:rPr>
          <w:t xml:space="preserve"> </w:t>
        </w:r>
        <w:r>
          <w:rPr>
            <w:i/>
            <w:iCs/>
            <w:color w:val="0072BC"/>
            <w:lang w:val="pl"/>
          </w:rPr>
          <w:t>Centre for Legal Resources w imieniu</w:t>
        </w:r>
      </w:hyperlink>
      <w:r>
        <w:rPr>
          <w:i/>
          <w:iCs/>
          <w:color w:val="0072BC"/>
          <w:lang w:val="pl"/>
        </w:rPr>
        <w:t xml:space="preserve"> </w:t>
      </w:r>
      <w:hyperlink r:id="rId378" w:history="1">
        <w:r>
          <w:rPr>
            <w:i/>
            <w:iCs/>
            <w:color w:val="0072BC"/>
            <w:lang w:val="pl"/>
          </w:rPr>
          <w:t xml:space="preserve">Valentina Câmpeanu p. Rumunii </w:t>
        </w:r>
      </w:hyperlink>
      <w:r>
        <w:rPr>
          <w:lang w:val="pl"/>
        </w:rPr>
        <w:t>[WI], § 102 – patrz też</w:t>
      </w:r>
      <w:hyperlink r:id="rId379" w:history="1">
        <w:r>
          <w:rPr>
            <w:i/>
            <w:iCs/>
            <w:lang w:val="pl"/>
          </w:rPr>
          <w:t xml:space="preserve"> </w:t>
        </w:r>
        <w:r>
          <w:rPr>
            <w:i/>
            <w:iCs/>
            <w:color w:val="0072BC"/>
            <w:lang w:val="pl"/>
          </w:rPr>
          <w:t xml:space="preserve">Oliyevskyy p. Ukrainie </w:t>
        </w:r>
      </w:hyperlink>
      <w:r w:rsidR="00612029">
        <w:rPr>
          <w:lang w:val="pl"/>
        </w:rPr>
        <w:t>(dec.), §§ 16-22, i </w:t>
      </w:r>
      <w:hyperlink r:id="rId380" w:history="1">
        <w:r>
          <w:rPr>
            <w:i/>
            <w:iCs/>
            <w:color w:val="0072BC"/>
            <w:lang w:val="pl"/>
          </w:rPr>
          <w:t xml:space="preserve">V.M. i Inni p. Belgii </w:t>
        </w:r>
      </w:hyperlink>
      <w:r>
        <w:rPr>
          <w:lang w:val="pl"/>
        </w:rPr>
        <w:t>(skreślenie) [WI], §§ 32-41, gdzie skarżący nie utrzymywali kontaktu ze swoim przedstawicielem; por. z kolei</w:t>
      </w:r>
      <w:hyperlink r:id="rId381" w:history="1">
        <w:r>
          <w:rPr>
            <w:i/>
            <w:iCs/>
            <w:lang w:val="pl"/>
          </w:rPr>
          <w:t xml:space="preserve"> </w:t>
        </w:r>
        <w:r>
          <w:rPr>
            <w:i/>
            <w:iCs/>
            <w:color w:val="0072BC"/>
            <w:lang w:val="pl"/>
          </w:rPr>
          <w:t xml:space="preserve">N.D. i N.T. p. Hiszpanii </w:t>
        </w:r>
      </w:hyperlink>
      <w:r>
        <w:rPr>
          <w:lang w:val="pl"/>
        </w:rPr>
        <w:t xml:space="preserve">[WI], §§ 69-79, i cytowane tam odniesienia, gdzie przedstawiciel pozostawał w kontakcie telefonicznym i za pośrednictwem komunikatora WhatsApp z oboma skarżącymi, a występowanie szczególnych okoliczności dotyczących poszanowania praw człowieka w rozumieniu Konwencji i Protokołów do niej wymagało od Trybunału dalszego badania skargi (art. 37 ust. 1 </w:t>
      </w:r>
      <w:r>
        <w:rPr>
          <w:i/>
          <w:iCs/>
          <w:lang w:val="pl"/>
        </w:rPr>
        <w:t>in fine</w:t>
      </w:r>
      <w:r>
        <w:rPr>
          <w:lang w:val="pl"/>
        </w:rPr>
        <w:t>)). W sprawie ważności upoważnienia do działania, patrz</w:t>
      </w:r>
      <w:hyperlink r:id="rId382" w:history="1">
        <w:r>
          <w:rPr>
            <w:lang w:val="pl"/>
          </w:rPr>
          <w:t xml:space="preserve"> </w:t>
        </w:r>
        <w:r>
          <w:rPr>
            <w:i/>
            <w:iCs/>
            <w:color w:val="0072BC"/>
            <w:lang w:val="pl"/>
          </w:rPr>
          <w:t>Aliev</w:t>
        </w:r>
      </w:hyperlink>
      <w:r>
        <w:rPr>
          <w:i/>
          <w:iCs/>
          <w:color w:val="0072BC"/>
          <w:lang w:val="pl"/>
        </w:rPr>
        <w:t xml:space="preserve"> </w:t>
      </w:r>
      <w:hyperlink r:id="rId383" w:history="1">
        <w:r>
          <w:rPr>
            <w:i/>
            <w:iCs/>
            <w:color w:val="0072BC"/>
            <w:lang w:val="pl"/>
          </w:rPr>
          <w:t>p. Gruzji</w:t>
        </w:r>
        <w:r>
          <w:rPr>
            <w:lang w:val="pl"/>
          </w:rPr>
          <w:t>,</w:t>
        </w:r>
      </w:hyperlink>
      <w:r w:rsidR="00612029">
        <w:rPr>
          <w:lang w:val="pl"/>
        </w:rPr>
        <w:t xml:space="preserve"> §§ </w:t>
      </w:r>
      <w:r>
        <w:rPr>
          <w:lang w:val="pl"/>
        </w:rPr>
        <w:t>44-49; w sprawie autentyczności skargi, patrz</w:t>
      </w:r>
      <w:hyperlink r:id="rId384" w:history="1">
        <w:r>
          <w:rPr>
            <w:lang w:val="pl"/>
          </w:rPr>
          <w:t xml:space="preserve"> </w:t>
        </w:r>
        <w:r>
          <w:rPr>
            <w:i/>
            <w:iCs/>
            <w:color w:val="0072BC"/>
            <w:lang w:val="pl"/>
          </w:rPr>
          <w:t>Velikova p. Bułgarii</w:t>
        </w:r>
        <w:r>
          <w:rPr>
            <w:lang w:val="pl"/>
          </w:rPr>
          <w:t>,</w:t>
        </w:r>
      </w:hyperlink>
      <w:r>
        <w:rPr>
          <w:lang w:val="pl"/>
        </w:rPr>
        <w:t xml:space="preserve"> §§ 48-52.</w:t>
      </w:r>
    </w:p>
    <w:p w:rsidR="00B71A20" w:rsidRPr="000625F6" w:rsidRDefault="000425B4" w:rsidP="00115011">
      <w:pPr>
        <w:pStyle w:val="Teksttreci0"/>
        <w:numPr>
          <w:ilvl w:val="0"/>
          <w:numId w:val="12"/>
        </w:numPr>
        <w:tabs>
          <w:tab w:val="left" w:pos="398"/>
        </w:tabs>
        <w:spacing w:after="120"/>
        <w:jc w:val="both"/>
        <w:rPr>
          <w:lang w:val="pl-PL"/>
        </w:rPr>
      </w:pPr>
      <w:r>
        <w:rPr>
          <w:lang w:val="pl"/>
        </w:rPr>
        <w:t>Co do zasady niepełnoletnie dzieci są reprezentowane przed Trybunałem przez swoich rodziców. Sam fakt bycia rodzicem biologicznym wystarczy też do tego, aby stwierdzić, że taka osoba jest uprawniona do wystąpienia ze skargą do Trybunału w imieniu swojego dziecka, aby chronić jego interesy nawet – albo wręcz w szczególności – wtedy, gdy ów rodzic j</w:t>
      </w:r>
      <w:r w:rsidR="00612029">
        <w:rPr>
          <w:lang w:val="pl"/>
        </w:rPr>
        <w:t>est skonfliktowany z władzami i </w:t>
      </w:r>
      <w:r>
        <w:rPr>
          <w:lang w:val="pl"/>
        </w:rPr>
        <w:t xml:space="preserve">krytykuje ich decyzje i działania jako niezgodne z prawami gwarantowanymi przez Konwencję </w:t>
      </w:r>
      <w:hyperlink r:id="rId385" w:history="1">
        <w:r>
          <w:rPr>
            <w:lang w:val="pl"/>
          </w:rPr>
          <w:t>(</w:t>
        </w:r>
        <w:r>
          <w:rPr>
            <w:i/>
            <w:iCs/>
            <w:color w:val="0072BC"/>
            <w:lang w:val="pl"/>
          </w:rPr>
          <w:t>Iosub Caras p. Rumunii</w:t>
        </w:r>
        <w:r>
          <w:rPr>
            <w:lang w:val="pl"/>
          </w:rPr>
          <w:t>,</w:t>
        </w:r>
      </w:hyperlink>
      <w:r>
        <w:rPr>
          <w:lang w:val="pl"/>
        </w:rPr>
        <w:t xml:space="preserve"> § 21). W każdym przypadku najważniejszym kryterium w odniesieniu do </w:t>
      </w:r>
      <w:r>
        <w:rPr>
          <w:i/>
          <w:iCs/>
          <w:lang w:val="pl"/>
        </w:rPr>
        <w:t xml:space="preserve">locus standi </w:t>
      </w:r>
      <w:r>
        <w:rPr>
          <w:lang w:val="pl"/>
        </w:rPr>
        <w:t xml:space="preserve">jest ryzyko, że kwestia dobra dzieci może nie zostać przedstawiona Trybunałowi i dzieci nie uzyskają skutecznej ochrony przysługujących im praw konwencyjnych </w:t>
      </w:r>
      <w:hyperlink r:id="rId386" w:history="1">
        <w:r>
          <w:rPr>
            <w:lang w:val="pl"/>
          </w:rPr>
          <w:t>(</w:t>
        </w:r>
        <w:r>
          <w:rPr>
            <w:i/>
            <w:iCs/>
            <w:color w:val="0072BC"/>
            <w:lang w:val="pl"/>
          </w:rPr>
          <w:t>Strand Lobben i Inni p. Norwegii</w:t>
        </w:r>
        <w:r>
          <w:rPr>
            <w:color w:val="0072BC"/>
            <w:lang w:val="pl"/>
          </w:rPr>
          <w:t xml:space="preserve"> </w:t>
        </w:r>
      </w:hyperlink>
      <w:r w:rsidR="00612029">
        <w:rPr>
          <w:lang w:val="pl"/>
        </w:rPr>
        <w:t>[WI], § </w:t>
      </w:r>
      <w:r>
        <w:rPr>
          <w:lang w:val="pl"/>
        </w:rPr>
        <w:t xml:space="preserve">157). W sprawach wynikających ze sporów między rodzicami uprawnienie do występowania w imieniu dziecka przysługuje co do zasady temu z rodziców, który zgodnie z prawem sprawuje pieczę </w:t>
      </w:r>
      <w:r>
        <w:rPr>
          <w:lang w:val="pl"/>
        </w:rPr>
        <w:lastRenderedPageBreak/>
        <w:t xml:space="preserve">nad dzieckiem, a tym samym ma chronić jego dobro </w:t>
      </w:r>
      <w:hyperlink r:id="rId387" w:history="1">
        <w:r>
          <w:rPr>
            <w:lang w:val="pl"/>
          </w:rPr>
          <w:t>(</w:t>
        </w:r>
        <w:r>
          <w:rPr>
            <w:i/>
            <w:iCs/>
            <w:color w:val="0072BC"/>
            <w:lang w:val="pl"/>
          </w:rPr>
          <w:t>Hromadka i</w:t>
        </w:r>
      </w:hyperlink>
      <w:r>
        <w:rPr>
          <w:i/>
          <w:iCs/>
          <w:color w:val="0072BC"/>
          <w:lang w:val="pl"/>
        </w:rPr>
        <w:t xml:space="preserve"> </w:t>
      </w:r>
      <w:hyperlink r:id="rId388" w:history="1">
        <w:r>
          <w:rPr>
            <w:i/>
            <w:iCs/>
            <w:color w:val="0072BC"/>
            <w:lang w:val="pl"/>
          </w:rPr>
          <w:t>Hromadkova p. Rosji</w:t>
        </w:r>
        <w:r>
          <w:rPr>
            <w:lang w:val="pl"/>
          </w:rPr>
          <w:t>,</w:t>
        </w:r>
      </w:hyperlink>
      <w:r>
        <w:rPr>
          <w:lang w:val="pl"/>
        </w:rPr>
        <w:t xml:space="preserve"> nr</w:t>
      </w:r>
      <w:hyperlink r:id="rId389" w:history="1">
        <w:r>
          <w:rPr>
            <w:lang w:val="pl"/>
          </w:rPr>
          <w:t xml:space="preserve"> 22909/10,</w:t>
        </w:r>
      </w:hyperlink>
      <w:r w:rsidR="00D81DFA">
        <w:rPr>
          <w:lang w:val="pl"/>
        </w:rPr>
        <w:t xml:space="preserve"> § </w:t>
      </w:r>
      <w:r>
        <w:rPr>
          <w:lang w:val="pl"/>
        </w:rPr>
        <w:t>119, 11 grudnia 2014 r.;</w:t>
      </w:r>
      <w:hyperlink r:id="rId390" w:history="1">
        <w:r>
          <w:rPr>
            <w:lang w:val="pl"/>
          </w:rPr>
          <w:t xml:space="preserve"> </w:t>
        </w:r>
        <w:r>
          <w:rPr>
            <w:i/>
            <w:iCs/>
            <w:color w:val="0072BC"/>
            <w:lang w:val="pl"/>
          </w:rPr>
          <w:t>Y.Y. i Y.Y. p. Rosji</w:t>
        </w:r>
      </w:hyperlink>
      <w:r>
        <w:rPr>
          <w:lang w:val="pl"/>
        </w:rPr>
        <w:t xml:space="preserve">, § 43). Sytuacja może jednak się zmienić, jeśli Trybunał uzna, że w zawisłej przed nim sprawie występuje konflikt interesów między rodzicem a dzieckiem, np. gdy doszło do poważnego zaniedbywania dziecka przez oboje rodziców </w:t>
      </w:r>
      <w:hyperlink r:id="rId391" w:history="1">
        <w:r>
          <w:rPr>
            <w:lang w:val="pl"/>
          </w:rPr>
          <w:t>(</w:t>
        </w:r>
        <w:r>
          <w:rPr>
            <w:i/>
            <w:iCs/>
            <w:color w:val="0072BC"/>
            <w:lang w:val="pl"/>
          </w:rPr>
          <w:t>Strand Lobben i Inni p. Norwegii</w:t>
        </w:r>
        <w:r>
          <w:rPr>
            <w:color w:val="0072BC"/>
            <w:lang w:val="pl"/>
          </w:rPr>
          <w:t xml:space="preserve"> </w:t>
        </w:r>
      </w:hyperlink>
      <w:r>
        <w:rPr>
          <w:lang w:val="pl"/>
        </w:rPr>
        <w:t>[WI], § 158, oraz</w:t>
      </w:r>
      <w:hyperlink r:id="rId392" w:history="1">
        <w:r>
          <w:rPr>
            <w:lang w:val="pl"/>
          </w:rPr>
          <w:t xml:space="preserve"> </w:t>
        </w:r>
        <w:r>
          <w:rPr>
            <w:i/>
            <w:iCs/>
            <w:color w:val="0072BC"/>
            <w:lang w:val="pl"/>
          </w:rPr>
          <w:t>E.M. i Inni p. Norwegii</w:t>
        </w:r>
        <w:r>
          <w:rPr>
            <w:lang w:val="pl"/>
          </w:rPr>
          <w:t>,</w:t>
        </w:r>
      </w:hyperlink>
      <w:r>
        <w:rPr>
          <w:lang w:val="pl"/>
        </w:rPr>
        <w:t xml:space="preserve"> §§ 64-65; por. z kolei</w:t>
      </w:r>
      <w:hyperlink r:id="rId393" w:history="1">
        <w:r>
          <w:rPr>
            <w:lang w:val="pl"/>
          </w:rPr>
          <w:t xml:space="preserve"> </w:t>
        </w:r>
        <w:r>
          <w:rPr>
            <w:i/>
            <w:iCs/>
            <w:color w:val="0072BC"/>
            <w:lang w:val="pl"/>
          </w:rPr>
          <w:t>Pedersen i Inni p. Norwegii</w:t>
        </w:r>
        <w:r>
          <w:rPr>
            <w:lang w:val="pl"/>
          </w:rPr>
          <w:t>,</w:t>
        </w:r>
      </w:hyperlink>
      <w:r>
        <w:rPr>
          <w:lang w:val="pl"/>
        </w:rPr>
        <w:t xml:space="preserve"> § 45).</w:t>
      </w:r>
    </w:p>
    <w:p w:rsidR="00B71A20" w:rsidRPr="000625F6" w:rsidRDefault="000425B4" w:rsidP="00115011">
      <w:pPr>
        <w:pStyle w:val="Teksttreci0"/>
        <w:numPr>
          <w:ilvl w:val="0"/>
          <w:numId w:val="12"/>
        </w:numPr>
        <w:tabs>
          <w:tab w:val="left" w:pos="399"/>
        </w:tabs>
        <w:spacing w:after="120"/>
        <w:jc w:val="both"/>
        <w:rPr>
          <w:lang w:val="pl-PL"/>
        </w:rPr>
      </w:pPr>
      <w:r>
        <w:rPr>
          <w:lang w:val="pl"/>
        </w:rPr>
        <w:t xml:space="preserve">Ponadto ofiary zarzucanych naruszeń art. 2, 3 i 8 Konwencji dokonanych przez władze krajowe mogą liczyć na specjalne traktowanie ze względu na wiek, płeć lub niepełnosprawność jako uwarunkowania czyniące je szczególnie bezbronnymi i uniemożliwiające im złożenie skargi do Trybunału, przy czym powiązania pomiędzy osobą wnoszącą skargę a ofiarą są należycie brane pod uwagę. W takich sprawach skargi wnoszone w imieniu ofiary (ofiar) przez jednostki bez przedstawienia ważnego upoważnienia są uznawane za niedopuszczalne </w:t>
      </w:r>
      <w:hyperlink r:id="rId394" w:history="1">
        <w:r>
          <w:rPr>
            <w:lang w:val="pl"/>
          </w:rPr>
          <w:t>(</w:t>
        </w:r>
        <w:r>
          <w:rPr>
            <w:i/>
            <w:iCs/>
            <w:color w:val="0072BC"/>
            <w:lang w:val="pl"/>
          </w:rPr>
          <w:t xml:space="preserve">Centre for Legal Resources w imieniu Valentina Câmpeanu p. Rumunii </w:t>
        </w:r>
      </w:hyperlink>
      <w:r>
        <w:rPr>
          <w:lang w:val="pl"/>
        </w:rPr>
        <w:t>[WI], § 103; por. jednak inne rozstrzygnięcie w sprawie</w:t>
      </w:r>
      <w:hyperlink r:id="rId395" w:history="1">
        <w:r>
          <w:rPr>
            <w:i/>
            <w:iCs/>
            <w:lang w:val="pl"/>
          </w:rPr>
          <w:t xml:space="preserve"> </w:t>
        </w:r>
        <w:r>
          <w:rPr>
            <w:i/>
            <w:iCs/>
            <w:color w:val="0072BC"/>
            <w:lang w:val="pl"/>
          </w:rPr>
          <w:t xml:space="preserve">Lambert i Inni p. Francji </w:t>
        </w:r>
      </w:hyperlink>
      <w:r>
        <w:rPr>
          <w:lang w:val="pl"/>
        </w:rPr>
        <w:t>[WI], §§ 96-106). Patrz np.</w:t>
      </w:r>
      <w:hyperlink r:id="rId396" w:history="1">
        <w:r>
          <w:rPr>
            <w:lang w:val="pl"/>
          </w:rPr>
          <w:t xml:space="preserve"> </w:t>
        </w:r>
        <w:r>
          <w:rPr>
            <w:i/>
            <w:iCs/>
            <w:color w:val="0072BC"/>
            <w:lang w:val="pl"/>
          </w:rPr>
          <w:t xml:space="preserve">İlhan p. Turcji </w:t>
        </w:r>
      </w:hyperlink>
      <w:r>
        <w:rPr>
          <w:lang w:val="pl"/>
        </w:rPr>
        <w:t>[WI], § 55, w której to sprawie skarżący wniósł skargę w imieniu źle traktowanego brata;</w:t>
      </w:r>
      <w:hyperlink r:id="rId397" w:history="1">
        <w:r>
          <w:rPr>
            <w:lang w:val="pl"/>
          </w:rPr>
          <w:t xml:space="preserve"> </w:t>
        </w:r>
        <w:r>
          <w:rPr>
            <w:i/>
            <w:iCs/>
            <w:color w:val="0072BC"/>
            <w:lang w:val="pl"/>
          </w:rPr>
          <w:t>Y.F. p. Turcji</w:t>
        </w:r>
        <w:r>
          <w:rPr>
            <w:lang w:val="pl"/>
          </w:rPr>
          <w:t>,</w:t>
        </w:r>
      </w:hyperlink>
      <w:r>
        <w:rPr>
          <w:lang w:val="pl"/>
        </w:rPr>
        <w:t xml:space="preserve"> § 29, sprawa, w której mąż zarzucał, że jego żona została zmuszona do poddania się badaniu ginekologicznemu;</w:t>
      </w:r>
      <w:hyperlink r:id="rId398" w:history="1">
        <w:r>
          <w:rPr>
            <w:lang w:val="pl"/>
          </w:rPr>
          <w:t xml:space="preserve"> </w:t>
        </w:r>
        <w:r>
          <w:rPr>
            <w:i/>
            <w:iCs/>
            <w:color w:val="0072BC"/>
            <w:lang w:val="pl"/>
          </w:rPr>
          <w:t>S.P., D.P. i A.T. p. Wielkiej</w:t>
        </w:r>
      </w:hyperlink>
      <w:r>
        <w:rPr>
          <w:i/>
          <w:iCs/>
          <w:color w:val="0072BC"/>
          <w:lang w:val="pl"/>
        </w:rPr>
        <w:t xml:space="preserve"> </w:t>
      </w:r>
      <w:hyperlink r:id="rId399" w:history="1">
        <w:r>
          <w:rPr>
            <w:i/>
            <w:iCs/>
            <w:color w:val="0072BC"/>
            <w:lang w:val="pl"/>
          </w:rPr>
          <w:t>Brytanii</w:t>
        </w:r>
        <w:r>
          <w:rPr>
            <w:lang w:val="pl"/>
          </w:rPr>
          <w:t>,</w:t>
        </w:r>
      </w:hyperlink>
      <w:r>
        <w:rPr>
          <w:lang w:val="pl"/>
        </w:rPr>
        <w:t xml:space="preserve"> decyzja Komisji, w odniesieniu do skargi wniesionej przez adwokata w imieniu dzieci, które reprezentował w postępowaniu krajowym, w którym został powołany jako opiekun </w:t>
      </w:r>
      <w:r>
        <w:rPr>
          <w:i/>
          <w:iCs/>
          <w:lang w:val="pl"/>
        </w:rPr>
        <w:t>ad litem</w:t>
      </w:r>
      <w:r>
        <w:rPr>
          <w:lang w:val="pl"/>
        </w:rPr>
        <w:t>;</w:t>
      </w:r>
      <w:hyperlink r:id="rId400" w:history="1">
        <w:r>
          <w:rPr>
            <w:lang w:val="pl"/>
          </w:rPr>
          <w:t xml:space="preserve"> </w:t>
        </w:r>
        <w:r w:rsidR="00D81DFA">
          <w:rPr>
            <w:i/>
            <w:iCs/>
            <w:color w:val="0072BC"/>
            <w:lang w:val="pl"/>
          </w:rPr>
          <w:t>C.N. p. </w:t>
        </w:r>
        <w:r>
          <w:rPr>
            <w:i/>
            <w:iCs/>
            <w:color w:val="0072BC"/>
            <w:lang w:val="pl"/>
          </w:rPr>
          <w:t>Luksemburgowi</w:t>
        </w:r>
        <w:r>
          <w:rPr>
            <w:lang w:val="pl"/>
          </w:rPr>
          <w:t>,</w:t>
        </w:r>
      </w:hyperlink>
      <w:r>
        <w:rPr>
          <w:lang w:val="pl"/>
        </w:rPr>
        <w:t xml:space="preserve"> §§ 28-33, gdzie pełnomocnictwa udzielili rodzice, którym później odebrano władzę rodzicielską;</w:t>
      </w:r>
      <w:hyperlink r:id="rId401" w:history="1">
        <w:r>
          <w:rPr>
            <w:lang w:val="pl"/>
          </w:rPr>
          <w:t xml:space="preserve"> </w:t>
        </w:r>
        <w:r>
          <w:rPr>
            <w:i/>
            <w:iCs/>
            <w:color w:val="0072BC"/>
            <w:lang w:val="pl"/>
          </w:rPr>
          <w:t>V.D. i Inni p. Rosji</w:t>
        </w:r>
        <w:r>
          <w:rPr>
            <w:lang w:val="pl"/>
          </w:rPr>
          <w:t>,</w:t>
        </w:r>
      </w:hyperlink>
      <w:r>
        <w:rPr>
          <w:lang w:val="pl"/>
        </w:rPr>
        <w:t xml:space="preserve"> §§ 80</w:t>
      </w:r>
      <w:r>
        <w:rPr>
          <w:lang w:val="pl"/>
        </w:rPr>
        <w:noBreakHyphen/>
        <w:t>84, sprawa, w której skargę wniósł opiekun występujący w imieniu nieletnich. Patrz też z kolei odmienny wyrok w sprawie</w:t>
      </w:r>
      <w:hyperlink r:id="rId402" w:history="1">
        <w:r>
          <w:rPr>
            <w:i/>
            <w:iCs/>
            <w:lang w:val="pl"/>
          </w:rPr>
          <w:t xml:space="preserve"> </w:t>
        </w:r>
        <w:r>
          <w:rPr>
            <w:i/>
            <w:iCs/>
            <w:color w:val="0072BC"/>
            <w:lang w:val="pl"/>
          </w:rPr>
          <w:t>Lambert i</w:t>
        </w:r>
      </w:hyperlink>
      <w:r>
        <w:rPr>
          <w:i/>
          <w:iCs/>
          <w:color w:val="0072BC"/>
          <w:lang w:val="pl"/>
        </w:rPr>
        <w:t xml:space="preserve"> </w:t>
      </w:r>
      <w:hyperlink r:id="rId403" w:history="1">
        <w:r>
          <w:rPr>
            <w:i/>
            <w:iCs/>
            <w:color w:val="0072BC"/>
            <w:lang w:val="pl"/>
          </w:rPr>
          <w:t xml:space="preserve">Inni p. Francji </w:t>
        </w:r>
      </w:hyperlink>
      <w:r>
        <w:rPr>
          <w:lang w:val="pl"/>
        </w:rPr>
        <w:t>[WI], § 105, gdzie Trybunał orzekł, że rodzice ofiary bezpośredniej, która nie mogła wyrazić woli, by przerwać odżywianie i nawadnianie umożliwiające sztuczne utrzymywanie jej przy życiu, nie mieli prawa do wniesienia skargi na podstawie art. 2, 3 i 8 Konwencji w jej imieniu; a także sprawa</w:t>
      </w:r>
      <w:hyperlink r:id="rId404" w:history="1">
        <w:r>
          <w:rPr>
            <w:i/>
            <w:iCs/>
            <w:lang w:val="pl"/>
          </w:rPr>
          <w:t xml:space="preserve"> </w:t>
        </w:r>
        <w:r>
          <w:rPr>
            <w:i/>
            <w:iCs/>
            <w:color w:val="0072BC"/>
            <w:lang w:val="pl"/>
          </w:rPr>
          <w:t>Gard i Inni p. Wielkiej Brytanii</w:t>
        </w:r>
      </w:hyperlink>
      <w:r>
        <w:rPr>
          <w:color w:val="0072BC"/>
          <w:lang w:val="pl"/>
        </w:rPr>
        <w:t xml:space="preserve"> </w:t>
      </w:r>
      <w:r>
        <w:rPr>
          <w:lang w:val="pl"/>
        </w:rPr>
        <w:t xml:space="preserve">(dec.), §§ 63-70, która różniła się od sprawy </w:t>
      </w:r>
      <w:r>
        <w:rPr>
          <w:i/>
          <w:iCs/>
          <w:lang w:val="pl"/>
        </w:rPr>
        <w:t>Lambert i Inni</w:t>
      </w:r>
      <w:r>
        <w:rPr>
          <w:lang w:val="pl"/>
        </w:rPr>
        <w:t>, ponieważ ofiara bezpośrednia była osobą niepełnoletnią, która nigdy nie była zdolna do wyrażania własnego zdania ani do niezależnego życia, a Trybunał rozważał, czy rodzice tej ofiary bezpośredniej mieli prawo do wniesienia skargi na podstawie art. 2 i 5 w jej imieniu, lecz nie rozstrzygnął tej kwestii, zważywszy że skarżący podnosili też pewne kwestie we własnym imieniu.</w:t>
      </w:r>
    </w:p>
    <w:p w:rsidR="00B71A20" w:rsidRPr="000625F6" w:rsidRDefault="000425B4" w:rsidP="00115011">
      <w:pPr>
        <w:pStyle w:val="Teksttreci0"/>
        <w:numPr>
          <w:ilvl w:val="0"/>
          <w:numId w:val="12"/>
        </w:numPr>
        <w:tabs>
          <w:tab w:val="left" w:pos="404"/>
        </w:tabs>
        <w:spacing w:after="120"/>
        <w:jc w:val="both"/>
        <w:rPr>
          <w:lang w:val="pl-PL"/>
        </w:rPr>
      </w:pPr>
      <w:r>
        <w:rPr>
          <w:lang w:val="pl"/>
        </w:rPr>
        <w:t>W sprawie</w:t>
      </w:r>
      <w:hyperlink r:id="rId405" w:history="1">
        <w:r>
          <w:rPr>
            <w:i/>
            <w:iCs/>
            <w:lang w:val="pl"/>
          </w:rPr>
          <w:t xml:space="preserve"> </w:t>
        </w:r>
        <w:r>
          <w:rPr>
            <w:i/>
            <w:iCs/>
            <w:color w:val="0072BC"/>
            <w:lang w:val="pl"/>
          </w:rPr>
          <w:t xml:space="preserve">Blyudik p. Rosji </w:t>
        </w:r>
      </w:hyperlink>
      <w:r>
        <w:rPr>
          <w:lang w:val="pl"/>
        </w:rPr>
        <w:t>(§§ 41</w:t>
      </w:r>
      <w:r>
        <w:rPr>
          <w:lang w:val="pl"/>
        </w:rPr>
        <w:noBreakHyphen/>
        <w:t>44), która dotyczyła zgodności z prawem umieszczenia osoby w zamkniętej placówce oświatowej przeznaczonej dla osób niepełnoletnich, Trybunał skonstatował, że skarżący był uprawniony do wniesienia skargi do Trybunału, aby chronić interes osoby niepełnoletniej na podstawie art. 5 i 8 w związku z umieszczeniem jej w tejże placówce: córka skarżącego była osobą niepełnoletnią zarówno w czasie rozpatrywanych wydarzeń, jak i w czasie, gdy wniesiono skargę. Gdy osiągnęła pełnoletniość, potwierdziła swój interes w skardze i udzieliła pełnomocnictwa prawnikowi reprezentującemu już skarżącego w tej sprawie przed Trybunałem.</w:t>
      </w:r>
    </w:p>
    <w:p w:rsidR="00B71A20" w:rsidRPr="000625F6" w:rsidRDefault="000425B4" w:rsidP="00115011">
      <w:pPr>
        <w:pStyle w:val="Teksttreci0"/>
        <w:numPr>
          <w:ilvl w:val="0"/>
          <w:numId w:val="12"/>
        </w:numPr>
        <w:tabs>
          <w:tab w:val="left" w:pos="404"/>
        </w:tabs>
        <w:spacing w:after="120"/>
        <w:jc w:val="both"/>
        <w:rPr>
          <w:lang w:val="pl-PL"/>
        </w:rPr>
      </w:pPr>
      <w:r>
        <w:rPr>
          <w:lang w:val="pl"/>
        </w:rPr>
        <w:t xml:space="preserve">Trybunał wskazał, że w wyjątkowych okolicznościach w roli przedstawiciela ofiary może występować stowarzyszenie, nawet jeśli nie ma pełnomocnictwa i bez względu na to, czy ofiara zmarła przed wniesieniem skargi na mocy Konwencji </w:t>
      </w:r>
      <w:hyperlink r:id="rId406" w:history="1">
        <w:r>
          <w:rPr>
            <w:lang w:val="pl"/>
          </w:rPr>
          <w:t>(</w:t>
        </w:r>
        <w:r>
          <w:rPr>
            <w:i/>
            <w:iCs/>
            <w:color w:val="0072BC"/>
            <w:lang w:val="pl"/>
          </w:rPr>
          <w:t>Centre for Legal</w:t>
        </w:r>
      </w:hyperlink>
      <w:r>
        <w:rPr>
          <w:i/>
          <w:iCs/>
          <w:color w:val="0072BC"/>
          <w:lang w:val="pl"/>
        </w:rPr>
        <w:t xml:space="preserve"> </w:t>
      </w:r>
      <w:hyperlink r:id="rId407" w:history="1">
        <w:r>
          <w:rPr>
            <w:i/>
            <w:iCs/>
            <w:color w:val="0072BC"/>
            <w:lang w:val="pl"/>
          </w:rPr>
          <w:t xml:space="preserve">Resources w imieniu Valentina Câmpeanu p. Rumunii </w:t>
        </w:r>
      </w:hyperlink>
      <w:r>
        <w:rPr>
          <w:lang w:val="pl"/>
        </w:rPr>
        <w:t xml:space="preserve">[WI], § 112). Trybunał uznał, że odrzucenie takiej możliwości oznaczałoby uniemożliwienie zbadania na szczeblu międzynarodowym poważnych zarzutów naruszenia Konwencji, a w rezultacie pozwane państwo mogłoby uniknąć odpowiedzialności konwencyjnej </w:t>
      </w:r>
      <w:hyperlink r:id="rId408" w:history="1">
        <w:r>
          <w:rPr>
            <w:lang w:val="pl"/>
          </w:rPr>
          <w:t>(</w:t>
        </w:r>
        <w:r>
          <w:rPr>
            <w:i/>
            <w:iCs/>
            <w:color w:val="0072BC"/>
            <w:lang w:val="pl"/>
          </w:rPr>
          <w:t>Association for the Defence of Human Rights in Romania –</w:t>
        </w:r>
      </w:hyperlink>
      <w:r>
        <w:rPr>
          <w:i/>
          <w:iCs/>
          <w:color w:val="0072BC"/>
          <w:lang w:val="pl"/>
        </w:rPr>
        <w:t xml:space="preserve"> </w:t>
      </w:r>
      <w:hyperlink r:id="rId409" w:history="1">
        <w:r>
          <w:rPr>
            <w:i/>
            <w:iCs/>
            <w:color w:val="0072BC"/>
            <w:lang w:val="pl"/>
          </w:rPr>
          <w:t>Helsinki Committee w imieniu Ionela Garcea</w:t>
        </w:r>
        <w:r>
          <w:rPr>
            <w:color w:val="0072BC"/>
            <w:lang w:val="pl"/>
          </w:rPr>
          <w:t xml:space="preserve"> </w:t>
        </w:r>
        <w:r>
          <w:rPr>
            <w:i/>
            <w:iCs/>
            <w:color w:val="0072BC"/>
            <w:lang w:val="pl"/>
          </w:rPr>
          <w:t>p.</w:t>
        </w:r>
        <w:r>
          <w:rPr>
            <w:color w:val="0072BC"/>
            <w:lang w:val="pl"/>
          </w:rPr>
          <w:t> </w:t>
        </w:r>
        <w:r>
          <w:rPr>
            <w:i/>
            <w:iCs/>
            <w:color w:val="0072BC"/>
            <w:lang w:val="pl"/>
          </w:rPr>
          <w:t>Rumunii</w:t>
        </w:r>
        <w:r>
          <w:rPr>
            <w:lang w:val="pl"/>
          </w:rPr>
          <w:t>,</w:t>
        </w:r>
      </w:hyperlink>
      <w:r>
        <w:rPr>
          <w:lang w:val="pl"/>
        </w:rPr>
        <w:t xml:space="preserve"> § 42;</w:t>
      </w:r>
      <w:hyperlink r:id="rId410" w:history="1">
        <w:r>
          <w:rPr>
            <w:i/>
            <w:iCs/>
            <w:lang w:val="pl"/>
          </w:rPr>
          <w:t xml:space="preserve"> </w:t>
        </w:r>
        <w:r>
          <w:rPr>
            <w:i/>
            <w:iCs/>
            <w:color w:val="0072BC"/>
            <w:lang w:val="pl"/>
          </w:rPr>
          <w:t>Kondrulin p. Rosji</w:t>
        </w:r>
        <w:r>
          <w:rPr>
            <w:lang w:val="pl"/>
          </w:rPr>
          <w:t>,</w:t>
        </w:r>
      </w:hyperlink>
      <w:r>
        <w:rPr>
          <w:lang w:val="pl"/>
        </w:rPr>
        <w:t xml:space="preserve"> § 31). W sprawie</w:t>
      </w:r>
      <w:hyperlink r:id="rId411" w:history="1">
        <w:r>
          <w:rPr>
            <w:lang w:val="pl"/>
          </w:rPr>
          <w:t xml:space="preserve"> </w:t>
        </w:r>
        <w:r>
          <w:rPr>
            <w:i/>
            <w:iCs/>
            <w:color w:val="0072BC"/>
            <w:lang w:val="pl"/>
          </w:rPr>
          <w:t xml:space="preserve">Centre for Legal Resources </w:t>
        </w:r>
        <w:r w:rsidR="00D81DFA">
          <w:rPr>
            <w:i/>
            <w:iCs/>
            <w:color w:val="0072BC"/>
            <w:lang w:val="pl"/>
          </w:rPr>
          <w:t>w imieniu Valentina Câmpeanu p. </w:t>
        </w:r>
        <w:r>
          <w:rPr>
            <w:i/>
            <w:iCs/>
            <w:color w:val="0072BC"/>
            <w:lang w:val="pl"/>
          </w:rPr>
          <w:t xml:space="preserve">Rumunii </w:t>
        </w:r>
      </w:hyperlink>
      <w:r>
        <w:rPr>
          <w:lang w:val="pl"/>
        </w:rPr>
        <w:t xml:space="preserve">[WI], dotyczącej niezapewnienia przez państwo odpowiedniej opieki osobie chorej psychicznie, która była nosicielem wirusa HIV, Trybunał uznał prawo skarżącego stowarzyszenia do wniesienia skargi bez pełnomocnictwa z następujących powodów: słabszej pozycji Valentina Câmpeanu, który cierpiał na poważne zaburzenia psychiczne; powagi oskarżeń wniesionych na podstawie art. 2 i 3 Konwencji; braku spadkobierców lub przedstawicieli prawnych, którzy mogliby wnieść skargę konwencyjną w jego imieniu; kontaktów skarżącego stowarzyszenia z Valentinem Câmpeanu i jego udziału w postępowaniu krajowym po śmierci mężczyzny, w toku którego nie </w:t>
      </w:r>
      <w:r>
        <w:rPr>
          <w:lang w:val="pl"/>
        </w:rPr>
        <w:lastRenderedPageBreak/>
        <w:t>kwestionowano prawa tego stowarzyszenia do występowania w jego imieniu (§§ 104</w:t>
      </w:r>
      <w:r>
        <w:rPr>
          <w:lang w:val="pl"/>
        </w:rPr>
        <w:noBreakHyphen/>
        <w:t>111).</w:t>
      </w:r>
    </w:p>
    <w:p w:rsidR="00B71A20" w:rsidRPr="000625F6" w:rsidRDefault="000425B4" w:rsidP="00115011">
      <w:pPr>
        <w:pStyle w:val="Teksttreci0"/>
        <w:numPr>
          <w:ilvl w:val="0"/>
          <w:numId w:val="12"/>
        </w:numPr>
        <w:tabs>
          <w:tab w:val="left" w:pos="404"/>
        </w:tabs>
        <w:spacing w:after="120"/>
        <w:jc w:val="both"/>
        <w:rPr>
          <w:lang w:val="pl-PL"/>
        </w:rPr>
      </w:pPr>
      <w:r>
        <w:rPr>
          <w:lang w:val="pl"/>
        </w:rPr>
        <w:t>W sprawie</w:t>
      </w:r>
      <w:hyperlink r:id="rId412" w:history="1">
        <w:r>
          <w:rPr>
            <w:i/>
            <w:iCs/>
            <w:lang w:val="pl"/>
          </w:rPr>
          <w:t xml:space="preserve"> </w:t>
        </w:r>
        <w:r>
          <w:rPr>
            <w:i/>
            <w:iCs/>
            <w:color w:val="0072BC"/>
            <w:lang w:val="pl"/>
          </w:rPr>
          <w:t xml:space="preserve">L.R. p. Macedonii Północnej </w:t>
        </w:r>
      </w:hyperlink>
      <w:r>
        <w:rPr>
          <w:lang w:val="pl"/>
        </w:rPr>
        <w:t>(rozpatrywanej w świetle art. 3) skarżący nie miał opiekuna prawnego, który mógłby udzielić stowarzyszeniu wymaganego uprawnienia do reprezentowania skarżącego przed Trybunałem. Jednakże opiekun skarżącego został oskarżony o niedopełnienie obowiązku ochrony interesów skarżącego zarówno przed władzami krajowymi, jak i przed Trybunałem. W związku z tym nie można było oczekiwać, że osoba podejrzana o udział w zarzucanym ogólnym zaniedbaniu wobec skarżącego wbrew jego prawom wynikającym z art. 3 wniesie skargę do Trybunału na tej podstawie (§ 50). Z kolei stowarzyszenie reprezentujące skarżącego odwiedziło go tuż po upublicznieniu jego przypadku, skontaktowało się z różnymi organami w jego sprawie, niezwłocznie powiadomiło prokuratora o podejrzeniu popełnienia przestępstwa i kontynuowało działania aż do najwyższego szczebla prokuratorskiego. W rezultacie Trybunał wyjątkowo uznał prawo tego stowarzyszenia do występowania w imieniu skarżącego (§§ 51-53).</w:t>
      </w:r>
    </w:p>
    <w:p w:rsidR="00B71A20" w:rsidRPr="000625F6" w:rsidRDefault="000425B4" w:rsidP="00115011">
      <w:pPr>
        <w:pStyle w:val="Teksttreci0"/>
        <w:numPr>
          <w:ilvl w:val="0"/>
          <w:numId w:val="12"/>
        </w:numPr>
        <w:tabs>
          <w:tab w:val="left" w:pos="404"/>
        </w:tabs>
        <w:spacing w:after="120"/>
        <w:jc w:val="both"/>
        <w:rPr>
          <w:lang w:val="pl-PL"/>
        </w:rPr>
      </w:pPr>
      <w:r>
        <w:rPr>
          <w:lang w:val="pl"/>
        </w:rPr>
        <w:t>W sprawie</w:t>
      </w:r>
      <w:hyperlink r:id="rId413" w:history="1">
        <w:r>
          <w:rPr>
            <w:i/>
            <w:iCs/>
            <w:lang w:val="pl"/>
          </w:rPr>
          <w:t xml:space="preserve"> </w:t>
        </w:r>
        <w:r>
          <w:rPr>
            <w:i/>
            <w:iCs/>
            <w:color w:val="0072BC"/>
            <w:lang w:val="pl"/>
          </w:rPr>
          <w:t>Association Innocence en Danger i Association Enfance et Partage p. Francji</w:t>
        </w:r>
      </w:hyperlink>
      <w:r>
        <w:rPr>
          <w:color w:val="0072BC"/>
          <w:lang w:val="pl"/>
        </w:rPr>
        <w:t xml:space="preserve"> </w:t>
      </w:r>
      <w:r>
        <w:rPr>
          <w:lang w:val="pl"/>
        </w:rPr>
        <w:t>(rozpatrywanej w świetle art. 3 i art. 13 w związku z art. 3) Trybunał uznał prawo dwóch stowarzyszeń zajmujących się ochroną dzieci do występowania w imieniu dziecka, które zmarło w następstwie złego traktowania przez rodziców (§§ 119-131). Fakt, że znani byli spadkobiercy lub przedstawiciele prawni dziecka (rodzice skazani za stosowanie przemocy wobec niego, jego trzech braci i siostra oraz ciotka), ze względu na wyjątkowe okoliczności sprawy nie stanowił dla Trybunału przesłanki wykluczającej uznanie prawa skarżących stowarzyszeń do wniesienia skargi.</w:t>
      </w:r>
    </w:p>
    <w:p w:rsidR="00B71A20" w:rsidRPr="000625F6" w:rsidRDefault="000425B4" w:rsidP="00115011">
      <w:pPr>
        <w:pStyle w:val="Teksttreci0"/>
        <w:numPr>
          <w:ilvl w:val="0"/>
          <w:numId w:val="12"/>
        </w:numPr>
        <w:tabs>
          <w:tab w:val="left" w:pos="404"/>
        </w:tabs>
        <w:spacing w:after="120"/>
        <w:jc w:val="both"/>
        <w:rPr>
          <w:lang w:val="pl-PL"/>
        </w:rPr>
      </w:pPr>
      <w:r>
        <w:rPr>
          <w:lang w:val="pl"/>
        </w:rPr>
        <w:t>Z kolei w sprawie</w:t>
      </w:r>
      <w:hyperlink r:id="rId414" w:history="1">
        <w:r>
          <w:rPr>
            <w:i/>
            <w:iCs/>
            <w:lang w:val="pl"/>
          </w:rPr>
          <w:t xml:space="preserve"> </w:t>
        </w:r>
        <w:r>
          <w:rPr>
            <w:i/>
            <w:iCs/>
            <w:color w:val="0072BC"/>
            <w:lang w:val="pl"/>
          </w:rPr>
          <w:t xml:space="preserve">Bulgarian Helsinki Committee p. Bułgarii </w:t>
        </w:r>
      </w:hyperlink>
      <w:r>
        <w:rPr>
          <w:lang w:val="pl"/>
        </w:rPr>
        <w:t>(dec.) Trybunał nie uznał statusu ofiary skarżącego stowarzyszenia występującego w imieniu nieżyjących osób niepełnoletnich, które zmarły w domach dla dzieci z niepełnosprawnością intelektualną, ponieważ skarżący n</w:t>
      </w:r>
      <w:r w:rsidR="00D81DFA">
        <w:rPr>
          <w:lang w:val="pl"/>
        </w:rPr>
        <w:t>igdy nie kontaktował się z </w:t>
      </w:r>
      <w:r>
        <w:rPr>
          <w:lang w:val="pl"/>
        </w:rPr>
        <w:t>tymi osobami przed ich śmiercią, a samo stowarzyszenie nie miało formalnego umocowania do udziału w postępowaniu krajowym (§ 59); patrz też</w:t>
      </w:r>
      <w:hyperlink r:id="rId415" w:history="1">
        <w:r>
          <w:rPr>
            <w:i/>
            <w:iCs/>
            <w:lang w:val="pl"/>
          </w:rPr>
          <w:t xml:space="preserve"> </w:t>
        </w:r>
        <w:r>
          <w:rPr>
            <w:i/>
            <w:iCs/>
            <w:color w:val="0072BC"/>
            <w:lang w:val="pl"/>
          </w:rPr>
          <w:t>Nencheva i Inni p. Bułgarii</w:t>
        </w:r>
        <w:r>
          <w:rPr>
            <w:lang w:val="pl"/>
          </w:rPr>
          <w:t>,</w:t>
        </w:r>
      </w:hyperlink>
      <w:r>
        <w:rPr>
          <w:lang w:val="pl"/>
        </w:rPr>
        <w:t xml:space="preserve"> § 93, gdzie Trybunał nie zgodził się, że skarżące stowarzyszenie, działające w imieniu ofiar bezpośrednich, ma status ofiary, zwracając uwagę, że stowarzyszenie to nie zwróciło się wcześniej do sądów krajowych oraz że zarzucane fakty nie miały żadnego wpływu na jego działalność, gdyż mogło ono nadal realizować swoje cele statutowe.</w:t>
      </w:r>
    </w:p>
    <w:p w:rsidR="00B71A20" w:rsidRPr="000625F6" w:rsidRDefault="000425B4" w:rsidP="00115011">
      <w:pPr>
        <w:pStyle w:val="Teksttreci0"/>
        <w:numPr>
          <w:ilvl w:val="0"/>
          <w:numId w:val="12"/>
        </w:numPr>
        <w:tabs>
          <w:tab w:val="left" w:pos="390"/>
        </w:tabs>
        <w:spacing w:after="240"/>
        <w:jc w:val="both"/>
        <w:rPr>
          <w:lang w:val="pl-PL"/>
        </w:rPr>
      </w:pPr>
      <w:bookmarkStart w:id="50" w:name="bookmark49"/>
      <w:r>
        <w:rPr>
          <w:lang w:val="pl"/>
        </w:rPr>
        <w:t xml:space="preserve">Żadne postanowienie Konwencji nie dopuszcza, aby interwenient będący stroną trzecią reprezentował inną osobę przed Trybunałem </w:t>
      </w:r>
      <w:hyperlink r:id="rId416" w:history="1">
        <w:r>
          <w:rPr>
            <w:lang w:val="pl"/>
          </w:rPr>
          <w:t>(</w:t>
        </w:r>
        <w:r>
          <w:rPr>
            <w:i/>
            <w:iCs/>
            <w:color w:val="0072BC"/>
            <w:lang w:val="pl"/>
          </w:rPr>
          <w:t xml:space="preserve">Lambert i Inni p. Francji </w:t>
        </w:r>
      </w:hyperlink>
      <w:r>
        <w:rPr>
          <w:lang w:val="pl"/>
        </w:rPr>
        <w:t>[WI], § 110).</w:t>
      </w:r>
      <w:bookmarkEnd w:id="50"/>
    </w:p>
    <w:p w:rsidR="00B71A20" w:rsidRPr="000625F6" w:rsidRDefault="000425B4">
      <w:pPr>
        <w:pStyle w:val="Nagwek21"/>
        <w:keepNext/>
        <w:keepLines/>
        <w:spacing w:after="202"/>
        <w:jc w:val="both"/>
        <w:rPr>
          <w:lang w:val="pl-PL"/>
        </w:rPr>
      </w:pPr>
      <w:bookmarkStart w:id="51" w:name="_Toc126335615"/>
      <w:bookmarkStart w:id="52" w:name="_Toc126660569"/>
      <w:r>
        <w:rPr>
          <w:lang w:val="pl"/>
        </w:rPr>
        <w:t>B. Swoboda korzystania z prawa do skargi indywidualnej</w:t>
      </w:r>
      <w:bookmarkEnd w:id="51"/>
      <w:bookmarkEnd w:id="52"/>
    </w:p>
    <w:tbl>
      <w:tblPr>
        <w:tblStyle w:val="Tabela-Siatka"/>
        <w:tblW w:w="0" w:type="auto"/>
        <w:shd w:val="clear" w:color="auto" w:fill="FAFAFA"/>
        <w:tblLook w:val="04A0" w:firstRow="1" w:lastRow="0" w:firstColumn="1" w:lastColumn="0" w:noHBand="0" w:noVBand="1"/>
      </w:tblPr>
      <w:tblGrid>
        <w:gridCol w:w="9096"/>
      </w:tblGrid>
      <w:tr w:rsidR="00BD3205" w:rsidRPr="00C31F37" w:rsidTr="0024595F">
        <w:trPr>
          <w:trHeight w:val="1107"/>
        </w:trPr>
        <w:tc>
          <w:tcPr>
            <w:tcW w:w="9096" w:type="dxa"/>
            <w:tcBorders>
              <w:bottom w:val="single" w:sz="4" w:space="0" w:color="auto"/>
            </w:tcBorders>
            <w:shd w:val="clear" w:color="auto" w:fill="FAFAFA"/>
          </w:tcPr>
          <w:p w:rsidR="00BD3205" w:rsidRPr="00BD3205" w:rsidRDefault="00BD3205" w:rsidP="00BD3205">
            <w:pPr>
              <w:pStyle w:val="Teksttreci0"/>
              <w:spacing w:before="120" w:after="120"/>
              <w:jc w:val="both"/>
              <w:rPr>
                <w:b/>
                <w:bCs/>
                <w:color w:val="00548C"/>
                <w:lang w:val="pl"/>
              </w:rPr>
            </w:pPr>
            <w:r w:rsidRPr="00BD3205">
              <w:rPr>
                <w:b/>
                <w:bCs/>
                <w:color w:val="00548C"/>
                <w:lang w:val="pl"/>
              </w:rPr>
              <w:t>Artykuł 34 Konwencji – Skargi indywidualne</w:t>
            </w:r>
          </w:p>
          <w:p w:rsidR="00BD3205" w:rsidRPr="00BD3205" w:rsidRDefault="00BD3205" w:rsidP="00BD3205">
            <w:pPr>
              <w:pStyle w:val="Teksttreci0"/>
              <w:spacing w:after="240"/>
              <w:ind w:left="596"/>
              <w:rPr>
                <w:lang w:val="pl-PL"/>
              </w:rPr>
            </w:pPr>
            <w:r w:rsidRPr="00BD3205">
              <w:rPr>
                <w:color w:val="262626"/>
                <w:sz w:val="20"/>
                <w:szCs w:val="20"/>
                <w:lang w:val="pl"/>
              </w:rPr>
              <w:t>„(...) Wysokie Układające się Strony zobowiązują się nie przeszkadzać w żaden sposób skutecznemu wykonywaniu tego prawa.”</w:t>
            </w:r>
          </w:p>
        </w:tc>
      </w:tr>
      <w:tr w:rsidR="00BD3205" w:rsidRPr="00C31F37" w:rsidTr="0024595F">
        <w:trPr>
          <w:trHeight w:val="956"/>
        </w:trPr>
        <w:tc>
          <w:tcPr>
            <w:tcW w:w="9096" w:type="dxa"/>
            <w:tcBorders>
              <w:bottom w:val="single" w:sz="4" w:space="0" w:color="auto"/>
            </w:tcBorders>
            <w:shd w:val="clear" w:color="auto" w:fill="FAFAFA"/>
          </w:tcPr>
          <w:p w:rsidR="00BD3205" w:rsidRPr="00BD3205" w:rsidRDefault="00BD3205" w:rsidP="00BD3205">
            <w:pPr>
              <w:pStyle w:val="Teksttreci0"/>
              <w:spacing w:before="120" w:after="120"/>
              <w:rPr>
                <w:b/>
                <w:bCs/>
                <w:color w:val="00548C"/>
                <w:lang w:val="pl"/>
              </w:rPr>
            </w:pPr>
            <w:r w:rsidRPr="00BD3205">
              <w:rPr>
                <w:b/>
                <w:bCs/>
                <w:color w:val="00548C"/>
                <w:lang w:val="pl"/>
              </w:rPr>
              <w:t>Słowa klucze w bazie HUDOC</w:t>
            </w:r>
          </w:p>
          <w:p w:rsidR="00BD3205" w:rsidRPr="00BD3205" w:rsidRDefault="00BD3205" w:rsidP="00BD3205">
            <w:pPr>
              <w:pStyle w:val="Teksttreci0"/>
              <w:spacing w:after="240"/>
              <w:ind w:left="595"/>
              <w:jc w:val="both"/>
              <w:rPr>
                <w:lang w:val="pl-PL"/>
              </w:rPr>
            </w:pPr>
            <w:r w:rsidRPr="00BD3205">
              <w:rPr>
                <w:color w:val="262626"/>
                <w:sz w:val="20"/>
                <w:szCs w:val="20"/>
                <w:lang w:val="pl"/>
              </w:rPr>
              <w:t>Przeszkadzanie wykonywaniu prawa do skargi (34)</w:t>
            </w:r>
          </w:p>
        </w:tc>
      </w:tr>
    </w:tbl>
    <w:p w:rsidR="00BD3205" w:rsidRDefault="00BD3205" w:rsidP="00BD3205">
      <w:pPr>
        <w:pStyle w:val="Nagwek31"/>
        <w:keepNext/>
        <w:keepLines/>
        <w:tabs>
          <w:tab w:val="left" w:pos="373"/>
        </w:tabs>
        <w:spacing w:after="100"/>
        <w:rPr>
          <w:lang w:val="pl"/>
        </w:rPr>
      </w:pPr>
      <w:bookmarkStart w:id="53" w:name="bookmark52"/>
      <w:bookmarkStart w:id="54" w:name="_Toc126335616"/>
    </w:p>
    <w:p w:rsidR="00B71A20" w:rsidRDefault="00BD3205" w:rsidP="00BD3205">
      <w:pPr>
        <w:pStyle w:val="Nagwek31"/>
        <w:keepNext/>
        <w:keepLines/>
        <w:tabs>
          <w:tab w:val="left" w:pos="373"/>
        </w:tabs>
        <w:spacing w:after="100"/>
      </w:pPr>
      <w:bookmarkStart w:id="55" w:name="_Toc126660570"/>
      <w:r>
        <w:rPr>
          <w:lang w:val="pl"/>
        </w:rPr>
        <w:t xml:space="preserve">1.  </w:t>
      </w:r>
      <w:r w:rsidR="000425B4">
        <w:rPr>
          <w:lang w:val="pl"/>
        </w:rPr>
        <w:t>Zasady i przykłady</w:t>
      </w:r>
      <w:bookmarkEnd w:id="53"/>
      <w:bookmarkEnd w:id="54"/>
      <w:bookmarkEnd w:id="55"/>
    </w:p>
    <w:p w:rsidR="00B71A20" w:rsidRDefault="000425B4" w:rsidP="00115011">
      <w:pPr>
        <w:pStyle w:val="Teksttreci0"/>
        <w:numPr>
          <w:ilvl w:val="0"/>
          <w:numId w:val="14"/>
        </w:numPr>
        <w:tabs>
          <w:tab w:val="left" w:pos="399"/>
        </w:tabs>
        <w:jc w:val="both"/>
      </w:pPr>
      <w:r>
        <w:rPr>
          <w:lang w:val="pl"/>
        </w:rPr>
        <w:t xml:space="preserve">Prawo do skargi do Trybunału ma charakter absolutny i w żaden sposób nie powinno się przeszkadzać w skutecznym korzystaniu z tego prawa. Zasada ta zakłada swobodę porozumiewania się z instytucjami konwencyjnymi (korespondencja w warunkach pozbawienia wolności, patrz </w:t>
      </w:r>
      <w:hyperlink r:id="rId417" w:history="1">
        <w:r w:rsidR="00D81DFA">
          <w:rPr>
            <w:i/>
            <w:iCs/>
            <w:color w:val="0072BC"/>
            <w:lang w:val="pl"/>
          </w:rPr>
          <w:t>Peers p. </w:t>
        </w:r>
        <w:r>
          <w:rPr>
            <w:i/>
            <w:iCs/>
            <w:color w:val="0072BC"/>
            <w:lang w:val="pl"/>
          </w:rPr>
          <w:t>Grecji</w:t>
        </w:r>
        <w:r>
          <w:rPr>
            <w:lang w:val="pl"/>
          </w:rPr>
          <w:t>,</w:t>
        </w:r>
      </w:hyperlink>
      <w:r>
        <w:rPr>
          <w:lang w:val="pl"/>
        </w:rPr>
        <w:t xml:space="preserve"> § 84;</w:t>
      </w:r>
      <w:hyperlink r:id="rId418" w:history="1">
        <w:r>
          <w:rPr>
            <w:lang w:val="pl"/>
          </w:rPr>
          <w:t xml:space="preserve"> </w:t>
        </w:r>
        <w:r>
          <w:rPr>
            <w:i/>
            <w:iCs/>
            <w:color w:val="0072BC"/>
            <w:lang w:val="pl"/>
          </w:rPr>
          <w:t>Kornakovs p. Łotwie</w:t>
        </w:r>
        <w:r>
          <w:rPr>
            <w:lang w:val="pl"/>
          </w:rPr>
          <w:t>,</w:t>
        </w:r>
      </w:hyperlink>
      <w:r>
        <w:rPr>
          <w:lang w:val="pl"/>
        </w:rPr>
        <w:t xml:space="preserve"> §§ 157 i następne). W związku z tym patrz również Porozumienie Europejskie w sprawie osób uczestniczących w postępowaniu przed Europejskim Trybunałem Praw </w:t>
      </w:r>
      <w:r>
        <w:rPr>
          <w:lang w:val="pl"/>
        </w:rPr>
        <w:lastRenderedPageBreak/>
        <w:t xml:space="preserve">Człowieka z 1996 r. </w:t>
      </w:r>
      <w:hyperlink r:id="rId419" w:history="1">
        <w:r>
          <w:rPr>
            <w:lang w:val="pl"/>
          </w:rPr>
          <w:t>(</w:t>
        </w:r>
        <w:r>
          <w:rPr>
            <w:color w:val="0072BC"/>
            <w:lang w:val="pl"/>
          </w:rPr>
          <w:t>CETS No. 161</w:t>
        </w:r>
        <w:r>
          <w:rPr>
            <w:lang w:val="pl"/>
          </w:rPr>
          <w:t>)</w:t>
        </w:r>
      </w:hyperlink>
      <w:r>
        <w:rPr>
          <w:lang w:val="pl"/>
        </w:rPr>
        <w:t>.</w:t>
      </w:r>
    </w:p>
    <w:p w:rsidR="00B71A20" w:rsidRPr="000625F6" w:rsidRDefault="000425B4" w:rsidP="00115011">
      <w:pPr>
        <w:pStyle w:val="Teksttreci0"/>
        <w:numPr>
          <w:ilvl w:val="0"/>
          <w:numId w:val="14"/>
        </w:numPr>
        <w:tabs>
          <w:tab w:val="left" w:pos="409"/>
        </w:tabs>
        <w:jc w:val="both"/>
        <w:rPr>
          <w:lang w:val="pl-PL"/>
        </w:rPr>
      </w:pPr>
      <w:r>
        <w:rPr>
          <w:lang w:val="pl"/>
        </w:rPr>
        <w:t xml:space="preserve">Władze krajowe mają obowiązek powstrzymania się od wywierania jakichkolwiek nacisków na skarżących, by wycofali lub zmodyfikowali swoje skargi. Według Trybunału naciski mogą przybierać formę bezpośredniego przymusu oraz jaskrawych przypadków zastraszania w stosunku do skarżących lub potencjalnych skarżących, ich rodzin lub przedstawicieli prawnych oraz niewłaściwych działań lub kontaktów pośrednich </w:t>
      </w:r>
      <w:hyperlink r:id="rId420" w:history="1">
        <w:r>
          <w:rPr>
            <w:lang w:val="pl"/>
          </w:rPr>
          <w:t>(</w:t>
        </w:r>
        <w:r>
          <w:rPr>
            <w:i/>
            <w:iCs/>
            <w:color w:val="0072BC"/>
            <w:lang w:val="pl"/>
          </w:rPr>
          <w:t>Mamatkulov i</w:t>
        </w:r>
      </w:hyperlink>
      <w:r>
        <w:rPr>
          <w:i/>
          <w:iCs/>
          <w:color w:val="0072BC"/>
          <w:lang w:val="pl"/>
        </w:rPr>
        <w:t xml:space="preserve"> </w:t>
      </w:r>
      <w:hyperlink r:id="rId421" w:history="1">
        <w:r>
          <w:rPr>
            <w:i/>
            <w:iCs/>
            <w:color w:val="0072BC"/>
            <w:lang w:val="pl"/>
          </w:rPr>
          <w:t>Askarov p. Turcji</w:t>
        </w:r>
        <w:r>
          <w:rPr>
            <w:color w:val="0072BC"/>
            <w:lang w:val="pl"/>
          </w:rPr>
          <w:t xml:space="preserve"> </w:t>
        </w:r>
      </w:hyperlink>
      <w:r>
        <w:rPr>
          <w:lang w:val="pl"/>
        </w:rPr>
        <w:t xml:space="preserve">[WI], § 102). Trybunał bada skutek zniechęcający do wykonywania prawa do skargi indywidualnej </w:t>
      </w:r>
      <w:hyperlink r:id="rId422" w:history="1">
        <w:r>
          <w:rPr>
            <w:lang w:val="pl"/>
          </w:rPr>
          <w:t>(</w:t>
        </w:r>
        <w:r>
          <w:rPr>
            <w:i/>
            <w:iCs/>
            <w:color w:val="0072BC"/>
            <w:lang w:val="pl"/>
          </w:rPr>
          <w:t>Colibaba p. Mołdawii</w:t>
        </w:r>
        <w:r>
          <w:rPr>
            <w:lang w:val="pl"/>
          </w:rPr>
          <w:t>,</w:t>
        </w:r>
      </w:hyperlink>
      <w:r>
        <w:rPr>
          <w:lang w:val="pl"/>
        </w:rPr>
        <w:t xml:space="preserve"> § 68). To, że pozwany rząd nie uczynił zadość ciążącemu na nim obowiązkowi proceduralnemu wynikającemu z art. 34, nie musi oznaczać, że zarzucana ingerencja rzeczywiście ograniczyła skorzystanie z prawa do skargi indywidualnej lub wpłynęła na to prawo w zauważalnym stopniu. Obowiązki proceduralne wynikające z art. 34 i 38 Konwencji należy egzekwować bez względu na ostateczny rezultat postępowania oraz w taki sposób, by uniknąć wywarcia rzeczywistego bądź potencjalnego „efektu mrożącego” na skarżących lub ich przedstawicielach </w:t>
      </w:r>
      <w:hyperlink r:id="rId423" w:history="1">
        <w:r>
          <w:rPr>
            <w:lang w:val="pl"/>
          </w:rPr>
          <w:t>(</w:t>
        </w:r>
        <w:r>
          <w:rPr>
            <w:i/>
            <w:iCs/>
            <w:color w:val="0072BC"/>
            <w:lang w:val="pl"/>
          </w:rPr>
          <w:t>Mehmet Ali Ayhan i Inni p. Turcji</w:t>
        </w:r>
        <w:r>
          <w:rPr>
            <w:lang w:val="pl"/>
          </w:rPr>
          <w:t>,</w:t>
        </w:r>
      </w:hyperlink>
      <w:r>
        <w:rPr>
          <w:lang w:val="pl"/>
        </w:rPr>
        <w:t xml:space="preserve"> § 41).</w:t>
      </w:r>
    </w:p>
    <w:p w:rsidR="00B71A20" w:rsidRPr="000625F6" w:rsidRDefault="000425B4" w:rsidP="00115011">
      <w:pPr>
        <w:pStyle w:val="Teksttreci0"/>
        <w:numPr>
          <w:ilvl w:val="0"/>
          <w:numId w:val="14"/>
        </w:numPr>
        <w:tabs>
          <w:tab w:val="left" w:pos="394"/>
        </w:tabs>
        <w:jc w:val="both"/>
        <w:rPr>
          <w:lang w:val="pl-PL"/>
        </w:rPr>
      </w:pPr>
      <w:r>
        <w:rPr>
          <w:lang w:val="pl"/>
        </w:rPr>
        <w:t xml:space="preserve">W pewnych okolicznościach Trybunał może z własnej inicjatywy podnieść kwestię, czy skarżący był poddany zastraszaniu w sposób utrudniający skuteczne wykonywanie prawa do skargi indywidualnej </w:t>
      </w:r>
      <w:hyperlink r:id="rId424" w:history="1">
        <w:r>
          <w:rPr>
            <w:lang w:val="pl"/>
          </w:rPr>
          <w:t>(</w:t>
        </w:r>
        <w:r>
          <w:rPr>
            <w:i/>
            <w:iCs/>
            <w:color w:val="0072BC"/>
            <w:lang w:val="pl"/>
          </w:rPr>
          <w:t>Lopata p. Rosji</w:t>
        </w:r>
        <w:r>
          <w:rPr>
            <w:lang w:val="pl"/>
          </w:rPr>
          <w:t>,</w:t>
        </w:r>
      </w:hyperlink>
      <w:r>
        <w:rPr>
          <w:lang w:val="pl"/>
        </w:rPr>
        <w:t xml:space="preserve"> § 147).</w:t>
      </w:r>
    </w:p>
    <w:p w:rsidR="00B71A20" w:rsidRPr="000625F6" w:rsidRDefault="000425B4" w:rsidP="00115011">
      <w:pPr>
        <w:pStyle w:val="Teksttreci0"/>
        <w:numPr>
          <w:ilvl w:val="0"/>
          <w:numId w:val="14"/>
        </w:numPr>
        <w:tabs>
          <w:tab w:val="left" w:pos="404"/>
        </w:tabs>
        <w:jc w:val="both"/>
        <w:rPr>
          <w:lang w:val="pl-PL"/>
        </w:rPr>
      </w:pPr>
      <w:r>
        <w:rPr>
          <w:lang w:val="pl"/>
        </w:rPr>
        <w:t xml:space="preserve">Należy brać pod uwagę słabą pozycję skarżącego oraz ryzyko, że władze mogą wywierać na niego naciski </w:t>
      </w:r>
      <w:hyperlink r:id="rId425" w:history="1">
        <w:r>
          <w:rPr>
            <w:lang w:val="pl"/>
          </w:rPr>
          <w:t>(</w:t>
        </w:r>
        <w:r>
          <w:rPr>
            <w:i/>
            <w:iCs/>
            <w:color w:val="0072BC"/>
            <w:lang w:val="pl"/>
          </w:rPr>
          <w:t>Iambor p. Rumunii (nr 1)</w:t>
        </w:r>
        <w:r>
          <w:rPr>
            <w:lang w:val="pl"/>
          </w:rPr>
          <w:t>,</w:t>
        </w:r>
      </w:hyperlink>
      <w:r>
        <w:rPr>
          <w:lang w:val="pl"/>
        </w:rPr>
        <w:t xml:space="preserve"> § 212). Skarżący mogą być szczególnie podatni na takie naciski, gdy przebywają w areszcie tymczasowym, a ich kontakty z rodzinami lub światem zewnętrznym zostały ograniczone </w:t>
      </w:r>
      <w:hyperlink r:id="rId426" w:history="1">
        <w:r>
          <w:rPr>
            <w:lang w:val="pl"/>
          </w:rPr>
          <w:t>(</w:t>
        </w:r>
        <w:r>
          <w:rPr>
            <w:i/>
            <w:iCs/>
            <w:color w:val="0072BC"/>
            <w:lang w:val="pl"/>
          </w:rPr>
          <w:t>Cotleţ p. Rumunii</w:t>
        </w:r>
        <w:r>
          <w:rPr>
            <w:lang w:val="pl"/>
          </w:rPr>
          <w:t>,</w:t>
        </w:r>
      </w:hyperlink>
      <w:r>
        <w:rPr>
          <w:lang w:val="pl"/>
        </w:rPr>
        <w:t xml:space="preserve"> § 71).</w:t>
      </w:r>
    </w:p>
    <w:p w:rsidR="00B71A20" w:rsidRPr="000625F6" w:rsidRDefault="000425B4" w:rsidP="00115011">
      <w:pPr>
        <w:pStyle w:val="Teksttreci0"/>
        <w:numPr>
          <w:ilvl w:val="0"/>
          <w:numId w:val="14"/>
        </w:numPr>
        <w:tabs>
          <w:tab w:val="left" w:pos="394"/>
        </w:tabs>
        <w:jc w:val="both"/>
        <w:rPr>
          <w:lang w:val="pl-PL"/>
        </w:rPr>
      </w:pPr>
      <w:r>
        <w:rPr>
          <w:lang w:val="pl"/>
        </w:rPr>
        <w:t>Oto kilka godnych uwagi przykładów:</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odnośnie do przesłuchania przez władze w sprawie skargi:</w:t>
      </w:r>
      <w:hyperlink r:id="rId427" w:history="1">
        <w:r>
          <w:rPr>
            <w:lang w:val="pl"/>
          </w:rPr>
          <w:t xml:space="preserve"> </w:t>
        </w:r>
        <w:r>
          <w:rPr>
            <w:i/>
            <w:iCs/>
            <w:color w:val="0072BC"/>
            <w:lang w:val="pl"/>
          </w:rPr>
          <w:t>Akdivar i Inni</w:t>
        </w:r>
      </w:hyperlink>
      <w:r>
        <w:rPr>
          <w:i/>
          <w:iCs/>
          <w:color w:val="0072BC"/>
          <w:lang w:val="pl"/>
        </w:rPr>
        <w:t xml:space="preserve"> </w:t>
      </w:r>
      <w:hyperlink r:id="rId428" w:history="1">
        <w:r>
          <w:rPr>
            <w:i/>
            <w:iCs/>
            <w:color w:val="0072BC"/>
            <w:lang w:val="pl"/>
          </w:rPr>
          <w:t>p. Turcji</w:t>
        </w:r>
        <w:r>
          <w:rPr>
            <w:lang w:val="pl"/>
          </w:rPr>
          <w:t>,</w:t>
        </w:r>
      </w:hyperlink>
      <w:r>
        <w:rPr>
          <w:lang w:val="pl"/>
        </w:rPr>
        <w:t xml:space="preserve"> § 105;</w:t>
      </w:r>
      <w:hyperlink r:id="rId429" w:history="1">
        <w:r>
          <w:rPr>
            <w:lang w:val="pl"/>
          </w:rPr>
          <w:t xml:space="preserve"> </w:t>
        </w:r>
        <w:r>
          <w:rPr>
            <w:i/>
            <w:iCs/>
            <w:color w:val="0072BC"/>
            <w:lang w:val="pl"/>
          </w:rPr>
          <w:t>Tanrikulu p. Turcji</w:t>
        </w:r>
        <w:r>
          <w:rPr>
            <w:color w:val="0072BC"/>
            <w:lang w:val="pl"/>
          </w:rPr>
          <w:t xml:space="preserve"> </w:t>
        </w:r>
      </w:hyperlink>
      <w:r>
        <w:rPr>
          <w:lang w:val="pl"/>
        </w:rPr>
        <w:t>[WI], § 131;</w:t>
      </w:r>
    </w:p>
    <w:p w:rsidR="00B71A20" w:rsidRPr="000625F6" w:rsidRDefault="000425B4" w:rsidP="00115011">
      <w:pPr>
        <w:pStyle w:val="Teksttreci0"/>
        <w:numPr>
          <w:ilvl w:val="0"/>
          <w:numId w:val="15"/>
        </w:numPr>
        <w:tabs>
          <w:tab w:val="left" w:pos="878"/>
        </w:tabs>
        <w:ind w:left="880" w:hanging="280"/>
        <w:jc w:val="both"/>
        <w:rPr>
          <w:lang w:val="pl-PL"/>
        </w:rPr>
      </w:pPr>
      <w:r>
        <w:rPr>
          <w:lang w:val="pl"/>
        </w:rPr>
        <w:t>grożenie wszczęciem postępowania karnego przeciwko prawnikowi skarżącego:</w:t>
      </w:r>
      <w:hyperlink r:id="rId430" w:history="1">
        <w:r>
          <w:rPr>
            <w:lang w:val="pl"/>
          </w:rPr>
          <w:t xml:space="preserve"> </w:t>
        </w:r>
        <w:r>
          <w:rPr>
            <w:i/>
            <w:iCs/>
            <w:color w:val="0072BC"/>
            <w:lang w:val="pl"/>
          </w:rPr>
          <w:t>Kurt p.Turcji</w:t>
        </w:r>
        <w:r>
          <w:rPr>
            <w:lang w:val="pl"/>
          </w:rPr>
          <w:t>,</w:t>
        </w:r>
      </w:hyperlink>
      <w:r>
        <w:rPr>
          <w:lang w:val="pl"/>
        </w:rPr>
        <w:t xml:space="preserve"> §§ 159-165, skarga władz na prawnika w postępowaniu krajowym:</w:t>
      </w:r>
      <w:hyperlink r:id="rId431" w:history="1">
        <w:r>
          <w:rPr>
            <w:lang w:val="pl"/>
          </w:rPr>
          <w:t xml:space="preserve"> </w:t>
        </w:r>
        <w:r>
          <w:rPr>
            <w:i/>
            <w:iCs/>
            <w:color w:val="0072BC"/>
            <w:lang w:val="pl"/>
          </w:rPr>
          <w:t>McShane</w:t>
        </w:r>
      </w:hyperlink>
      <w:r>
        <w:rPr>
          <w:i/>
          <w:iCs/>
          <w:color w:val="0072BC"/>
          <w:lang w:val="pl"/>
        </w:rPr>
        <w:t xml:space="preserve"> </w:t>
      </w:r>
      <w:hyperlink r:id="rId432" w:history="1">
        <w:r>
          <w:rPr>
            <w:i/>
            <w:iCs/>
            <w:color w:val="0072BC"/>
            <w:lang w:val="pl"/>
          </w:rPr>
          <w:t>p. Wielkiej Brytanii</w:t>
        </w:r>
        <w:r>
          <w:rPr>
            <w:lang w:val="pl"/>
          </w:rPr>
          <w:t>,</w:t>
        </w:r>
      </w:hyperlink>
      <w:r>
        <w:rPr>
          <w:lang w:val="pl"/>
        </w:rPr>
        <w:t xml:space="preserve"> § 151; środki dyscyplinarne i inne przedsięwzięte przeciwko prawnikom skarżącego:</w:t>
      </w:r>
      <w:hyperlink r:id="rId433" w:history="1">
        <w:r>
          <w:rPr>
            <w:lang w:val="pl"/>
          </w:rPr>
          <w:t xml:space="preserve"> </w:t>
        </w:r>
        <w:r>
          <w:rPr>
            <w:i/>
            <w:iCs/>
            <w:color w:val="0072BC"/>
            <w:lang w:val="pl"/>
          </w:rPr>
          <w:t>Khodorkovskiy i Lebedev p. Rosji</w:t>
        </w:r>
        <w:r>
          <w:rPr>
            <w:lang w:val="pl"/>
          </w:rPr>
          <w:t>,</w:t>
        </w:r>
      </w:hyperlink>
      <w:r>
        <w:rPr>
          <w:lang w:val="pl"/>
        </w:rPr>
        <w:t xml:space="preserve"> §§ 929-933;</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 xml:space="preserve">przesłuchanie prawnika skarżącego przez policję w związku z podpisem pod pełnomocnictwem </w:t>
      </w:r>
      <w:hyperlink r:id="rId434" w:history="1">
        <w:r>
          <w:rPr>
            <w:lang w:val="pl"/>
          </w:rPr>
          <w:t>(</w:t>
        </w:r>
        <w:r>
          <w:rPr>
            <w:i/>
            <w:iCs/>
            <w:color w:val="0072BC"/>
            <w:lang w:val="pl"/>
          </w:rPr>
          <w:t>M.H. i Inni p. Chorwacji</w:t>
        </w:r>
        <w:r>
          <w:rPr>
            <w:lang w:val="pl"/>
          </w:rPr>
          <w:t>,</w:t>
        </w:r>
      </w:hyperlink>
      <w:r>
        <w:rPr>
          <w:lang w:val="pl"/>
        </w:rPr>
        <w:t xml:space="preserve"> §§ 62, 64, a także §§ 325-336); przesłuchanie prawnika i tłumacza skarżącego w związku z roszczeniem o słuszne zadośćuczynienie:</w:t>
      </w:r>
      <w:hyperlink r:id="rId435" w:history="1">
        <w:r>
          <w:rPr>
            <w:lang w:val="pl"/>
          </w:rPr>
          <w:t xml:space="preserve"> </w:t>
        </w:r>
        <w:r>
          <w:rPr>
            <w:i/>
            <w:iCs/>
            <w:color w:val="0072BC"/>
            <w:lang w:val="pl"/>
          </w:rPr>
          <w:t>Fedotova</w:t>
        </w:r>
      </w:hyperlink>
      <w:r>
        <w:rPr>
          <w:i/>
          <w:iCs/>
          <w:color w:val="0072BC"/>
          <w:lang w:val="pl"/>
        </w:rPr>
        <w:t xml:space="preserve"> </w:t>
      </w:r>
      <w:hyperlink r:id="rId436" w:history="1">
        <w:r>
          <w:rPr>
            <w:i/>
            <w:iCs/>
            <w:color w:val="0072BC"/>
            <w:lang w:val="pl"/>
          </w:rPr>
          <w:t>p. Rosji</w:t>
        </w:r>
        <w:r>
          <w:rPr>
            <w:lang w:val="pl"/>
          </w:rPr>
          <w:t>,</w:t>
        </w:r>
      </w:hyperlink>
      <w:r>
        <w:rPr>
          <w:lang w:val="pl"/>
        </w:rPr>
        <w:t xml:space="preserve"> §§ 49-51; odnośnie do wszczęcia dochodzenia na żądanie przedstawiciela rządu: </w:t>
      </w:r>
      <w:hyperlink r:id="rId437" w:history="1">
        <w:r>
          <w:rPr>
            <w:i/>
            <w:iCs/>
            <w:color w:val="0072BC"/>
            <w:lang w:val="pl"/>
          </w:rPr>
          <w:t>Ryabov p. Rosji</w:t>
        </w:r>
        <w:r>
          <w:rPr>
            <w:lang w:val="pl"/>
          </w:rPr>
          <w:t>,</w:t>
        </w:r>
      </w:hyperlink>
      <w:r>
        <w:rPr>
          <w:lang w:val="pl"/>
        </w:rPr>
        <w:t xml:space="preserve"> §§ 53-65;</w:t>
      </w:r>
    </w:p>
    <w:p w:rsidR="00B71A20" w:rsidRPr="000625F6" w:rsidRDefault="000425B4" w:rsidP="00115011">
      <w:pPr>
        <w:pStyle w:val="Teksttreci0"/>
        <w:numPr>
          <w:ilvl w:val="0"/>
          <w:numId w:val="15"/>
        </w:numPr>
        <w:tabs>
          <w:tab w:val="left" w:pos="878"/>
        </w:tabs>
        <w:spacing w:after="40"/>
        <w:ind w:left="851" w:hanging="251"/>
        <w:jc w:val="both"/>
        <w:rPr>
          <w:lang w:val="pl-PL"/>
        </w:rPr>
      </w:pPr>
      <w:r>
        <w:rPr>
          <w:lang w:val="pl"/>
        </w:rPr>
        <w:t>brak możliwości spotkania między prawnikiem skarżącego a jego lekarzem:</w:t>
      </w:r>
      <w:hyperlink r:id="rId438" w:history="1">
        <w:r>
          <w:rPr>
            <w:lang w:val="pl"/>
          </w:rPr>
          <w:t xml:space="preserve"> </w:t>
        </w:r>
        <w:r w:rsidR="00D81DFA">
          <w:rPr>
            <w:i/>
            <w:iCs/>
            <w:color w:val="0072BC"/>
            <w:lang w:val="pl"/>
          </w:rPr>
          <w:t>Boicenco p. </w:t>
        </w:r>
        <w:r>
          <w:rPr>
            <w:i/>
            <w:iCs/>
            <w:color w:val="0072BC"/>
            <w:lang w:val="pl"/>
          </w:rPr>
          <w:t>Mołdawii</w:t>
        </w:r>
        <w:r>
          <w:rPr>
            <w:lang w:val="pl"/>
          </w:rPr>
          <w:t>,</w:t>
        </w:r>
      </w:hyperlink>
      <w:r>
        <w:rPr>
          <w:lang w:val="pl"/>
        </w:rPr>
        <w:t xml:space="preserve"> §§ 158-159;</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działania ograniczające kontakty skarżącego ze swoim przedstawicielem:</w:t>
      </w:r>
      <w:hyperlink r:id="rId439" w:history="1">
        <w:r>
          <w:rPr>
            <w:i/>
            <w:iCs/>
            <w:lang w:val="pl"/>
          </w:rPr>
          <w:t xml:space="preserve"> </w:t>
        </w:r>
        <w:r>
          <w:rPr>
            <w:i/>
            <w:iCs/>
            <w:color w:val="0072BC"/>
            <w:lang w:val="pl"/>
          </w:rPr>
          <w:t>Shtukaturov</w:t>
        </w:r>
      </w:hyperlink>
      <w:r>
        <w:rPr>
          <w:i/>
          <w:iCs/>
          <w:color w:val="0072BC"/>
          <w:lang w:val="pl"/>
        </w:rPr>
        <w:t xml:space="preserve"> </w:t>
      </w:r>
      <w:hyperlink r:id="rId440" w:history="1">
        <w:r>
          <w:rPr>
            <w:i/>
            <w:iCs/>
            <w:color w:val="0072BC"/>
            <w:lang w:val="pl"/>
          </w:rPr>
          <w:t>p. Rosji</w:t>
        </w:r>
        <w:r>
          <w:rPr>
            <w:lang w:val="pl"/>
          </w:rPr>
          <w:t>,</w:t>
        </w:r>
      </w:hyperlink>
      <w:r>
        <w:rPr>
          <w:lang w:val="pl"/>
        </w:rPr>
        <w:t xml:space="preserve"> § 140, gdzie zakaz widzeń z pełnomocnikiem, w połączeniu z zakazem kontaktów drogą telefoniczną i korespondencyjną, uznano za niezgodny ze zobowiązaniami pozwanego państwa wynikającymi z art. 34, oraz</w:t>
      </w:r>
      <w:hyperlink r:id="rId441" w:history="1">
        <w:r>
          <w:rPr>
            <w:i/>
            <w:iCs/>
            <w:lang w:val="pl"/>
          </w:rPr>
          <w:t xml:space="preserve"> </w:t>
        </w:r>
        <w:r>
          <w:rPr>
            <w:i/>
            <w:iCs/>
            <w:color w:val="0072BC"/>
            <w:lang w:val="pl"/>
          </w:rPr>
          <w:t>Zakharkin p. Rosji</w:t>
        </w:r>
        <w:r>
          <w:rPr>
            <w:lang w:val="pl"/>
          </w:rPr>
          <w:t>,</w:t>
        </w:r>
      </w:hyperlink>
      <w:r>
        <w:rPr>
          <w:lang w:val="pl"/>
        </w:rPr>
        <w:t xml:space="preserve"> §§ 157</w:t>
      </w:r>
      <w:r>
        <w:rPr>
          <w:lang w:val="pl"/>
        </w:rPr>
        <w:noBreakHyphen/>
        <w:t>160, gdzie kontakty skarżącego z jego przedstawicielem przed Trybunałem ograniczono z tego względu, że ów przedstawiciel nie był zawodowym adwokatem ani członkiem adwokatury;</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przechwycenie listów wysłanych do zatrzymanych skarżących przez ich przedstawicieli prawnych i zawierających formularze pełnomocnictw, które należało wypełnić, aby możliwe było złożenie skargi, a następnie przeprowadzenie postępowania przed Trybunałem:</w:t>
      </w:r>
      <w:hyperlink r:id="rId442" w:history="1">
        <w:r>
          <w:rPr>
            <w:i/>
            <w:iCs/>
            <w:lang w:val="pl"/>
          </w:rPr>
          <w:t xml:space="preserve"> </w:t>
        </w:r>
        <w:r>
          <w:rPr>
            <w:i/>
            <w:iCs/>
            <w:color w:val="0072BC"/>
            <w:lang w:val="pl"/>
          </w:rPr>
          <w:t>Mehmet Ali Ayhan i Inni</w:t>
        </w:r>
      </w:hyperlink>
      <w:r>
        <w:rPr>
          <w:i/>
          <w:iCs/>
          <w:color w:val="0072BC"/>
          <w:lang w:val="pl"/>
        </w:rPr>
        <w:t xml:space="preserve"> </w:t>
      </w:r>
      <w:hyperlink r:id="rId443" w:history="1">
        <w:r>
          <w:rPr>
            <w:i/>
            <w:iCs/>
            <w:color w:val="0072BC"/>
            <w:lang w:val="pl"/>
          </w:rPr>
          <w:t>p. Turcji</w:t>
        </w:r>
        <w:r>
          <w:rPr>
            <w:lang w:val="pl"/>
          </w:rPr>
          <w:t>,</w:t>
        </w:r>
        <w:r>
          <w:rPr>
            <w:i/>
            <w:iCs/>
            <w:lang w:val="pl"/>
          </w:rPr>
          <w:t xml:space="preserve"> </w:t>
        </w:r>
      </w:hyperlink>
      <w:r>
        <w:rPr>
          <w:lang w:val="pl"/>
        </w:rPr>
        <w:t>§§ 39</w:t>
      </w:r>
      <w:r>
        <w:rPr>
          <w:lang w:val="pl"/>
        </w:rPr>
        <w:noBreakHyphen/>
        <w:t>45 i cytowane tam odniesienia;</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 xml:space="preserve">brak poszanowania prawa do poufności rozmów pomiędzy prawnikiem a skarżącym w pokoju widzeń: </w:t>
      </w:r>
      <w:hyperlink r:id="rId444" w:history="1">
        <w:r>
          <w:rPr>
            <w:i/>
            <w:iCs/>
            <w:color w:val="0072BC"/>
            <w:lang w:val="pl"/>
          </w:rPr>
          <w:t>Oferta Plus SRL p. Mołdawii</w:t>
        </w:r>
        <w:r>
          <w:rPr>
            <w:lang w:val="pl"/>
          </w:rPr>
          <w:t>,</w:t>
        </w:r>
      </w:hyperlink>
      <w:r>
        <w:rPr>
          <w:lang w:val="pl"/>
        </w:rPr>
        <w:t xml:space="preserve"> § 156;</w:t>
      </w:r>
    </w:p>
    <w:p w:rsidR="00B71A20" w:rsidRPr="000625F6" w:rsidRDefault="000425B4" w:rsidP="00115011">
      <w:pPr>
        <w:pStyle w:val="Teksttreci0"/>
        <w:numPr>
          <w:ilvl w:val="0"/>
          <w:numId w:val="15"/>
        </w:numPr>
        <w:tabs>
          <w:tab w:val="left" w:pos="878"/>
        </w:tabs>
        <w:spacing w:after="40"/>
        <w:ind w:firstLine="600"/>
        <w:jc w:val="both"/>
        <w:rPr>
          <w:lang w:val="pl-PL"/>
        </w:rPr>
      </w:pPr>
      <w:r>
        <w:rPr>
          <w:lang w:val="pl"/>
        </w:rPr>
        <w:t>groźby ze strony władz więziennych:</w:t>
      </w:r>
      <w:hyperlink r:id="rId445" w:history="1">
        <w:r>
          <w:rPr>
            <w:lang w:val="pl"/>
          </w:rPr>
          <w:t xml:space="preserve"> </w:t>
        </w:r>
        <w:r>
          <w:rPr>
            <w:i/>
            <w:iCs/>
            <w:color w:val="0072BC"/>
            <w:lang w:val="pl"/>
          </w:rPr>
          <w:t>Petra p. Rumunii</w:t>
        </w:r>
        <w:r>
          <w:rPr>
            <w:lang w:val="pl"/>
          </w:rPr>
          <w:t>,</w:t>
        </w:r>
      </w:hyperlink>
      <w:r>
        <w:rPr>
          <w:lang w:val="pl"/>
        </w:rPr>
        <w:t xml:space="preserve"> § 44;</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 xml:space="preserve">odmowa przekazania skargi do Trybunału przez władze więzienne z powodu niewyczerpania </w:t>
      </w:r>
      <w:r>
        <w:rPr>
          <w:lang w:val="pl"/>
        </w:rPr>
        <w:lastRenderedPageBreak/>
        <w:t>krajowych środków odwoławczych:</w:t>
      </w:r>
      <w:hyperlink r:id="rId446" w:history="1">
        <w:r>
          <w:rPr>
            <w:lang w:val="pl"/>
          </w:rPr>
          <w:t xml:space="preserve"> </w:t>
        </w:r>
        <w:r>
          <w:rPr>
            <w:i/>
            <w:iCs/>
            <w:color w:val="0072BC"/>
            <w:lang w:val="pl"/>
          </w:rPr>
          <w:t>Nurmagomedov p. Rosji</w:t>
        </w:r>
        <w:r>
          <w:rPr>
            <w:lang w:val="pl"/>
          </w:rPr>
          <w:t>,</w:t>
        </w:r>
      </w:hyperlink>
      <w:r>
        <w:rPr>
          <w:lang w:val="pl"/>
        </w:rPr>
        <w:t xml:space="preserve"> § 61;</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 xml:space="preserve">wywieranie nacisków na świadka w sprawie zawisłej przed Trybunałem dotyczącej warunków pozbawienia wolności: </w:t>
      </w:r>
      <w:hyperlink r:id="rId447" w:history="1">
        <w:r>
          <w:rPr>
            <w:i/>
            <w:iCs/>
            <w:color w:val="0072BC"/>
            <w:lang w:val="pl"/>
          </w:rPr>
          <w:t>Novinskiy p. Rosji</w:t>
        </w:r>
        <w:r>
          <w:rPr>
            <w:lang w:val="pl"/>
          </w:rPr>
          <w:t>,</w:t>
        </w:r>
      </w:hyperlink>
      <w:r>
        <w:rPr>
          <w:lang w:val="pl"/>
        </w:rPr>
        <w:t xml:space="preserve"> §§ 119 i nast.;</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zbywające uwagi władz więziennych połączone z nieuzasadnionymi zaniedbaniami i zwłoką w dostarczaniu więźniowi materiałów piśmienniczych do prowadzenia korespondencji oraz dokumentów potrzebnych mu do złożenia skargi do Trybunału:</w:t>
      </w:r>
      <w:hyperlink r:id="rId448" w:history="1">
        <w:r>
          <w:rPr>
            <w:lang w:val="pl"/>
          </w:rPr>
          <w:t xml:space="preserve"> </w:t>
        </w:r>
        <w:r>
          <w:rPr>
            <w:i/>
            <w:iCs/>
            <w:color w:val="0072BC"/>
            <w:lang w:val="pl"/>
          </w:rPr>
          <w:t>Gagiu p. Rumunii</w:t>
        </w:r>
        <w:r>
          <w:rPr>
            <w:lang w:val="pl"/>
          </w:rPr>
          <w:t>,</w:t>
        </w:r>
      </w:hyperlink>
      <w:r w:rsidR="00D81DFA">
        <w:rPr>
          <w:lang w:val="pl"/>
        </w:rPr>
        <w:t xml:space="preserve"> §§ 94 i </w:t>
      </w:r>
      <w:r>
        <w:rPr>
          <w:lang w:val="pl"/>
        </w:rPr>
        <w:t>nast.;</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odmowa dostarczenia przez władze osadzonemu skarżącemu kopii dokumentów niezbędnych do złożenia przez niego skargi do Trybunału:</w:t>
      </w:r>
      <w:hyperlink r:id="rId449" w:history="1">
        <w:r>
          <w:rPr>
            <w:lang w:val="pl"/>
          </w:rPr>
          <w:t xml:space="preserve"> </w:t>
        </w:r>
        <w:r>
          <w:rPr>
            <w:i/>
            <w:iCs/>
            <w:color w:val="0072BC"/>
            <w:lang w:val="pl"/>
          </w:rPr>
          <w:t>Naydyon p. Ukrainie</w:t>
        </w:r>
        <w:r>
          <w:rPr>
            <w:lang w:val="pl"/>
          </w:rPr>
          <w:t>,</w:t>
        </w:r>
      </w:hyperlink>
      <w:r>
        <w:rPr>
          <w:lang w:val="pl"/>
        </w:rPr>
        <w:t xml:space="preserve"> § 68;</w:t>
      </w:r>
      <w:hyperlink r:id="rId450" w:history="1">
        <w:r>
          <w:rPr>
            <w:lang w:val="pl"/>
          </w:rPr>
          <w:t xml:space="preserve"> </w:t>
        </w:r>
        <w:r>
          <w:rPr>
            <w:i/>
            <w:iCs/>
            <w:color w:val="0072BC"/>
            <w:lang w:val="pl"/>
          </w:rPr>
          <w:t>Vasiliy Ivashchenko</w:t>
        </w:r>
      </w:hyperlink>
      <w:r>
        <w:rPr>
          <w:i/>
          <w:iCs/>
          <w:color w:val="0072BC"/>
          <w:lang w:val="pl"/>
        </w:rPr>
        <w:t xml:space="preserve"> </w:t>
      </w:r>
      <w:hyperlink r:id="rId451" w:history="1">
        <w:r>
          <w:rPr>
            <w:i/>
            <w:iCs/>
            <w:color w:val="0072BC"/>
            <w:lang w:val="pl"/>
          </w:rPr>
          <w:t>p. Ukrainie</w:t>
        </w:r>
        <w:r>
          <w:rPr>
            <w:lang w:val="pl"/>
          </w:rPr>
          <w:t>,</w:t>
        </w:r>
      </w:hyperlink>
      <w:r>
        <w:rPr>
          <w:lang w:val="pl"/>
        </w:rPr>
        <w:t xml:space="preserve"> §§ 107-110;</w:t>
      </w:r>
    </w:p>
    <w:p w:rsidR="00B71A20" w:rsidRPr="000625F6" w:rsidRDefault="000425B4" w:rsidP="00115011">
      <w:pPr>
        <w:pStyle w:val="Teksttreci0"/>
        <w:numPr>
          <w:ilvl w:val="0"/>
          <w:numId w:val="15"/>
        </w:numPr>
        <w:tabs>
          <w:tab w:val="left" w:pos="878"/>
        </w:tabs>
        <w:spacing w:after="40"/>
        <w:ind w:left="880" w:hanging="280"/>
        <w:jc w:val="both"/>
        <w:rPr>
          <w:lang w:val="pl-PL"/>
        </w:rPr>
      </w:pPr>
      <w:r>
        <w:rPr>
          <w:lang w:val="pl"/>
        </w:rPr>
        <w:t>utrata przez władze więzienne nieodtwarzalnych dokumentów związanych ze skargą więźnia do Trybunału:</w:t>
      </w:r>
      <w:hyperlink r:id="rId452" w:history="1">
        <w:r>
          <w:rPr>
            <w:lang w:val="pl"/>
          </w:rPr>
          <w:t xml:space="preserve"> </w:t>
        </w:r>
        <w:r>
          <w:rPr>
            <w:i/>
            <w:iCs/>
            <w:color w:val="0072BC"/>
            <w:lang w:val="pl"/>
          </w:rPr>
          <w:t>Buldakov p. Rosji</w:t>
        </w:r>
        <w:r>
          <w:rPr>
            <w:lang w:val="pl"/>
          </w:rPr>
          <w:t>,</w:t>
        </w:r>
      </w:hyperlink>
      <w:r>
        <w:rPr>
          <w:lang w:val="pl"/>
        </w:rPr>
        <w:t xml:space="preserve"> §§ 48-50;</w:t>
      </w:r>
    </w:p>
    <w:p w:rsidR="00B71A20" w:rsidRPr="000625F6" w:rsidRDefault="000425B4" w:rsidP="00115011">
      <w:pPr>
        <w:pStyle w:val="Teksttreci0"/>
        <w:numPr>
          <w:ilvl w:val="0"/>
          <w:numId w:val="15"/>
        </w:numPr>
        <w:tabs>
          <w:tab w:val="left" w:pos="878"/>
        </w:tabs>
        <w:ind w:left="880" w:hanging="280"/>
        <w:jc w:val="both"/>
        <w:rPr>
          <w:lang w:val="pl-PL"/>
        </w:rPr>
      </w:pPr>
      <w:r>
        <w:rPr>
          <w:lang w:val="pl"/>
        </w:rPr>
        <w:t>zastraszanie i wywieranie nacisków na skarżącego przez władze w związku ze sprawą zawisłą przed Trybunałem:</w:t>
      </w:r>
      <w:hyperlink r:id="rId453" w:history="1">
        <w:r>
          <w:rPr>
            <w:lang w:val="pl"/>
          </w:rPr>
          <w:t xml:space="preserve"> </w:t>
        </w:r>
        <w:r>
          <w:rPr>
            <w:i/>
            <w:iCs/>
            <w:color w:val="0072BC"/>
            <w:lang w:val="pl"/>
          </w:rPr>
          <w:t>Lopata p. Rosji</w:t>
        </w:r>
        <w:r>
          <w:rPr>
            <w:lang w:val="pl"/>
          </w:rPr>
          <w:t>,</w:t>
        </w:r>
      </w:hyperlink>
      <w:r>
        <w:rPr>
          <w:lang w:val="pl"/>
        </w:rPr>
        <w:t xml:space="preserve"> §§ 154-160.</w:t>
      </w:r>
    </w:p>
    <w:p w:rsidR="00B71A20" w:rsidRPr="000625F6" w:rsidRDefault="000425B4" w:rsidP="00115011">
      <w:pPr>
        <w:pStyle w:val="Teksttreci0"/>
        <w:numPr>
          <w:ilvl w:val="0"/>
          <w:numId w:val="14"/>
        </w:numPr>
        <w:tabs>
          <w:tab w:val="left" w:pos="404"/>
        </w:tabs>
        <w:spacing w:after="40"/>
        <w:jc w:val="both"/>
        <w:rPr>
          <w:lang w:val="pl-PL"/>
        </w:rPr>
      </w:pPr>
      <w:r>
        <w:rPr>
          <w:lang w:val="pl"/>
        </w:rPr>
        <w:t xml:space="preserve">Okoliczności sprawy mogą złagodzić zarzut ingerencji w prawo do skargi indywidualnej </w:t>
      </w:r>
      <w:hyperlink r:id="rId454" w:history="1">
        <w:r>
          <w:rPr>
            <w:lang w:val="pl"/>
          </w:rPr>
          <w:t>(</w:t>
        </w:r>
        <w:r w:rsidR="00D81DFA">
          <w:rPr>
            <w:i/>
            <w:iCs/>
            <w:color w:val="0072BC"/>
            <w:lang w:val="pl"/>
          </w:rPr>
          <w:t>Sisojeva i </w:t>
        </w:r>
        <w:r>
          <w:rPr>
            <w:i/>
            <w:iCs/>
            <w:color w:val="0072BC"/>
            <w:lang w:val="pl"/>
          </w:rPr>
          <w:t xml:space="preserve">Inni p. Łotwie </w:t>
        </w:r>
      </w:hyperlink>
      <w:r>
        <w:rPr>
          <w:lang w:val="pl"/>
        </w:rPr>
        <w:t xml:space="preserve">(skreślenie) [WI], §§ 118 i nast.). Patrz również </w:t>
      </w:r>
      <w:hyperlink r:id="rId455" w:history="1">
        <w:r>
          <w:rPr>
            <w:i/>
            <w:iCs/>
            <w:color w:val="0072BC"/>
            <w:lang w:val="pl"/>
          </w:rPr>
          <w:t xml:space="preserve">Holland p. Szwecji </w:t>
        </w:r>
      </w:hyperlink>
      <w:r>
        <w:rPr>
          <w:lang w:val="pl"/>
        </w:rPr>
        <w:t>(dec.), w której to sprawie Trybunał uznał, że zniszczenie taśm z nagraniami z rozprawy sądowej zgodnie z prawem szwedzkim przed wygaśnięciem sześciomiesięcznego terminu na złożenie skargi do Trybunału nie przeszkodziło skarżącemu w skutecznym skorzystaniu z prawa do skargi;</w:t>
      </w:r>
      <w:hyperlink r:id="rId456" w:history="1">
        <w:r>
          <w:rPr>
            <w:i/>
            <w:iCs/>
            <w:lang w:val="pl"/>
          </w:rPr>
          <w:t xml:space="preserve"> </w:t>
        </w:r>
        <w:r>
          <w:rPr>
            <w:i/>
            <w:iCs/>
            <w:color w:val="0072BC"/>
            <w:lang w:val="pl"/>
          </w:rPr>
          <w:t xml:space="preserve">Farcaş p. Rumunii </w:t>
        </w:r>
      </w:hyperlink>
      <w:r>
        <w:rPr>
          <w:lang w:val="pl"/>
        </w:rPr>
        <w:t>(dec.), gdzie Trybunał uznał, że zarzucany brak możliwości wyczerpania krajowych środków odwoławczych przez fizycznie niepełnosprawnego skarżącego z powodu braku specjalnych urządzeń umożliwiających dostęp do usług publicznych nie przeszkodził mu w skutecznym skorzystaniu z prawa do skargi; sprawa</w:t>
      </w:r>
      <w:hyperlink r:id="rId457" w:history="1">
        <w:r>
          <w:rPr>
            <w:i/>
            <w:iCs/>
            <w:lang w:val="pl"/>
          </w:rPr>
          <w:t xml:space="preserve"> </w:t>
        </w:r>
        <w:r>
          <w:rPr>
            <w:i/>
            <w:iCs/>
            <w:color w:val="0072BC"/>
            <w:lang w:val="pl"/>
          </w:rPr>
          <w:t>Yepishin p. Rosji</w:t>
        </w:r>
        <w:r>
          <w:rPr>
            <w:lang w:val="pl"/>
          </w:rPr>
          <w:t>,</w:t>
        </w:r>
      </w:hyperlink>
      <w:r>
        <w:rPr>
          <w:lang w:val="pl"/>
        </w:rPr>
        <w:t xml:space="preserve"> §§ 73-77, w której Trybunał uznał, że odmowa przez służbę więzienną wniesienia opłaty pocztowej za wysłanie listów więźnia do Trybunału nie stanowiła przeszkody w skutecznej realizacji prawa skarżącego do skargi;</w:t>
      </w:r>
      <w:hyperlink r:id="rId458" w:history="1">
        <w:r>
          <w:rPr>
            <w:i/>
            <w:iCs/>
            <w:lang w:val="pl"/>
          </w:rPr>
          <w:t xml:space="preserve"> </w:t>
        </w:r>
        <w:r>
          <w:rPr>
            <w:i/>
            <w:iCs/>
            <w:color w:val="0072BC"/>
            <w:lang w:val="pl"/>
          </w:rPr>
          <w:t>Yam p. Wielkiej Brytanii</w:t>
        </w:r>
        <w:r>
          <w:rPr>
            <w:lang w:val="pl"/>
          </w:rPr>
          <w:t>,</w:t>
        </w:r>
      </w:hyperlink>
      <w:r>
        <w:rPr>
          <w:lang w:val="pl"/>
        </w:rPr>
        <w:t xml:space="preserve"> §§ 79-83, gdzie Trybunał uznał, że decyzja władz krajowych, aby nie ujawniać poufnych materiałów wobec braku wniosku Trybunału, nie stanowiła przeszkody w skutecznej realizacji prawa skarżącego do skargi, ponieważ z należytą starannością dokonano niezależnej analizy wskazanej podstawy dalszego zachowania poufności.</w:t>
      </w:r>
    </w:p>
    <w:p w:rsidR="00B71A20" w:rsidRPr="00D3687D" w:rsidRDefault="00D3687D" w:rsidP="00D3687D">
      <w:pPr>
        <w:pStyle w:val="Nagwek31"/>
        <w:keepNext/>
        <w:keepLines/>
        <w:tabs>
          <w:tab w:val="left" w:pos="379"/>
        </w:tabs>
        <w:spacing w:before="240" w:after="220"/>
        <w:jc w:val="both"/>
        <w:rPr>
          <w:lang w:val="pl-PL"/>
        </w:rPr>
      </w:pPr>
      <w:bookmarkStart w:id="56" w:name="bookmark56"/>
      <w:bookmarkStart w:id="57" w:name="bookmark55"/>
      <w:bookmarkStart w:id="58" w:name="_Toc126335617"/>
      <w:bookmarkStart w:id="59" w:name="_Toc126660571"/>
      <w:r>
        <w:rPr>
          <w:lang w:val="pl"/>
        </w:rPr>
        <w:t xml:space="preserve">2.  </w:t>
      </w:r>
      <w:r w:rsidR="000425B4">
        <w:rPr>
          <w:lang w:val="pl"/>
        </w:rPr>
        <w:t>Obowiązki pozwanego państwa</w:t>
      </w:r>
      <w:bookmarkEnd w:id="56"/>
      <w:bookmarkEnd w:id="57"/>
      <w:bookmarkEnd w:id="58"/>
      <w:bookmarkEnd w:id="59"/>
    </w:p>
    <w:p w:rsidR="00B71A20" w:rsidRPr="00D3687D" w:rsidRDefault="00BB4D01" w:rsidP="00BB4D01">
      <w:pPr>
        <w:pStyle w:val="Nagwek41"/>
        <w:keepNext/>
        <w:keepLines/>
        <w:tabs>
          <w:tab w:val="left" w:pos="379"/>
        </w:tabs>
        <w:jc w:val="both"/>
        <w:rPr>
          <w:lang w:val="pl-PL"/>
        </w:rPr>
      </w:pPr>
      <w:bookmarkStart w:id="60" w:name="_Toc126335618"/>
      <w:bookmarkStart w:id="61" w:name="_Toc126660572"/>
      <w:r>
        <w:rPr>
          <w:lang w:val="pl"/>
        </w:rPr>
        <w:t xml:space="preserve">a.  </w:t>
      </w:r>
      <w:r w:rsidR="000425B4">
        <w:rPr>
          <w:lang w:val="pl"/>
        </w:rPr>
        <w:t>Reguła 39 Regulaminu Trybunału</w:t>
      </w:r>
      <w:bookmarkEnd w:id="60"/>
      <w:bookmarkEnd w:id="61"/>
    </w:p>
    <w:p w:rsidR="00B71A20" w:rsidRPr="000625F6" w:rsidRDefault="000425B4" w:rsidP="00115011">
      <w:pPr>
        <w:pStyle w:val="Teksttreci0"/>
        <w:numPr>
          <w:ilvl w:val="0"/>
          <w:numId w:val="16"/>
        </w:numPr>
        <w:tabs>
          <w:tab w:val="left" w:pos="409"/>
        </w:tabs>
        <w:jc w:val="both"/>
        <w:rPr>
          <w:lang w:val="pl-PL"/>
        </w:rPr>
      </w:pPr>
      <w:r>
        <w:rPr>
          <w:lang w:val="pl"/>
        </w:rPr>
        <w:t xml:space="preserve">Na podstawie Reguły 39 Regulaminu Trybunału, Trybunał może wskazać środki tymczasowe </w:t>
      </w:r>
      <w:hyperlink r:id="rId459" w:history="1">
        <w:r>
          <w:rPr>
            <w:lang w:val="pl"/>
          </w:rPr>
          <w:t>(</w:t>
        </w:r>
        <w:r>
          <w:rPr>
            <w:i/>
            <w:iCs/>
            <w:color w:val="0072BC"/>
            <w:lang w:val="pl"/>
          </w:rPr>
          <w:t>Mamatkulov i</w:t>
        </w:r>
      </w:hyperlink>
      <w:r>
        <w:rPr>
          <w:i/>
          <w:iCs/>
          <w:color w:val="0072BC"/>
          <w:lang w:val="pl"/>
        </w:rPr>
        <w:t xml:space="preserve"> </w:t>
      </w:r>
      <w:hyperlink r:id="rId460" w:history="1">
        <w:r>
          <w:rPr>
            <w:i/>
            <w:iCs/>
            <w:color w:val="0072BC"/>
            <w:lang w:val="pl"/>
          </w:rPr>
          <w:t>Askarov p. Turcji</w:t>
        </w:r>
        <w:r>
          <w:rPr>
            <w:color w:val="0072BC"/>
            <w:lang w:val="pl"/>
          </w:rPr>
          <w:t xml:space="preserve"> </w:t>
        </w:r>
      </w:hyperlink>
      <w:r>
        <w:rPr>
          <w:lang w:val="pl"/>
        </w:rPr>
        <w:t>[WI], §§ 99-129). Naruszenie art. 34 nastąpi wówczas, gdy władze układającego się państwa zaniechają podjęcia wszystkich działań, ja</w:t>
      </w:r>
      <w:r w:rsidR="00D81DFA">
        <w:rPr>
          <w:lang w:val="pl"/>
        </w:rPr>
        <w:t>kie mogłyby rozsądnie wykonać w </w:t>
      </w:r>
      <w:r>
        <w:rPr>
          <w:lang w:val="pl"/>
        </w:rPr>
        <w:t xml:space="preserve">celu realizacji środka wskazanego przez Trybunał </w:t>
      </w:r>
      <w:hyperlink r:id="rId461" w:history="1">
        <w:r>
          <w:rPr>
            <w:lang w:val="pl"/>
          </w:rPr>
          <w:t>(</w:t>
        </w:r>
        <w:r>
          <w:rPr>
            <w:i/>
            <w:iCs/>
            <w:color w:val="0072BC"/>
            <w:lang w:val="pl"/>
          </w:rPr>
          <w:t xml:space="preserve">Paladi p. Mołdawii </w:t>
        </w:r>
      </w:hyperlink>
      <w:r>
        <w:rPr>
          <w:lang w:val="pl"/>
        </w:rPr>
        <w:t>[WI], §§ 87-92).</w:t>
      </w:r>
    </w:p>
    <w:p w:rsidR="00B71A20" w:rsidRPr="00D81DFA" w:rsidRDefault="000425B4" w:rsidP="00115011">
      <w:pPr>
        <w:pStyle w:val="Teksttreci0"/>
        <w:numPr>
          <w:ilvl w:val="0"/>
          <w:numId w:val="16"/>
        </w:numPr>
        <w:tabs>
          <w:tab w:val="left" w:pos="399"/>
        </w:tabs>
        <w:jc w:val="both"/>
        <w:rPr>
          <w:lang w:val="pl-PL"/>
        </w:rPr>
      </w:pPr>
      <w:r>
        <w:rPr>
          <w:lang w:val="pl"/>
        </w:rPr>
        <w:t>Rząd ma obowiązek wykazać Trybunałowi, że postąpił zgodnie</w:t>
      </w:r>
      <w:r w:rsidR="00D81DFA">
        <w:rPr>
          <w:lang w:val="pl"/>
        </w:rPr>
        <w:t xml:space="preserve"> ze środkiem tymczasowym lub, w </w:t>
      </w:r>
      <w:r>
        <w:rPr>
          <w:lang w:val="pl"/>
        </w:rPr>
        <w:t>wyjątkowym przypadku, że zaistniała obiektywna przeszkoda uniemożliwiająca zachowanie takiej zgodności, a rząd podjął wszelkie zasadne działania, aby usunąć tę przeszkodę i informować Trybunał o sytuacji (patrz np.</w:t>
      </w:r>
      <w:hyperlink r:id="rId462" w:history="1">
        <w:r>
          <w:rPr>
            <w:lang w:val="pl"/>
          </w:rPr>
          <w:t xml:space="preserve"> </w:t>
        </w:r>
        <w:r>
          <w:rPr>
            <w:i/>
            <w:iCs/>
            <w:color w:val="0072BC"/>
            <w:lang w:val="pl"/>
          </w:rPr>
          <w:t xml:space="preserve">A.N.H. p. Finlandii </w:t>
        </w:r>
      </w:hyperlink>
      <w:r>
        <w:rPr>
          <w:lang w:val="pl"/>
        </w:rPr>
        <w:t>(dec.), § 27).</w:t>
      </w:r>
    </w:p>
    <w:p w:rsidR="00B71A20" w:rsidRDefault="000425B4" w:rsidP="00115011">
      <w:pPr>
        <w:pStyle w:val="Teksttreci0"/>
        <w:numPr>
          <w:ilvl w:val="0"/>
          <w:numId w:val="16"/>
        </w:numPr>
        <w:tabs>
          <w:tab w:val="left" w:pos="394"/>
        </w:tabs>
        <w:jc w:val="both"/>
      </w:pPr>
      <w:r>
        <w:rPr>
          <w:lang w:val="pl"/>
        </w:rPr>
        <w:t>Przykłady:</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niezapewnienie na czas spotkania pomiędzy osobą ubiegającą się o azyl a prawnikiem pomimo środka pośredniego wskazanego na podstawie Reguły 39 w tym względzie:</w:t>
      </w:r>
      <w:hyperlink r:id="rId463" w:history="1">
        <w:r>
          <w:rPr>
            <w:lang w:val="pl"/>
          </w:rPr>
          <w:t xml:space="preserve"> </w:t>
        </w:r>
        <w:r w:rsidR="00D81DFA">
          <w:rPr>
            <w:i/>
            <w:iCs/>
            <w:color w:val="0072BC"/>
            <w:lang w:val="pl"/>
          </w:rPr>
          <w:t>D.B. p. </w:t>
        </w:r>
        <w:r>
          <w:rPr>
            <w:i/>
            <w:iCs/>
            <w:color w:val="0072BC"/>
            <w:lang w:val="pl"/>
          </w:rPr>
          <w:t>Turcji</w:t>
        </w:r>
        <w:r>
          <w:rPr>
            <w:lang w:val="pl"/>
          </w:rPr>
          <w:t>,</w:t>
        </w:r>
      </w:hyperlink>
      <w:r>
        <w:rPr>
          <w:lang w:val="pl"/>
        </w:rPr>
        <w:t xml:space="preserve"> § 67;</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transfer osób przetrzymywanych (więźniów) do władz irackich z naruszeniem środka tymczasowego:</w:t>
      </w:r>
      <w:hyperlink r:id="rId464" w:history="1">
        <w:r>
          <w:rPr>
            <w:lang w:val="pl"/>
          </w:rPr>
          <w:t xml:space="preserve"> </w:t>
        </w:r>
        <w:r>
          <w:rPr>
            <w:i/>
            <w:iCs/>
            <w:color w:val="0072BC"/>
            <w:lang w:val="pl"/>
          </w:rPr>
          <w:t>Al-Saadoon</w:t>
        </w:r>
      </w:hyperlink>
      <w:r>
        <w:rPr>
          <w:i/>
          <w:iCs/>
          <w:color w:val="0072BC"/>
          <w:lang w:val="pl"/>
        </w:rPr>
        <w:t xml:space="preserve"> </w:t>
      </w:r>
      <w:hyperlink r:id="rId465" w:history="1">
        <w:r>
          <w:rPr>
            <w:i/>
            <w:iCs/>
            <w:color w:val="0072BC"/>
            <w:lang w:val="pl"/>
          </w:rPr>
          <w:t>i Mufdhi p. Wielkiej Brytanii</w:t>
        </w:r>
        <w:r>
          <w:rPr>
            <w:lang w:val="pl"/>
          </w:rPr>
          <w:t>,</w:t>
        </w:r>
      </w:hyperlink>
      <w:r>
        <w:rPr>
          <w:lang w:val="pl"/>
        </w:rPr>
        <w:t xml:space="preserve"> §§ 162-165;</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wydalenie pierwszego skarżącego z naruszeniem środka tymczasowego:</w:t>
      </w:r>
      <w:hyperlink r:id="rId466" w:history="1">
        <w:r>
          <w:rPr>
            <w:lang w:val="pl"/>
          </w:rPr>
          <w:t xml:space="preserve"> </w:t>
        </w:r>
        <w:r>
          <w:rPr>
            <w:i/>
            <w:iCs/>
            <w:color w:val="0072BC"/>
            <w:lang w:val="pl"/>
          </w:rPr>
          <w:t>Kamaliyevy p. Rosji</w:t>
        </w:r>
        <w:r>
          <w:rPr>
            <w:lang w:val="pl"/>
          </w:rPr>
          <w:t>,</w:t>
        </w:r>
      </w:hyperlink>
      <w:r>
        <w:rPr>
          <w:lang w:val="pl"/>
        </w:rPr>
        <w:t xml:space="preserve"> §§ 75-79;</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lastRenderedPageBreak/>
        <w:t>nieumyślne, ale możliwe do naprawienia zaniechanie podjęcia działania zgodnego ze środkiem tymczasowym wskazanym w związku z art. 8:</w:t>
      </w:r>
      <w:hyperlink r:id="rId467" w:history="1">
        <w:r>
          <w:rPr>
            <w:lang w:val="pl"/>
          </w:rPr>
          <w:t xml:space="preserve"> </w:t>
        </w:r>
        <w:r>
          <w:rPr>
            <w:i/>
            <w:iCs/>
            <w:color w:val="0072BC"/>
            <w:lang w:val="pl"/>
          </w:rPr>
          <w:t>Hamidovic p. Włochom</w:t>
        </w:r>
        <w:r>
          <w:rPr>
            <w:color w:val="0072BC"/>
            <w:lang w:val="pl"/>
          </w:rPr>
          <w:t xml:space="preserve"> </w:t>
        </w:r>
      </w:hyperlink>
      <w:r>
        <w:rPr>
          <w:lang w:val="pl"/>
        </w:rPr>
        <w:t>(dec.);</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niewykonanie środka tymczasowego nakładającego o</w:t>
      </w:r>
      <w:r w:rsidR="00C632BF">
        <w:rPr>
          <w:lang w:val="pl"/>
        </w:rPr>
        <w:t>bowiązek umieszczenia więźnia w </w:t>
      </w:r>
      <w:r>
        <w:rPr>
          <w:lang w:val="pl"/>
        </w:rPr>
        <w:t>specjalistycznej placówce medycznej:</w:t>
      </w:r>
      <w:hyperlink r:id="rId468" w:history="1">
        <w:r>
          <w:rPr>
            <w:lang w:val="pl"/>
          </w:rPr>
          <w:t xml:space="preserve"> </w:t>
        </w:r>
        <w:r>
          <w:rPr>
            <w:i/>
            <w:iCs/>
            <w:color w:val="0072BC"/>
            <w:lang w:val="pl"/>
          </w:rPr>
          <w:t>Makharadze i Sikharulidze p. Gruzji</w:t>
        </w:r>
        <w:r>
          <w:rPr>
            <w:lang w:val="pl"/>
          </w:rPr>
          <w:t>,</w:t>
        </w:r>
      </w:hyperlink>
      <w:r>
        <w:rPr>
          <w:lang w:val="pl"/>
        </w:rPr>
        <w:t xml:space="preserve"> §§ 100-105, lub nieuzasadniona zwłoka w zastosowaniu takiego środka:</w:t>
      </w:r>
      <w:hyperlink r:id="rId469" w:history="1">
        <w:r>
          <w:rPr>
            <w:lang w:val="pl"/>
          </w:rPr>
          <w:t xml:space="preserve"> </w:t>
        </w:r>
        <w:r>
          <w:rPr>
            <w:i/>
            <w:iCs/>
            <w:color w:val="0072BC"/>
            <w:lang w:val="pl"/>
          </w:rPr>
          <w:t>Sy p. Włochom</w:t>
        </w:r>
        <w:r>
          <w:rPr>
            <w:lang w:val="pl"/>
          </w:rPr>
          <w:t>,</w:t>
        </w:r>
      </w:hyperlink>
      <w:r>
        <w:rPr>
          <w:lang w:val="pl"/>
        </w:rPr>
        <w:t xml:space="preserve"> §§ 167-174;</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niewykonanie środka tymczasowego wskazanego przez Trybunał ze względu na realne ryzyko tortur w razie ekstradycji:</w:t>
      </w:r>
      <w:hyperlink r:id="rId470" w:history="1">
        <w:r>
          <w:rPr>
            <w:lang w:val="pl"/>
          </w:rPr>
          <w:t xml:space="preserve"> </w:t>
        </w:r>
        <w:r>
          <w:rPr>
            <w:i/>
            <w:iCs/>
            <w:color w:val="0072BC"/>
            <w:lang w:val="pl"/>
          </w:rPr>
          <w:t>Mannai p. Włochom</w:t>
        </w:r>
        <w:r>
          <w:rPr>
            <w:lang w:val="pl"/>
          </w:rPr>
          <w:t>,</w:t>
        </w:r>
      </w:hyperlink>
      <w:r>
        <w:rPr>
          <w:lang w:val="pl"/>
        </w:rPr>
        <w:t xml:space="preserve"> §§ 54-57;</w:t>
      </w:r>
      <w:hyperlink r:id="rId471" w:history="1">
        <w:r>
          <w:rPr>
            <w:lang w:val="pl"/>
          </w:rPr>
          <w:t xml:space="preserve"> </w:t>
        </w:r>
        <w:r>
          <w:rPr>
            <w:i/>
            <w:iCs/>
            <w:color w:val="0072BC"/>
            <w:lang w:val="pl"/>
          </w:rPr>
          <w:t>Labsi p. Słowacji</w:t>
        </w:r>
        <w:r>
          <w:rPr>
            <w:lang w:val="pl"/>
          </w:rPr>
          <w:t>,</w:t>
        </w:r>
      </w:hyperlink>
      <w:r>
        <w:rPr>
          <w:lang w:val="pl"/>
        </w:rPr>
        <w:t xml:space="preserve"> §§ 149-151;</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potajemny transfer osoby narażonej na ryzyko złego traktowania w Uzbekistanie i w stosunku do której obowiązywał środek tymczasowy:</w:t>
      </w:r>
      <w:hyperlink r:id="rId472" w:history="1">
        <w:r>
          <w:rPr>
            <w:lang w:val="pl"/>
          </w:rPr>
          <w:t xml:space="preserve"> </w:t>
        </w:r>
        <w:r>
          <w:rPr>
            <w:i/>
            <w:iCs/>
            <w:color w:val="0072BC"/>
            <w:lang w:val="pl"/>
          </w:rPr>
          <w:t>Abdulkhakov p. Rosji</w:t>
        </w:r>
        <w:r>
          <w:rPr>
            <w:lang w:val="pl"/>
          </w:rPr>
          <w:t>,</w:t>
        </w:r>
      </w:hyperlink>
      <w:r>
        <w:rPr>
          <w:lang w:val="pl"/>
        </w:rPr>
        <w:t xml:space="preserve"> §§ 226-231;</w:t>
      </w:r>
    </w:p>
    <w:p w:rsidR="00B71A20" w:rsidRPr="000625F6" w:rsidRDefault="000425B4" w:rsidP="00115011">
      <w:pPr>
        <w:pStyle w:val="Teksttreci0"/>
        <w:numPr>
          <w:ilvl w:val="0"/>
          <w:numId w:val="17"/>
        </w:numPr>
        <w:tabs>
          <w:tab w:val="left" w:pos="869"/>
        </w:tabs>
        <w:spacing w:after="40"/>
        <w:ind w:left="880" w:hanging="280"/>
        <w:jc w:val="both"/>
        <w:rPr>
          <w:lang w:val="pl-PL"/>
        </w:rPr>
      </w:pPr>
      <w:r>
        <w:rPr>
          <w:lang w:val="pl"/>
        </w:rPr>
        <w:t>przymusowy transfer osoby do Tadżykistanu niosący re</w:t>
      </w:r>
      <w:r w:rsidR="00C632BF">
        <w:rPr>
          <w:lang w:val="pl"/>
        </w:rPr>
        <w:t>alne ryzyko złego traktowania i </w:t>
      </w:r>
      <w:r>
        <w:rPr>
          <w:lang w:val="pl"/>
        </w:rPr>
        <w:t>obejścia środków tymczasowych:</w:t>
      </w:r>
      <w:hyperlink r:id="rId473" w:history="1">
        <w:r>
          <w:rPr>
            <w:lang w:val="pl"/>
          </w:rPr>
          <w:t xml:space="preserve"> </w:t>
        </w:r>
        <w:r>
          <w:rPr>
            <w:i/>
            <w:iCs/>
            <w:color w:val="0072BC"/>
            <w:lang w:val="pl"/>
          </w:rPr>
          <w:t>Savriddin Dzhurayev p. Rosji</w:t>
        </w:r>
        <w:r>
          <w:rPr>
            <w:lang w:val="pl"/>
          </w:rPr>
          <w:t>,</w:t>
        </w:r>
      </w:hyperlink>
      <w:r>
        <w:rPr>
          <w:lang w:val="pl"/>
        </w:rPr>
        <w:t xml:space="preserve"> §§ 218-219; patrz również brak zapewnienia ochrony przez władze rosyjskie obywatelowi tadżyckiemu przebywającemu w ich areszcie przed przymusow</w:t>
      </w:r>
      <w:r w:rsidR="00C632BF">
        <w:rPr>
          <w:lang w:val="pl"/>
        </w:rPr>
        <w:t>ą ekstradycją do Tadżykistanu z </w:t>
      </w:r>
      <w:r>
        <w:rPr>
          <w:lang w:val="pl"/>
        </w:rPr>
        <w:t>naruszeniem środka tymczasowego:</w:t>
      </w:r>
      <w:hyperlink r:id="rId474" w:history="1">
        <w:r>
          <w:rPr>
            <w:lang w:val="pl"/>
          </w:rPr>
          <w:t xml:space="preserve"> </w:t>
        </w:r>
        <w:r>
          <w:rPr>
            <w:i/>
            <w:iCs/>
            <w:color w:val="0072BC"/>
            <w:lang w:val="pl"/>
          </w:rPr>
          <w:t>Nizomkhon Dzhurayev p. Rosji</w:t>
        </w:r>
        <w:r>
          <w:rPr>
            <w:lang w:val="pl"/>
          </w:rPr>
          <w:t>,</w:t>
        </w:r>
      </w:hyperlink>
      <w:r>
        <w:rPr>
          <w:lang w:val="pl"/>
        </w:rPr>
        <w:t xml:space="preserve"> §§ 157-159.</w:t>
      </w:r>
    </w:p>
    <w:p w:rsidR="00B71A20" w:rsidRPr="000625F6" w:rsidRDefault="000425B4" w:rsidP="00115011">
      <w:pPr>
        <w:pStyle w:val="Teksttreci0"/>
        <w:numPr>
          <w:ilvl w:val="0"/>
          <w:numId w:val="17"/>
        </w:numPr>
        <w:tabs>
          <w:tab w:val="left" w:pos="869"/>
        </w:tabs>
        <w:ind w:left="880" w:hanging="280"/>
        <w:jc w:val="both"/>
        <w:rPr>
          <w:lang w:val="pl-PL"/>
        </w:rPr>
      </w:pPr>
      <w:r>
        <w:rPr>
          <w:lang w:val="pl"/>
        </w:rPr>
        <w:t>przygotowanie wydalenia w taki sposób, aby celowo wykreować sytuację, w której skarżącemu bardzo trudno byłoby złożyć do Trybunału wniosek o środek tymczasowy:</w:t>
      </w:r>
      <w:hyperlink r:id="rId475" w:history="1">
        <w:r>
          <w:rPr>
            <w:i/>
            <w:iCs/>
            <w:lang w:val="pl"/>
          </w:rPr>
          <w:t xml:space="preserve"> </w:t>
        </w:r>
        <w:r>
          <w:rPr>
            <w:i/>
            <w:iCs/>
            <w:color w:val="0072BC"/>
            <w:lang w:val="pl"/>
          </w:rPr>
          <w:t>M.A. p. Francji</w:t>
        </w:r>
        <w:r>
          <w:rPr>
            <w:lang w:val="pl"/>
          </w:rPr>
          <w:t>,</w:t>
        </w:r>
      </w:hyperlink>
      <w:r>
        <w:rPr>
          <w:lang w:val="pl"/>
        </w:rPr>
        <w:t xml:space="preserve"> § 70.</w:t>
      </w:r>
    </w:p>
    <w:p w:rsidR="00B71A20" w:rsidRPr="000625F6" w:rsidRDefault="000425B4" w:rsidP="00115011">
      <w:pPr>
        <w:pStyle w:val="Teksttreci0"/>
        <w:numPr>
          <w:ilvl w:val="0"/>
          <w:numId w:val="16"/>
        </w:numPr>
        <w:tabs>
          <w:tab w:val="left" w:pos="404"/>
        </w:tabs>
        <w:jc w:val="both"/>
        <w:rPr>
          <w:lang w:val="pl-PL"/>
        </w:rPr>
      </w:pPr>
      <w:r>
        <w:rPr>
          <w:lang w:val="pl"/>
        </w:rPr>
        <w:t xml:space="preserve">Do Trybunału należy kontrola zgodności ze środkiem tymczasowym, a państwo, które uważa, że na podstawie posiadanych materiałów jest zdolne przekonać Trybunał do anulowania środka tymczasowego, powinno go o tym poinformować </w:t>
      </w:r>
      <w:hyperlink r:id="rId476" w:history="1">
        <w:r>
          <w:rPr>
            <w:lang w:val="pl"/>
          </w:rPr>
          <w:t>(</w:t>
        </w:r>
        <w:r>
          <w:rPr>
            <w:i/>
            <w:iCs/>
            <w:color w:val="0072BC"/>
            <w:lang w:val="pl"/>
          </w:rPr>
          <w:t xml:space="preserve">Paladi p. Mołdawii </w:t>
        </w:r>
      </w:hyperlink>
      <w:r>
        <w:rPr>
          <w:lang w:val="pl"/>
        </w:rPr>
        <w:t>[WI], §§ 90-92;</w:t>
      </w:r>
      <w:hyperlink r:id="rId477" w:history="1">
        <w:r>
          <w:rPr>
            <w:lang w:val="pl"/>
          </w:rPr>
          <w:t xml:space="preserve"> </w:t>
        </w:r>
        <w:r>
          <w:rPr>
            <w:i/>
            <w:iCs/>
            <w:color w:val="0072BC"/>
            <w:lang w:val="pl"/>
          </w:rPr>
          <w:t>Olaechea Cahuas p. Hiszpanii</w:t>
        </w:r>
        <w:r>
          <w:rPr>
            <w:lang w:val="pl"/>
          </w:rPr>
          <w:t>,</w:t>
        </w:r>
      </w:hyperlink>
      <w:r>
        <w:rPr>
          <w:lang w:val="pl"/>
        </w:rPr>
        <w:t xml:space="preserve"> § 70;</w:t>
      </w:r>
      <w:hyperlink r:id="rId478" w:history="1">
        <w:r>
          <w:rPr>
            <w:lang w:val="pl"/>
          </w:rPr>
          <w:t xml:space="preserve"> </w:t>
        </w:r>
        <w:r>
          <w:rPr>
            <w:i/>
            <w:iCs/>
            <w:color w:val="0072BC"/>
            <w:lang w:val="pl"/>
          </w:rPr>
          <w:t>Grori p. Albanii</w:t>
        </w:r>
        <w:r>
          <w:rPr>
            <w:lang w:val="pl"/>
          </w:rPr>
          <w:t>,</w:t>
        </w:r>
      </w:hyperlink>
      <w:r>
        <w:rPr>
          <w:lang w:val="pl"/>
        </w:rPr>
        <w:t xml:space="preserve"> §§ 181 i nast.).</w:t>
      </w:r>
    </w:p>
    <w:p w:rsidR="00B71A20" w:rsidRPr="000625F6" w:rsidRDefault="000425B4">
      <w:pPr>
        <w:pStyle w:val="Teksttreci0"/>
        <w:jc w:val="both"/>
        <w:rPr>
          <w:lang w:val="pl-PL"/>
        </w:rPr>
      </w:pPr>
      <w:r>
        <w:rPr>
          <w:lang w:val="pl"/>
        </w:rPr>
        <w:t xml:space="preserve">Sam fakt wnioskowania o zastosowanie Reguły 39 nie stanowi wystarczającej podstawy, by zobowiązać państwo do zawieszenia wykonania decyzji o ekstradycji </w:t>
      </w:r>
      <w:hyperlink r:id="rId479" w:history="1">
        <w:r>
          <w:rPr>
            <w:lang w:val="pl"/>
          </w:rPr>
          <w:t>(</w:t>
        </w:r>
        <w:r>
          <w:rPr>
            <w:i/>
            <w:iCs/>
            <w:color w:val="0072BC"/>
            <w:lang w:val="pl"/>
          </w:rPr>
          <w:t>Al-Moayad p. Niemcom</w:t>
        </w:r>
        <w:r>
          <w:rPr>
            <w:color w:val="0072BC"/>
            <w:lang w:val="pl"/>
          </w:rPr>
          <w:t xml:space="preserve"> </w:t>
        </w:r>
      </w:hyperlink>
      <w:r w:rsidR="00C632BF">
        <w:rPr>
          <w:lang w:val="pl"/>
        </w:rPr>
        <w:t>(dec.), §§ 122 i </w:t>
      </w:r>
      <w:r>
        <w:rPr>
          <w:lang w:val="pl"/>
        </w:rPr>
        <w:t>następne; patrz również obowiązek pozwanego państwa do współpracy z Trybunałem w dobrej wierze).</w:t>
      </w:r>
    </w:p>
    <w:p w:rsidR="00B71A20" w:rsidRPr="000625F6" w:rsidRDefault="000425B4">
      <w:pPr>
        <w:pStyle w:val="Teksttreci0"/>
        <w:spacing w:after="80"/>
        <w:jc w:val="both"/>
        <w:rPr>
          <w:lang w:val="pl-PL"/>
        </w:rPr>
      </w:pPr>
      <w:r>
        <w:rPr>
          <w:lang w:val="pl"/>
        </w:rPr>
        <w:t xml:space="preserve">O ile w przypadku skarg wnoszonych na podstawie art. 34 nie ma wymogu wyczerpania drogi krajowej i wyłącznie do Trybunału należy kontrola zgodności ze środkiem tymczasowym, Trybunał może uznać, że skarga na podstawie art. 34 została wniesiona przedwcześnie, jeśli jest ona blisko powiązana ze skargą na uchybienie przez państwo obowiązkowi ochrony prawa do życia, a ta skarga jest wciąż zawisła przed sądem krajowym </w:t>
      </w:r>
      <w:hyperlink r:id="rId480" w:history="1">
        <w:r>
          <w:rPr>
            <w:lang w:val="pl"/>
          </w:rPr>
          <w:t>(</w:t>
        </w:r>
        <w:r>
          <w:rPr>
            <w:i/>
            <w:iCs/>
            <w:color w:val="0072BC"/>
            <w:lang w:val="pl"/>
          </w:rPr>
          <w:t>Ahmet</w:t>
        </w:r>
      </w:hyperlink>
      <w:r>
        <w:rPr>
          <w:i/>
          <w:iCs/>
          <w:color w:val="0072BC"/>
          <w:lang w:val="pl"/>
        </w:rPr>
        <w:t xml:space="preserve"> </w:t>
      </w:r>
      <w:hyperlink r:id="rId481" w:history="1">
        <w:r>
          <w:rPr>
            <w:i/>
            <w:iCs/>
            <w:color w:val="0072BC"/>
            <w:lang w:val="pl"/>
          </w:rPr>
          <w:t xml:space="preserve">Tunç i Inni p. Turcji </w:t>
        </w:r>
      </w:hyperlink>
      <w:r>
        <w:rPr>
          <w:lang w:val="pl"/>
        </w:rPr>
        <w:t>(dec.), §§ 141</w:t>
      </w:r>
      <w:r>
        <w:rPr>
          <w:lang w:val="pl"/>
        </w:rPr>
        <w:noBreakHyphen/>
        <w:t>145.</w:t>
      </w:r>
    </w:p>
    <w:p w:rsidR="00B71A20" w:rsidRDefault="0099116D" w:rsidP="0099116D">
      <w:pPr>
        <w:pStyle w:val="Nagwek41"/>
        <w:keepNext/>
        <w:keepLines/>
        <w:tabs>
          <w:tab w:val="left" w:pos="359"/>
        </w:tabs>
        <w:spacing w:before="240"/>
        <w:jc w:val="both"/>
      </w:pPr>
      <w:bookmarkStart w:id="62" w:name="bookmark61"/>
      <w:bookmarkStart w:id="63" w:name="_Toc126335619"/>
      <w:bookmarkStart w:id="64" w:name="_Toc126660573"/>
      <w:r>
        <w:rPr>
          <w:lang w:val="pl"/>
        </w:rPr>
        <w:t xml:space="preserve">b.  </w:t>
      </w:r>
      <w:r w:rsidR="000425B4">
        <w:rPr>
          <w:lang w:val="pl"/>
        </w:rPr>
        <w:t>Ustalenie faktów</w:t>
      </w:r>
      <w:bookmarkEnd w:id="62"/>
      <w:bookmarkEnd w:id="63"/>
      <w:bookmarkEnd w:id="64"/>
    </w:p>
    <w:p w:rsidR="00B71A20" w:rsidRPr="000625F6" w:rsidRDefault="000425B4" w:rsidP="00115011">
      <w:pPr>
        <w:pStyle w:val="Teksttreci0"/>
        <w:numPr>
          <w:ilvl w:val="0"/>
          <w:numId w:val="18"/>
        </w:numPr>
        <w:tabs>
          <w:tab w:val="left" w:pos="394"/>
        </w:tabs>
        <w:jc w:val="both"/>
        <w:rPr>
          <w:lang w:val="pl-PL"/>
        </w:rPr>
      </w:pPr>
      <w:r>
        <w:rPr>
          <w:lang w:val="pl"/>
        </w:rPr>
        <w:t xml:space="preserve">Trybunał ma obowiązek ustalić fakty, a strony powinny udzielić mu aktywnej pomocy, dostarczając mu wszystkich istotnych informacji. Ich zachowanie może być wzięte pod uwagę przy gromadzeniu dowodów </w:t>
      </w:r>
      <w:hyperlink r:id="rId482" w:history="1">
        <w:r>
          <w:rPr>
            <w:lang w:val="pl"/>
          </w:rPr>
          <w:t>(</w:t>
        </w:r>
        <w:r>
          <w:rPr>
            <w:i/>
            <w:iCs/>
            <w:color w:val="0072BC"/>
            <w:lang w:val="pl"/>
          </w:rPr>
          <w:t>Irlandia p. Wielkiej Brytanii</w:t>
        </w:r>
        <w:r>
          <w:rPr>
            <w:lang w:val="pl"/>
          </w:rPr>
          <w:t>,</w:t>
        </w:r>
      </w:hyperlink>
      <w:r>
        <w:rPr>
          <w:lang w:val="pl"/>
        </w:rPr>
        <w:t xml:space="preserve"> § 161).</w:t>
      </w:r>
    </w:p>
    <w:p w:rsidR="00B71A20" w:rsidRPr="000625F6" w:rsidRDefault="000425B4" w:rsidP="00115011">
      <w:pPr>
        <w:pStyle w:val="Teksttreci0"/>
        <w:numPr>
          <w:ilvl w:val="0"/>
          <w:numId w:val="18"/>
        </w:numPr>
        <w:tabs>
          <w:tab w:val="left" w:pos="399"/>
        </w:tabs>
        <w:jc w:val="both"/>
        <w:rPr>
          <w:lang w:val="pl-PL"/>
        </w:rPr>
      </w:pPr>
      <w:r>
        <w:rPr>
          <w:lang w:val="pl"/>
        </w:rPr>
        <w:t xml:space="preserve">Trybunał orzekł, że w postępowaniach dotyczących określonych rodzajów skarg nie zawsze można ściśle stosować zasadę, w myśl której osoba podnosząca zarzut musi go udowodnić, oraz że udzielanie przez państwa wszelkich niezbędnych ułatwień dla właściwego i skutecznego zbadania skarg ma kapitalne znaczenie dla skuteczności systemu skargi indywidualnej określonej w art. 34 Konwencji </w:t>
      </w:r>
      <w:hyperlink r:id="rId483" w:history="1">
        <w:r>
          <w:rPr>
            <w:lang w:val="pl"/>
          </w:rPr>
          <w:t>(</w:t>
        </w:r>
        <w:r>
          <w:rPr>
            <w:i/>
            <w:iCs/>
            <w:color w:val="0072BC"/>
            <w:lang w:val="pl"/>
          </w:rPr>
          <w:t>Bazorkina p. Rosji</w:t>
        </w:r>
        <w:r>
          <w:rPr>
            <w:lang w:val="pl"/>
          </w:rPr>
          <w:t>,</w:t>
        </w:r>
      </w:hyperlink>
      <w:r>
        <w:rPr>
          <w:lang w:val="pl"/>
        </w:rPr>
        <w:t xml:space="preserve"> § 170;</w:t>
      </w:r>
      <w:hyperlink r:id="rId484" w:history="1">
        <w:r>
          <w:rPr>
            <w:lang w:val="pl"/>
          </w:rPr>
          <w:t xml:space="preserve"> </w:t>
        </w:r>
        <w:r>
          <w:rPr>
            <w:i/>
            <w:iCs/>
            <w:color w:val="0072BC"/>
            <w:lang w:val="pl"/>
          </w:rPr>
          <w:t xml:space="preserve">Tahsin Acar p. Turcji </w:t>
        </w:r>
      </w:hyperlink>
      <w:r>
        <w:rPr>
          <w:lang w:val="pl"/>
        </w:rPr>
        <w:t>[WI], § 253). Wymóg ten nakłada na układające się państwa obowiązek udzielenia Trybunałowi wszelkich niezbędnych ułatwień, zarówno na etapie ustalania faktów przez Trybunał, jak i wykonywania przez niego ogólnych obowiązków dotyczących badania skarg. Niedopełnienie przez rząd obowiązku dostarczenia informacji będącej w jego posiadaniu bez podania zadowalającej przyczyny może nie tylko stanowić podstawę do wyciągnięcia wniosków odnośnie do dobrego uzasadnienia zarzutów podnoszonych przez skarżącego, ale także wpłynąć negatywnie na ocenę, w jakim stopniu pozwane państwo przestrzeg</w:t>
      </w:r>
      <w:r w:rsidR="00C632BF">
        <w:rPr>
          <w:lang w:val="pl"/>
        </w:rPr>
        <w:t>a obowiązków określonych w art. </w:t>
      </w:r>
      <w:r>
        <w:rPr>
          <w:lang w:val="pl"/>
        </w:rPr>
        <w:t xml:space="preserve">38 Konwencji </w:t>
      </w:r>
      <w:hyperlink r:id="rId485" w:history="1">
        <w:r>
          <w:rPr>
            <w:lang w:val="pl"/>
          </w:rPr>
          <w:t>(</w:t>
        </w:r>
        <w:r>
          <w:rPr>
            <w:i/>
            <w:iCs/>
            <w:color w:val="0072BC"/>
            <w:lang w:val="pl"/>
          </w:rPr>
          <w:t>ibid.</w:t>
        </w:r>
        <w:r>
          <w:rPr>
            <w:lang w:val="pl"/>
          </w:rPr>
          <w:t>,</w:t>
        </w:r>
      </w:hyperlink>
      <w:r>
        <w:rPr>
          <w:lang w:val="pl"/>
        </w:rPr>
        <w:t xml:space="preserve"> § 254; </w:t>
      </w:r>
      <w:hyperlink r:id="rId486" w:history="1">
        <w:r>
          <w:rPr>
            <w:i/>
            <w:iCs/>
            <w:color w:val="0072BC"/>
            <w:lang w:val="pl"/>
          </w:rPr>
          <w:t>Imakayeva p. Rosji</w:t>
        </w:r>
        <w:r>
          <w:rPr>
            <w:lang w:val="pl"/>
          </w:rPr>
          <w:t>,</w:t>
        </w:r>
      </w:hyperlink>
      <w:r>
        <w:rPr>
          <w:lang w:val="pl"/>
        </w:rPr>
        <w:t xml:space="preserve"> § 200;</w:t>
      </w:r>
      <w:hyperlink r:id="rId487" w:history="1">
        <w:r>
          <w:rPr>
            <w:i/>
            <w:iCs/>
            <w:lang w:val="pl"/>
          </w:rPr>
          <w:t xml:space="preserve"> </w:t>
        </w:r>
        <w:r>
          <w:rPr>
            <w:i/>
            <w:iCs/>
            <w:color w:val="0072BC"/>
            <w:lang w:val="pl"/>
          </w:rPr>
          <w:t xml:space="preserve">Janowiec i Inni p. Rosji </w:t>
        </w:r>
      </w:hyperlink>
      <w:r>
        <w:rPr>
          <w:lang w:val="pl"/>
        </w:rPr>
        <w:t>[WI], § 202).</w:t>
      </w:r>
    </w:p>
    <w:p w:rsidR="00B71A20" w:rsidRDefault="000425B4" w:rsidP="00115011">
      <w:pPr>
        <w:pStyle w:val="Teksttreci0"/>
        <w:numPr>
          <w:ilvl w:val="0"/>
          <w:numId w:val="18"/>
        </w:numPr>
        <w:tabs>
          <w:tab w:val="left" w:pos="399"/>
        </w:tabs>
        <w:jc w:val="both"/>
      </w:pPr>
      <w:r>
        <w:rPr>
          <w:lang w:val="pl"/>
        </w:rPr>
        <w:t xml:space="preserve">Obowiązek przedkładania dowodów żądanych przez Trybunał wiąże pozwany rząd od momentu, w którym takie żądanie zostało sformułowane, niezależnie czy miało to miejsce w momencie </w:t>
      </w:r>
      <w:r>
        <w:rPr>
          <w:lang w:val="pl"/>
        </w:rPr>
        <w:lastRenderedPageBreak/>
        <w:t xml:space="preserve">zakomunikowania sprawy rządowi, czy na dalszym etapie postępowania </w:t>
      </w:r>
      <w:hyperlink r:id="rId488" w:history="1">
        <w:r>
          <w:rPr>
            <w:lang w:val="pl"/>
          </w:rPr>
          <w:t>(</w:t>
        </w:r>
        <w:r>
          <w:rPr>
            <w:i/>
            <w:iCs/>
            <w:color w:val="0072BC"/>
            <w:lang w:val="pl"/>
          </w:rPr>
          <w:t>ibid</w:t>
        </w:r>
        <w:r>
          <w:rPr>
            <w:color w:val="0072BC"/>
            <w:lang w:val="pl"/>
          </w:rPr>
          <w:t>.</w:t>
        </w:r>
        <w:r>
          <w:rPr>
            <w:lang w:val="pl"/>
          </w:rPr>
          <w:t>,</w:t>
        </w:r>
      </w:hyperlink>
      <w:r>
        <w:rPr>
          <w:lang w:val="pl"/>
        </w:rPr>
        <w:t xml:space="preserve"> § 203;</w:t>
      </w:r>
      <w:hyperlink r:id="rId489" w:history="1">
        <w:r>
          <w:rPr>
            <w:lang w:val="pl"/>
          </w:rPr>
          <w:t xml:space="preserve"> </w:t>
        </w:r>
        <w:r w:rsidR="00C632BF">
          <w:rPr>
            <w:i/>
            <w:iCs/>
            <w:color w:val="0072BC"/>
            <w:lang w:val="pl"/>
          </w:rPr>
          <w:t>Enukidze i </w:t>
        </w:r>
        <w:r>
          <w:rPr>
            <w:i/>
            <w:iCs/>
            <w:color w:val="0072BC"/>
            <w:lang w:val="pl"/>
          </w:rPr>
          <w:t>Girgvliani p. Gruzji</w:t>
        </w:r>
        <w:r>
          <w:rPr>
            <w:lang w:val="pl"/>
          </w:rPr>
          <w:t>,</w:t>
        </w:r>
      </w:hyperlink>
      <w:r>
        <w:rPr>
          <w:lang w:val="pl"/>
        </w:rPr>
        <w:t xml:space="preserve"> § 295;</w:t>
      </w:r>
      <w:hyperlink r:id="rId490" w:history="1">
        <w:r>
          <w:rPr>
            <w:lang w:val="pl"/>
          </w:rPr>
          <w:t xml:space="preserve"> </w:t>
        </w:r>
        <w:r>
          <w:rPr>
            <w:i/>
            <w:iCs/>
            <w:color w:val="0072BC"/>
            <w:lang w:val="pl"/>
          </w:rPr>
          <w:t>Bekirski p. Bułgarii</w:t>
        </w:r>
        <w:r>
          <w:rPr>
            <w:lang w:val="pl"/>
          </w:rPr>
          <w:t>,</w:t>
        </w:r>
      </w:hyperlink>
      <w:r>
        <w:rPr>
          <w:lang w:val="pl"/>
        </w:rPr>
        <w:t xml:space="preserve"> §§ 111-113). Podstawowym wymogiem jest to, by żądany materiał został złożony w całości, jeśli Trybunał tak zarządzi, a wszelkie braki muszą być należycie wyjaśnione </w:t>
      </w:r>
      <w:hyperlink r:id="rId491" w:history="1">
        <w:r>
          <w:rPr>
            <w:lang w:val="pl"/>
          </w:rPr>
          <w:t>(</w:t>
        </w:r>
        <w:r>
          <w:rPr>
            <w:i/>
            <w:iCs/>
            <w:color w:val="0072BC"/>
            <w:lang w:val="pl"/>
          </w:rPr>
          <w:t>Janowiec i Inni p. Rosji</w:t>
        </w:r>
      </w:hyperlink>
      <w:r>
        <w:rPr>
          <w:color w:val="0072BC"/>
          <w:lang w:val="pl"/>
        </w:rPr>
        <w:t xml:space="preserve"> </w:t>
      </w:r>
      <w:r>
        <w:rPr>
          <w:lang w:val="pl"/>
        </w:rPr>
        <w:t xml:space="preserve">[WI], § 203). Ponadto każdy żądany materiał powinien zostać przedłożony niezwłocznie, a w każdym wypadku w terminie wyznaczonym przez Trybunał. Znaczne i nieuzasadnione opóźnienie może sprawić, że Trybunał uzna wyjaśnienia pozwanego państwa za nieprzekonujące </w:t>
      </w:r>
      <w:hyperlink r:id="rId492" w:history="1">
        <w:r>
          <w:rPr>
            <w:lang w:val="pl"/>
          </w:rPr>
          <w:t>(</w:t>
        </w:r>
        <w:r>
          <w:rPr>
            <w:i/>
            <w:iCs/>
            <w:color w:val="0072BC"/>
            <w:lang w:val="pl"/>
          </w:rPr>
          <w:t>ibid.</w:t>
        </w:r>
        <w:r>
          <w:rPr>
            <w:lang w:val="pl"/>
          </w:rPr>
          <w:t>)</w:t>
        </w:r>
      </w:hyperlink>
      <w:r>
        <w:rPr>
          <w:lang w:val="pl"/>
        </w:rPr>
        <w:t>.</w:t>
      </w:r>
    </w:p>
    <w:p w:rsidR="00B71A20" w:rsidRPr="000625F6" w:rsidRDefault="000425B4" w:rsidP="00115011">
      <w:pPr>
        <w:pStyle w:val="Teksttreci0"/>
        <w:numPr>
          <w:ilvl w:val="0"/>
          <w:numId w:val="18"/>
        </w:numPr>
        <w:tabs>
          <w:tab w:val="left" w:pos="399"/>
        </w:tabs>
        <w:jc w:val="both"/>
        <w:rPr>
          <w:lang w:val="pl-PL"/>
        </w:rPr>
      </w:pPr>
      <w:r>
        <w:rPr>
          <w:lang w:val="pl"/>
        </w:rPr>
        <w:t>Trybunał skonstatował, że pozwane państwo nie dopełniło obowi</w:t>
      </w:r>
      <w:r w:rsidR="00C632BF">
        <w:rPr>
          <w:lang w:val="pl"/>
        </w:rPr>
        <w:t>ązków wynikających z art. 38, w </w:t>
      </w:r>
      <w:r>
        <w:rPr>
          <w:lang w:val="pl"/>
        </w:rPr>
        <w:t>odniesieniu do spraw, w których państwo to nie przedstawiło uzasadnienia niedostarczenia żądanych dokumentów (patrz, na przykład,</w:t>
      </w:r>
      <w:hyperlink r:id="rId493" w:history="1">
        <w:r>
          <w:rPr>
            <w:lang w:val="pl"/>
          </w:rPr>
          <w:t xml:space="preserve"> </w:t>
        </w:r>
        <w:r>
          <w:rPr>
            <w:i/>
            <w:iCs/>
            <w:color w:val="0072BC"/>
            <w:lang w:val="pl"/>
          </w:rPr>
          <w:t>Maslova i Nalbandov p. Rosji</w:t>
        </w:r>
        <w:r>
          <w:rPr>
            <w:lang w:val="pl"/>
          </w:rPr>
          <w:t>,</w:t>
        </w:r>
      </w:hyperlink>
      <w:r>
        <w:rPr>
          <w:lang w:val="pl"/>
        </w:rPr>
        <w:t xml:space="preserve"> §§ 128-129) lub dostarczyło niepełną lub zniekształconą kopię, jednocześnie odmawiając przedstawienia oryginalnego dokumentu Trybunałowi w celu jego zbadania (patrz, na przykład,</w:t>
      </w:r>
      <w:hyperlink r:id="rId494" w:history="1">
        <w:r>
          <w:rPr>
            <w:i/>
            <w:iCs/>
            <w:lang w:val="pl"/>
          </w:rPr>
          <w:t xml:space="preserve"> </w:t>
        </w:r>
        <w:r>
          <w:rPr>
            <w:i/>
            <w:iCs/>
            <w:color w:val="0072BC"/>
            <w:lang w:val="pl"/>
          </w:rPr>
          <w:t>Trubnikov p. Rosji</w:t>
        </w:r>
        <w:r>
          <w:rPr>
            <w:lang w:val="pl"/>
          </w:rPr>
          <w:t>,</w:t>
        </w:r>
      </w:hyperlink>
      <w:r>
        <w:rPr>
          <w:lang w:val="pl"/>
        </w:rPr>
        <w:t xml:space="preserve"> §§ 50-57).</w:t>
      </w:r>
    </w:p>
    <w:p w:rsidR="00B71A20" w:rsidRPr="000625F6" w:rsidRDefault="000425B4" w:rsidP="00115011">
      <w:pPr>
        <w:pStyle w:val="Teksttreci0"/>
        <w:numPr>
          <w:ilvl w:val="0"/>
          <w:numId w:val="18"/>
        </w:numPr>
        <w:tabs>
          <w:tab w:val="left" w:pos="399"/>
        </w:tabs>
        <w:jc w:val="both"/>
        <w:rPr>
          <w:lang w:val="pl-PL"/>
        </w:rPr>
      </w:pPr>
      <w:r>
        <w:rPr>
          <w:lang w:val="pl"/>
        </w:rPr>
        <w:t xml:space="preserve">Jeżeli rząd twierdzi, że nie dostarczył żądanych materiałów ze względów niejawności lub bezpieczeństwa, Trybunał musi się przekonać, że istnieją zasadne i solidne podstawy ku temu, by traktować rzeczone dokumenty jako tajne lub poufne </w:t>
      </w:r>
      <w:hyperlink r:id="rId495" w:history="1">
        <w:r>
          <w:rPr>
            <w:lang w:val="pl"/>
          </w:rPr>
          <w:t>(</w:t>
        </w:r>
        <w:r>
          <w:rPr>
            <w:i/>
            <w:iCs/>
            <w:color w:val="0072BC"/>
            <w:lang w:val="pl"/>
          </w:rPr>
          <w:t>Janowiec i</w:t>
        </w:r>
      </w:hyperlink>
      <w:r>
        <w:rPr>
          <w:i/>
          <w:iCs/>
          <w:color w:val="0072BC"/>
          <w:lang w:val="pl"/>
        </w:rPr>
        <w:t xml:space="preserve"> </w:t>
      </w:r>
      <w:hyperlink r:id="rId496" w:history="1">
        <w:r>
          <w:rPr>
            <w:i/>
            <w:iCs/>
            <w:color w:val="0072BC"/>
            <w:lang w:val="pl"/>
          </w:rPr>
          <w:t xml:space="preserve">Inni p. Rosji </w:t>
        </w:r>
      </w:hyperlink>
      <w:r>
        <w:rPr>
          <w:lang w:val="pl"/>
        </w:rPr>
        <w:t>[WI], § 205). Nieujawnienie niejawnego raportu Trybunałowi:</w:t>
      </w:r>
      <w:hyperlink r:id="rId497" w:history="1">
        <w:r>
          <w:rPr>
            <w:i/>
            <w:iCs/>
            <w:lang w:val="pl"/>
          </w:rPr>
          <w:t xml:space="preserve"> </w:t>
        </w:r>
        <w:r>
          <w:rPr>
            <w:i/>
            <w:iCs/>
            <w:color w:val="0072BC"/>
            <w:lang w:val="pl"/>
          </w:rPr>
          <w:t>ibid</w:t>
        </w:r>
        <w:r>
          <w:rPr>
            <w:color w:val="0072BC"/>
            <w:lang w:val="pl"/>
          </w:rPr>
          <w:t>.</w:t>
        </w:r>
        <w:r>
          <w:rPr>
            <w:lang w:val="pl"/>
          </w:rPr>
          <w:t>,</w:t>
        </w:r>
      </w:hyperlink>
      <w:r>
        <w:rPr>
          <w:lang w:val="pl"/>
        </w:rPr>
        <w:t xml:space="preserve"> §§ 207 i następne;</w:t>
      </w:r>
      <w:hyperlink r:id="rId498" w:history="1">
        <w:r>
          <w:rPr>
            <w:i/>
            <w:iCs/>
            <w:lang w:val="pl"/>
          </w:rPr>
          <w:t xml:space="preserve"> </w:t>
        </w:r>
        <w:r>
          <w:rPr>
            <w:i/>
            <w:iCs/>
            <w:color w:val="0072BC"/>
            <w:lang w:val="pl"/>
          </w:rPr>
          <w:t>Nolan i K. p. Rosji</w:t>
        </w:r>
        <w:r>
          <w:rPr>
            <w:lang w:val="pl"/>
          </w:rPr>
          <w:t>,</w:t>
        </w:r>
      </w:hyperlink>
      <w:r w:rsidR="00C632BF">
        <w:rPr>
          <w:lang w:val="pl"/>
        </w:rPr>
        <w:t xml:space="preserve"> §§ 56 i </w:t>
      </w:r>
      <w:r>
        <w:rPr>
          <w:lang w:val="pl"/>
        </w:rPr>
        <w:t>następne.</w:t>
      </w:r>
    </w:p>
    <w:p w:rsidR="00B71A20" w:rsidRPr="000625F6" w:rsidRDefault="000425B4">
      <w:pPr>
        <w:pStyle w:val="Teksttreci0"/>
        <w:spacing w:after="220"/>
        <w:jc w:val="both"/>
        <w:rPr>
          <w:lang w:val="pl-PL"/>
        </w:rPr>
      </w:pPr>
      <w:bookmarkStart w:id="65" w:name="bookmark64"/>
      <w:r>
        <w:rPr>
          <w:lang w:val="pl"/>
        </w:rPr>
        <w:t>Związek pomiędzy art. 34 i art. 38, patrz</w:t>
      </w:r>
      <w:hyperlink r:id="rId499" w:history="1">
        <w:r>
          <w:rPr>
            <w:i/>
            <w:iCs/>
            <w:lang w:val="pl"/>
          </w:rPr>
          <w:t xml:space="preserve"> </w:t>
        </w:r>
        <w:r>
          <w:rPr>
            <w:i/>
            <w:iCs/>
            <w:color w:val="0072BC"/>
            <w:lang w:val="pl"/>
          </w:rPr>
          <w:t>Bazorkina p. Rosji</w:t>
        </w:r>
        <w:r>
          <w:rPr>
            <w:lang w:val="pl"/>
          </w:rPr>
          <w:t>,</w:t>
        </w:r>
      </w:hyperlink>
      <w:r>
        <w:rPr>
          <w:lang w:val="pl"/>
        </w:rPr>
        <w:t xml:space="preserve"> §§ 170 i następne oraz § 175. Artykuł 34, stworzony po to, by zapewnić skuteczne działanie prawa do skargi indywidulanej, jest czymś w rodzaju </w:t>
      </w:r>
      <w:r>
        <w:rPr>
          <w:i/>
          <w:iCs/>
          <w:lang w:val="pl"/>
        </w:rPr>
        <w:t>lex generalis</w:t>
      </w:r>
      <w:r>
        <w:rPr>
          <w:lang w:val="pl"/>
        </w:rPr>
        <w:t>, a art. 38 wyraźnie nakłada na państwa obowiązek współpracy z Trybunałem.</w:t>
      </w:r>
      <w:bookmarkEnd w:id="65"/>
    </w:p>
    <w:p w:rsidR="00B71A20" w:rsidRPr="0099116D" w:rsidRDefault="0099116D" w:rsidP="0099116D">
      <w:pPr>
        <w:pStyle w:val="Nagwek41"/>
        <w:keepNext/>
        <w:keepLines/>
        <w:tabs>
          <w:tab w:val="left" w:pos="359"/>
        </w:tabs>
        <w:jc w:val="both"/>
        <w:rPr>
          <w:lang w:val="pl-PL"/>
        </w:rPr>
      </w:pPr>
      <w:bookmarkStart w:id="66" w:name="_Toc126335620"/>
      <w:bookmarkStart w:id="67" w:name="_Toc126660574"/>
      <w:r>
        <w:rPr>
          <w:lang w:val="pl"/>
        </w:rPr>
        <w:t xml:space="preserve">c.  </w:t>
      </w:r>
      <w:r w:rsidR="000425B4">
        <w:rPr>
          <w:lang w:val="pl"/>
        </w:rPr>
        <w:t>Dochodzenia</w:t>
      </w:r>
      <w:bookmarkEnd w:id="66"/>
      <w:bookmarkEnd w:id="67"/>
    </w:p>
    <w:p w:rsidR="00B71A20" w:rsidRPr="000625F6" w:rsidRDefault="000425B4">
      <w:pPr>
        <w:pStyle w:val="Teksttreci0"/>
        <w:jc w:val="both"/>
        <w:rPr>
          <w:lang w:val="pl-PL"/>
        </w:rPr>
      </w:pPr>
      <w:r>
        <w:rPr>
          <w:lang w:val="pl"/>
        </w:rPr>
        <w:t xml:space="preserve">84. Pozwane państwo powinno również pomagać w dochodzeniu (art. 38), gdyż to na państwie spoczywa obowiązek udzielania „niezbędnych ułatwień” dla skutecznego badania skarg </w:t>
      </w:r>
      <w:hyperlink r:id="rId500" w:history="1">
        <w:r>
          <w:rPr>
            <w:lang w:val="pl"/>
          </w:rPr>
          <w:t>(</w:t>
        </w:r>
        <w:r>
          <w:rPr>
            <w:i/>
            <w:iCs/>
            <w:color w:val="0072BC"/>
            <w:lang w:val="pl"/>
          </w:rPr>
          <w:t>Çakıcı</w:t>
        </w:r>
      </w:hyperlink>
      <w:r>
        <w:rPr>
          <w:i/>
          <w:iCs/>
          <w:color w:val="0072BC"/>
          <w:lang w:val="pl"/>
        </w:rPr>
        <w:t xml:space="preserve"> </w:t>
      </w:r>
      <w:hyperlink r:id="rId501" w:history="1">
        <w:r>
          <w:rPr>
            <w:i/>
            <w:iCs/>
            <w:color w:val="0072BC"/>
            <w:lang w:val="pl"/>
          </w:rPr>
          <w:t xml:space="preserve">p. Turcji </w:t>
        </w:r>
      </w:hyperlink>
      <w:r>
        <w:rPr>
          <w:lang w:val="pl"/>
        </w:rPr>
        <w:t xml:space="preserve">[WI], § 76). Utrudnianie wizyty rozpoznawczej stanowi naruszenie art. 38 </w:t>
      </w:r>
      <w:hyperlink r:id="rId502" w:history="1">
        <w:r>
          <w:rPr>
            <w:lang w:val="pl"/>
          </w:rPr>
          <w:t>(</w:t>
        </w:r>
        <w:r>
          <w:rPr>
            <w:i/>
            <w:iCs/>
            <w:color w:val="0072BC"/>
            <w:lang w:val="pl"/>
          </w:rPr>
          <w:t>Shamayev i</w:t>
        </w:r>
      </w:hyperlink>
      <w:r>
        <w:rPr>
          <w:i/>
          <w:iCs/>
          <w:color w:val="0072BC"/>
          <w:lang w:val="pl"/>
        </w:rPr>
        <w:t xml:space="preserve"> </w:t>
      </w:r>
      <w:hyperlink r:id="rId503" w:history="1">
        <w:r w:rsidR="00C632BF">
          <w:rPr>
            <w:i/>
            <w:iCs/>
            <w:color w:val="0072BC"/>
            <w:lang w:val="pl"/>
          </w:rPr>
          <w:t>Inni p. Gruzji i </w:t>
        </w:r>
        <w:r>
          <w:rPr>
            <w:i/>
            <w:iCs/>
            <w:color w:val="0072BC"/>
            <w:lang w:val="pl"/>
          </w:rPr>
          <w:t>Rosji</w:t>
        </w:r>
        <w:r>
          <w:rPr>
            <w:lang w:val="pl"/>
          </w:rPr>
          <w:t>,</w:t>
        </w:r>
      </w:hyperlink>
      <w:r>
        <w:rPr>
          <w:lang w:val="pl"/>
        </w:rPr>
        <w:t xml:space="preserve"> § 504).</w:t>
      </w:r>
    </w:p>
    <w:p w:rsidR="00B71A20" w:rsidRPr="00EC4F48" w:rsidRDefault="00D3687D" w:rsidP="00D3687D">
      <w:pPr>
        <w:pStyle w:val="Nagwek11"/>
        <w:keepNext/>
        <w:keepLines/>
        <w:spacing w:after="220"/>
        <w:jc w:val="both"/>
        <w:rPr>
          <w:lang w:val="pl-PL"/>
        </w:rPr>
      </w:pPr>
      <w:bookmarkStart w:id="68" w:name="bookmark68"/>
      <w:bookmarkStart w:id="69" w:name="bookmark67"/>
      <w:bookmarkStart w:id="70" w:name="_Toc126335621"/>
      <w:bookmarkStart w:id="71" w:name="_Toc126660575"/>
      <w:r>
        <w:rPr>
          <w:lang w:val="pl"/>
        </w:rPr>
        <w:t xml:space="preserve">I.  </w:t>
      </w:r>
      <w:r w:rsidR="000425B4">
        <w:rPr>
          <w:lang w:val="pl"/>
        </w:rPr>
        <w:t>Proceduralne podstawy niedopuszczalności</w:t>
      </w:r>
      <w:bookmarkEnd w:id="68"/>
      <w:bookmarkEnd w:id="69"/>
      <w:bookmarkEnd w:id="70"/>
      <w:bookmarkEnd w:id="71"/>
    </w:p>
    <w:p w:rsidR="00B71A20" w:rsidRPr="00EC4F48" w:rsidRDefault="000425B4">
      <w:pPr>
        <w:pStyle w:val="Nagwek21"/>
        <w:keepNext/>
        <w:keepLines/>
        <w:spacing w:after="207"/>
        <w:jc w:val="both"/>
        <w:rPr>
          <w:lang w:val="pl-PL"/>
        </w:rPr>
      </w:pPr>
      <w:bookmarkStart w:id="72" w:name="_Toc126335622"/>
      <w:bookmarkStart w:id="73" w:name="_Toc126660576"/>
      <w:r>
        <w:rPr>
          <w:lang w:val="pl"/>
        </w:rPr>
        <w:t xml:space="preserve">A. </w:t>
      </w:r>
      <w:r w:rsidR="007F545F">
        <w:rPr>
          <w:lang w:val="pl"/>
        </w:rPr>
        <w:t xml:space="preserve"> </w:t>
      </w:r>
      <w:r>
        <w:rPr>
          <w:lang w:val="pl"/>
        </w:rPr>
        <w:t>Niewyczerpanie krajowych środków odwoławczych</w:t>
      </w:r>
      <w:bookmarkEnd w:id="72"/>
      <w:bookmarkEnd w:id="73"/>
    </w:p>
    <w:tbl>
      <w:tblPr>
        <w:tblStyle w:val="Tabela-Siatka"/>
        <w:tblW w:w="0" w:type="auto"/>
        <w:shd w:val="clear" w:color="auto" w:fill="FAFAFA"/>
        <w:tblLook w:val="04A0" w:firstRow="1" w:lastRow="0" w:firstColumn="1" w:lastColumn="0" w:noHBand="0" w:noVBand="1"/>
      </w:tblPr>
      <w:tblGrid>
        <w:gridCol w:w="9096"/>
      </w:tblGrid>
      <w:tr w:rsidR="00D3687D" w:rsidRPr="00C31F37" w:rsidTr="0024595F">
        <w:trPr>
          <w:trHeight w:val="1351"/>
        </w:trPr>
        <w:tc>
          <w:tcPr>
            <w:tcW w:w="9096" w:type="dxa"/>
            <w:tcBorders>
              <w:bottom w:val="single" w:sz="4" w:space="0" w:color="auto"/>
            </w:tcBorders>
            <w:shd w:val="clear" w:color="auto" w:fill="FAFAFA"/>
          </w:tcPr>
          <w:p w:rsidR="00D3687D" w:rsidRPr="00D3687D" w:rsidRDefault="00D3687D" w:rsidP="00D3687D">
            <w:pPr>
              <w:pStyle w:val="Teksttreci0"/>
              <w:spacing w:before="120" w:after="120"/>
              <w:jc w:val="both"/>
              <w:rPr>
                <w:b/>
                <w:bCs/>
                <w:color w:val="00548C"/>
                <w:lang w:val="pl"/>
              </w:rPr>
            </w:pPr>
            <w:r w:rsidRPr="00D3687D">
              <w:rPr>
                <w:b/>
                <w:bCs/>
                <w:color w:val="00548C"/>
                <w:lang w:val="pl"/>
              </w:rPr>
              <w:t>Artykuł 35 ust. 1 Konwencji – Wymogi dopuszczalności</w:t>
            </w:r>
          </w:p>
          <w:p w:rsidR="00D3687D" w:rsidRPr="00D3687D" w:rsidRDefault="00D3687D" w:rsidP="00D3687D">
            <w:pPr>
              <w:pStyle w:val="Teksttreci0"/>
              <w:spacing w:after="220"/>
              <w:ind w:left="596"/>
              <w:jc w:val="both"/>
              <w:rPr>
                <w:lang w:val="pl-PL"/>
              </w:rPr>
            </w:pPr>
            <w:r w:rsidRPr="00D3687D">
              <w:rPr>
                <w:color w:val="262626"/>
                <w:sz w:val="20"/>
                <w:szCs w:val="20"/>
                <w:lang w:val="pl"/>
              </w:rPr>
              <w:t>„1. Trybunał może rozpatrywać sprawę dopiero po wyczerpaniu wszystkich środków odwoławczych, przewidzianych prawem wewnętrznym, zgodnie z powszechnie uznanymi zasadami prawa międzynarodowego (...)”.</w:t>
            </w:r>
          </w:p>
        </w:tc>
      </w:tr>
      <w:tr w:rsidR="00D3687D" w:rsidRPr="00C31F37" w:rsidTr="0024595F">
        <w:trPr>
          <w:trHeight w:val="767"/>
        </w:trPr>
        <w:tc>
          <w:tcPr>
            <w:tcW w:w="9096" w:type="dxa"/>
            <w:tcBorders>
              <w:bottom w:val="single" w:sz="4" w:space="0" w:color="auto"/>
            </w:tcBorders>
            <w:shd w:val="clear" w:color="auto" w:fill="FAFAFA"/>
          </w:tcPr>
          <w:p w:rsidR="00D3687D" w:rsidRPr="00D3687D" w:rsidRDefault="00D3687D" w:rsidP="00D3687D">
            <w:pPr>
              <w:pStyle w:val="Teksttreci0"/>
              <w:spacing w:before="120" w:after="120"/>
              <w:jc w:val="both"/>
              <w:rPr>
                <w:b/>
                <w:bCs/>
                <w:color w:val="00548C"/>
                <w:lang w:val="pl"/>
              </w:rPr>
            </w:pPr>
            <w:r w:rsidRPr="00D3687D">
              <w:rPr>
                <w:b/>
                <w:bCs/>
                <w:color w:val="00548C"/>
                <w:lang w:val="pl"/>
              </w:rPr>
              <w:t>Słowa klucze w bazie HUDOC</w:t>
            </w:r>
          </w:p>
          <w:p w:rsidR="00D3687D" w:rsidRPr="00D3687D" w:rsidRDefault="00D3687D" w:rsidP="00D3687D">
            <w:pPr>
              <w:pStyle w:val="Teksttreci0"/>
              <w:spacing w:after="240"/>
              <w:ind w:left="596"/>
              <w:jc w:val="both"/>
              <w:rPr>
                <w:lang w:val="pl-PL"/>
              </w:rPr>
            </w:pPr>
            <w:r w:rsidRPr="00D3687D">
              <w:rPr>
                <w:color w:val="262626"/>
                <w:sz w:val="20"/>
                <w:szCs w:val="20"/>
                <w:lang w:val="pl"/>
              </w:rPr>
              <w:t>Wyczerpanie krajowych środków odwoławczych (35-1) – Zwolnienie z obowiązku wyczerpania krajowych środków odwoławczych (35-1) – Skuteczny krajowy środek odwoławczy (35-1)</w:t>
            </w:r>
          </w:p>
        </w:tc>
      </w:tr>
    </w:tbl>
    <w:p w:rsidR="00B71A20" w:rsidRPr="000625F6" w:rsidRDefault="00B71A20">
      <w:pPr>
        <w:pStyle w:val="Teksttreci0"/>
        <w:spacing w:after="318"/>
        <w:ind w:firstLine="580"/>
        <w:jc w:val="both"/>
        <w:rPr>
          <w:sz w:val="20"/>
          <w:szCs w:val="20"/>
          <w:lang w:val="pl-PL"/>
        </w:rPr>
      </w:pPr>
    </w:p>
    <w:p w:rsidR="00B71A20" w:rsidRPr="000625F6" w:rsidRDefault="000425B4" w:rsidP="00115011">
      <w:pPr>
        <w:pStyle w:val="Teksttreci0"/>
        <w:numPr>
          <w:ilvl w:val="0"/>
          <w:numId w:val="19"/>
        </w:numPr>
        <w:tabs>
          <w:tab w:val="left" w:pos="394"/>
        </w:tabs>
        <w:spacing w:after="120"/>
        <w:jc w:val="both"/>
        <w:rPr>
          <w:lang w:val="pl-PL"/>
        </w:rPr>
      </w:pPr>
      <w:r>
        <w:rPr>
          <w:lang w:val="pl"/>
        </w:rPr>
        <w:t xml:space="preserve">Jak wskazuje treść art. 35, wymóg ten jest oparty na powszechnie uznanych zasadach prawa międzynarodowego. Obowiązek wyczerpania krajowych środków odwoławczych wchodzi w zakres międzynarodowego prawa zwyczajowego, uznawanego w orzecznictwie Międzynarodowego Trybunału Sprawiedliwości (patrz np. sprawa Interhandel (Szwajcaria p. Stanom Zjednoczonym), wyrok z dnia 21 marca 1959 r.). Powyższy warunek można również znaleźć w innych międzynarodowych traktatach dotyczących praw człowieka: Międzynarodowym pakcie praw obywatelskich i politycznych (art. 41 ust. 1 lit. c) i dołączonym do niego protokole fakultatywnym (art. 2 i art. 5 ust. 2 lit. b), </w:t>
      </w:r>
      <w:r>
        <w:rPr>
          <w:lang w:val="pl"/>
        </w:rPr>
        <w:lastRenderedPageBreak/>
        <w:t>Amerykańskiej Konwencji Praw Człowieka (art. 46) oraz Afrykańskiej karc</w:t>
      </w:r>
      <w:r w:rsidR="00C632BF">
        <w:rPr>
          <w:lang w:val="pl"/>
        </w:rPr>
        <w:t>ie praw człowieka i ludów (art. </w:t>
      </w:r>
      <w:r>
        <w:rPr>
          <w:lang w:val="pl"/>
        </w:rPr>
        <w:t>50 i art. 56 ust. 5). Jak zauważył Europejski Trybunał Praw Człowieka w sprawie</w:t>
      </w:r>
      <w:hyperlink r:id="rId504" w:history="1">
        <w:r>
          <w:rPr>
            <w:i/>
            <w:iCs/>
            <w:lang w:val="pl"/>
          </w:rPr>
          <w:t xml:space="preserve"> </w:t>
        </w:r>
        <w:r>
          <w:rPr>
            <w:i/>
            <w:iCs/>
            <w:color w:val="0072BC"/>
            <w:lang w:val="pl"/>
          </w:rPr>
          <w:t>De</w:t>
        </w:r>
      </w:hyperlink>
      <w:r>
        <w:rPr>
          <w:i/>
          <w:iCs/>
          <w:color w:val="0072BC"/>
          <w:lang w:val="pl"/>
        </w:rPr>
        <w:t xml:space="preserve"> </w:t>
      </w:r>
      <w:hyperlink r:id="rId505" w:history="1">
        <w:r w:rsidR="00C632BF">
          <w:rPr>
            <w:i/>
            <w:iCs/>
            <w:color w:val="0072BC"/>
            <w:lang w:val="pl"/>
          </w:rPr>
          <w:t>Wilde, Ooms i </w:t>
        </w:r>
        <w:r>
          <w:rPr>
            <w:i/>
            <w:iCs/>
            <w:color w:val="0072BC"/>
            <w:lang w:val="pl"/>
          </w:rPr>
          <w:t>Versyp p. Belgii</w:t>
        </w:r>
        <w:r>
          <w:rPr>
            <w:color w:val="0072BC"/>
            <w:lang w:val="pl"/>
          </w:rPr>
          <w:t xml:space="preserve">, </w:t>
        </w:r>
      </w:hyperlink>
      <w:r>
        <w:rPr>
          <w:lang w:val="pl"/>
        </w:rPr>
        <w:t>państwo może odstąpić od korzystania z zasady wyczerpania krajowych środków odwoławczych w związku z istnieniem utrwalonej praktyki międzynarodowej w tym zakresie (§ 55).</w:t>
      </w:r>
    </w:p>
    <w:p w:rsidR="00B71A20" w:rsidRPr="000625F6" w:rsidRDefault="000425B4" w:rsidP="00115011">
      <w:pPr>
        <w:pStyle w:val="Teksttreci0"/>
        <w:numPr>
          <w:ilvl w:val="0"/>
          <w:numId w:val="19"/>
        </w:numPr>
        <w:tabs>
          <w:tab w:val="left" w:pos="399"/>
        </w:tabs>
        <w:spacing w:after="120"/>
        <w:jc w:val="both"/>
        <w:rPr>
          <w:lang w:val="pl-PL"/>
        </w:rPr>
      </w:pPr>
      <w:r>
        <w:rPr>
          <w:lang w:val="pl"/>
        </w:rPr>
        <w:t xml:space="preserve">Trybunał powinien zachować rolę subsydiarną w stosunku do krajowych systemów ochrony praw człowieka, a sądy krajowe powinny mieć możliwość wstępnego rozstrzygnięcia kwestii dotyczących zgodności prawa krajowego z Konwencją </w:t>
      </w:r>
      <w:hyperlink r:id="rId506" w:history="1">
        <w:r>
          <w:rPr>
            <w:lang w:val="pl"/>
          </w:rPr>
          <w:t>(</w:t>
        </w:r>
        <w:r>
          <w:rPr>
            <w:i/>
            <w:iCs/>
            <w:color w:val="0072BC"/>
            <w:lang w:val="pl"/>
          </w:rPr>
          <w:t xml:space="preserve">A, B i C p. Irlandii </w:t>
        </w:r>
      </w:hyperlink>
      <w:r>
        <w:rPr>
          <w:lang w:val="pl"/>
        </w:rPr>
        <w:t xml:space="preserve">[WI], § 142). Jeżeli jednak skarga zostanie wniesiona do Strasburga, Trybunał powinien mieć możliwość korzystania z opinii sądów krajowych jako instytucji bezpośrednio i na bieżąco stykających się z kwestiami mającymi żywotne znaczenie dla ich krajów </w:t>
      </w:r>
      <w:hyperlink r:id="rId507" w:history="1">
        <w:r>
          <w:rPr>
            <w:lang w:val="pl"/>
          </w:rPr>
          <w:t>(</w:t>
        </w:r>
        <w:r>
          <w:rPr>
            <w:i/>
            <w:iCs/>
            <w:color w:val="0072BC"/>
            <w:lang w:val="pl"/>
          </w:rPr>
          <w:t xml:space="preserve">Burden p. Wielkiej Brytanii </w:t>
        </w:r>
      </w:hyperlink>
      <w:r>
        <w:rPr>
          <w:lang w:val="pl"/>
        </w:rPr>
        <w:t>[WI], § 42).</w:t>
      </w:r>
    </w:p>
    <w:p w:rsidR="00B71A20" w:rsidRDefault="000425B4" w:rsidP="00115011">
      <w:pPr>
        <w:pStyle w:val="Teksttreci0"/>
        <w:numPr>
          <w:ilvl w:val="0"/>
          <w:numId w:val="19"/>
        </w:numPr>
        <w:tabs>
          <w:tab w:val="left" w:pos="399"/>
        </w:tabs>
        <w:spacing w:after="220"/>
        <w:jc w:val="both"/>
      </w:pPr>
      <w:bookmarkStart w:id="74" w:name="bookmark73"/>
      <w:r>
        <w:rPr>
          <w:lang w:val="pl"/>
        </w:rPr>
        <w:t xml:space="preserve">Artykuł 35 ust. 1 dotyczy tylko krajowych środków odwoławczych; nie nakłada obowiązku wyczerpania środków odwoławczych przewidzianych w ramach organizacji międzynarodowych. Wprost przeciwnie, jeżeli skarżący skieruje sprawę do innego postępowania prowadzonego w ramach międzynarodowego postępowania przygotowawczego lub rozstrzygnięcia, skarga może zostać odrzucona na mocy art. 35 ust. 2 lit. b Konwencji (patrz pkt I.E.). Z zasady subsydiarności może jednak wynikać wymóg wyczerpania krajowych środków odwoławczych, w kontekście których zwrócono się do Trybunału Sprawiedliwości Unii Europejskiej (TSUE) o wydanie orzeczenia w trybie prejudycjalnym </w:t>
      </w:r>
      <w:hyperlink r:id="rId508" w:history="1">
        <w:r>
          <w:rPr>
            <w:lang w:val="pl"/>
          </w:rPr>
          <w:t>(</w:t>
        </w:r>
        <w:r>
          <w:rPr>
            <w:i/>
            <w:iCs/>
            <w:color w:val="0072BC"/>
            <w:lang w:val="pl"/>
          </w:rPr>
          <w:t>Laurus Invest</w:t>
        </w:r>
      </w:hyperlink>
      <w:r>
        <w:rPr>
          <w:i/>
          <w:iCs/>
          <w:color w:val="0072BC"/>
          <w:lang w:val="pl"/>
        </w:rPr>
        <w:t xml:space="preserve"> </w:t>
      </w:r>
      <w:hyperlink r:id="rId509" w:history="1">
        <w:r>
          <w:rPr>
            <w:i/>
            <w:iCs/>
            <w:color w:val="0072BC"/>
            <w:lang w:val="pl"/>
          </w:rPr>
          <w:t xml:space="preserve">Hungary KFT i Inni p. Węgrom </w:t>
        </w:r>
      </w:hyperlink>
      <w:r>
        <w:rPr>
          <w:lang w:val="pl"/>
        </w:rPr>
        <w:t xml:space="preserve">(dec.), § 42, w której to sprawie w orzeczeniu TSUE wydanym w trybie prejudycjalnym zawarto wytyczne dla sądów krajowych odnośnie do kryteriów, jakie należało zastosować w zawisłej przed nimi sprawie dotyczącej zarzucanego naruszenia praw, o których mowa w art. 1 Protokołu nr 1). Trybunał określa, czy dany organ jest organem krajowym, czy międzynarodowym, przy uwzględnieniu wszystkich istotnych czynników, w tym jego charakteru prawnego, statutu, kompetencji, umiejscowienia (jeśli można je wskazać) w istniejącym porządku prawnym i sposobu finansowania </w:t>
      </w:r>
      <w:hyperlink r:id="rId510" w:history="1">
        <w:r>
          <w:rPr>
            <w:lang w:val="pl"/>
          </w:rPr>
          <w:t>(</w:t>
        </w:r>
        <w:r>
          <w:rPr>
            <w:i/>
            <w:iCs/>
            <w:color w:val="0072BC"/>
            <w:lang w:val="pl"/>
          </w:rPr>
          <w:t xml:space="preserve">Jeličić p. Bośni i Hercegowinie </w:t>
        </w:r>
      </w:hyperlink>
      <w:r>
        <w:rPr>
          <w:lang w:val="pl"/>
        </w:rPr>
        <w:t>(dec.);</w:t>
      </w:r>
      <w:hyperlink r:id="rId511" w:history="1">
        <w:r>
          <w:rPr>
            <w:lang w:val="pl"/>
          </w:rPr>
          <w:t xml:space="preserve"> </w:t>
        </w:r>
        <w:r>
          <w:rPr>
            <w:i/>
            <w:iCs/>
            <w:color w:val="0072BC"/>
            <w:lang w:val="pl"/>
          </w:rPr>
          <w:t xml:space="preserve">Peraldi p. Francji </w:t>
        </w:r>
      </w:hyperlink>
      <w:r>
        <w:rPr>
          <w:lang w:val="pl"/>
        </w:rPr>
        <w:t>(dec.)) (patrz pkt I.E.).</w:t>
      </w:r>
      <w:bookmarkEnd w:id="74"/>
    </w:p>
    <w:p w:rsidR="00B71A20" w:rsidRDefault="00FB4A38" w:rsidP="00FB4A38">
      <w:pPr>
        <w:pStyle w:val="Nagwek31"/>
        <w:keepNext/>
        <w:keepLines/>
        <w:tabs>
          <w:tab w:val="left" w:pos="366"/>
        </w:tabs>
        <w:spacing w:after="120"/>
        <w:jc w:val="both"/>
      </w:pPr>
      <w:bookmarkStart w:id="75" w:name="_Toc126335623"/>
      <w:bookmarkStart w:id="76" w:name="_Toc126660577"/>
      <w:r>
        <w:rPr>
          <w:lang w:val="pl"/>
        </w:rPr>
        <w:t xml:space="preserve">1.  </w:t>
      </w:r>
      <w:r w:rsidR="000425B4">
        <w:rPr>
          <w:lang w:val="pl"/>
        </w:rPr>
        <w:t>Cel zasady</w:t>
      </w:r>
      <w:bookmarkEnd w:id="75"/>
      <w:bookmarkEnd w:id="76"/>
    </w:p>
    <w:p w:rsidR="00B71A20" w:rsidRPr="000625F6" w:rsidRDefault="000425B4" w:rsidP="00115011">
      <w:pPr>
        <w:pStyle w:val="Teksttreci0"/>
        <w:numPr>
          <w:ilvl w:val="0"/>
          <w:numId w:val="21"/>
        </w:numPr>
        <w:tabs>
          <w:tab w:val="left" w:pos="404"/>
        </w:tabs>
        <w:jc w:val="both"/>
        <w:rPr>
          <w:lang w:val="pl-PL"/>
        </w:rPr>
      </w:pPr>
      <w:r>
        <w:rPr>
          <w:lang w:val="pl"/>
        </w:rPr>
        <w:t>Uzasadnieniem dla zasady wyczerpania krajowych środków odwoławczych jest zapewnienie władzom krajowym, w tym przede wszystkim sądom, możliwości zapobiegania zarzucanym naruszeniom Konwencji lub ich naprawienia (patrz podsumowanie zasad w sprawie</w:t>
      </w:r>
      <w:hyperlink r:id="rId512" w:history="1">
        <w:r>
          <w:rPr>
            <w:lang w:val="pl"/>
          </w:rPr>
          <w:t xml:space="preserve"> </w:t>
        </w:r>
        <w:r>
          <w:rPr>
            <w:i/>
            <w:iCs/>
            <w:color w:val="0072BC"/>
            <w:lang w:val="pl"/>
          </w:rPr>
          <w:t xml:space="preserve">Gherghina p. Rumunii </w:t>
        </w:r>
      </w:hyperlink>
      <w:r>
        <w:rPr>
          <w:lang w:val="pl"/>
        </w:rPr>
        <w:t>(dec.) [WI], §§ 84-89;</w:t>
      </w:r>
      <w:hyperlink r:id="rId513" w:history="1">
        <w:r>
          <w:rPr>
            <w:lang w:val="pl"/>
          </w:rPr>
          <w:t xml:space="preserve"> </w:t>
        </w:r>
        <w:r>
          <w:rPr>
            <w:i/>
            <w:iCs/>
            <w:color w:val="0072BC"/>
            <w:lang w:val="pl"/>
          </w:rPr>
          <w:t xml:space="preserve">Mocanu i Inni p. Rumunii </w:t>
        </w:r>
      </w:hyperlink>
      <w:r>
        <w:rPr>
          <w:lang w:val="pl"/>
        </w:rPr>
        <w:t>[WI], §§ 221 i nast.;</w:t>
      </w:r>
      <w:hyperlink r:id="rId514" w:history="1">
        <w:r>
          <w:rPr>
            <w:lang w:val="pl"/>
          </w:rPr>
          <w:t xml:space="preserve"> </w:t>
        </w:r>
        <w:r>
          <w:rPr>
            <w:i/>
            <w:iCs/>
            <w:color w:val="0072BC"/>
            <w:lang w:val="pl"/>
          </w:rPr>
          <w:t xml:space="preserve">Vučković i Inni p. Serbii </w:t>
        </w:r>
      </w:hyperlink>
      <w:r>
        <w:rPr>
          <w:lang w:val="pl"/>
        </w:rPr>
        <w:t xml:space="preserve">(zastrzeżenie wstępne) [WI], §§ 69-77, a także dalsze odniesienia tamże). Opiera się to na wyrażonym w art. 13 Konwencji założeniu, że w przypadku naruszenia praw konwencyjnych skuteczny środek odwoławczy zostanie zapewniony w ramach krajowego porządku prawnego. Jest to ważny aspekt subsydiarnego charakteru mechanizmu Konwencji </w:t>
      </w:r>
      <w:hyperlink r:id="rId515" w:history="1">
        <w:r>
          <w:rPr>
            <w:lang w:val="pl"/>
          </w:rPr>
          <w:t>(</w:t>
        </w:r>
        <w:r>
          <w:rPr>
            <w:i/>
            <w:iCs/>
            <w:color w:val="0072BC"/>
            <w:lang w:val="pl"/>
          </w:rPr>
          <w:t xml:space="preserve">Selmouni p. Francji </w:t>
        </w:r>
      </w:hyperlink>
      <w:r>
        <w:rPr>
          <w:lang w:val="pl"/>
        </w:rPr>
        <w:t>[WI], § 74;</w:t>
      </w:r>
      <w:hyperlink r:id="rId516" w:history="1">
        <w:r>
          <w:rPr>
            <w:lang w:val="pl"/>
          </w:rPr>
          <w:t xml:space="preserve"> </w:t>
        </w:r>
        <w:r>
          <w:rPr>
            <w:i/>
            <w:iCs/>
            <w:color w:val="0072BC"/>
            <w:lang w:val="pl"/>
          </w:rPr>
          <w:t>Kudła p. Polsce</w:t>
        </w:r>
      </w:hyperlink>
      <w:r>
        <w:rPr>
          <w:color w:val="0072BC"/>
          <w:lang w:val="pl"/>
        </w:rPr>
        <w:t xml:space="preserve"> </w:t>
      </w:r>
      <w:r>
        <w:rPr>
          <w:lang w:val="pl"/>
        </w:rPr>
        <w:t>[WI], § 152;</w:t>
      </w:r>
      <w:hyperlink r:id="rId517" w:history="1">
        <w:r>
          <w:rPr>
            <w:lang w:val="pl"/>
          </w:rPr>
          <w:t xml:space="preserve"> </w:t>
        </w:r>
        <w:r>
          <w:rPr>
            <w:i/>
            <w:iCs/>
            <w:color w:val="0072BC"/>
            <w:lang w:val="pl"/>
          </w:rPr>
          <w:t xml:space="preserve">Andrášik i Inni p. Słowacji </w:t>
        </w:r>
      </w:hyperlink>
      <w:r>
        <w:rPr>
          <w:lang w:val="pl"/>
        </w:rPr>
        <w:t xml:space="preserve">(dec.)). Ma on zastosowanie niezależnie od tego, czy postanowienia Konwencji zostały włączone do prawa krajowego </w:t>
      </w:r>
      <w:hyperlink r:id="rId518" w:history="1">
        <w:r>
          <w:rPr>
            <w:lang w:val="pl"/>
          </w:rPr>
          <w:t>(</w:t>
        </w:r>
        <w:r>
          <w:rPr>
            <w:i/>
            <w:iCs/>
            <w:color w:val="0072BC"/>
            <w:lang w:val="pl"/>
          </w:rPr>
          <w:t>Eberhard i M. p. Słowenii</w:t>
        </w:r>
        <w:r>
          <w:rPr>
            <w:lang w:val="pl"/>
          </w:rPr>
          <w:t>)</w:t>
        </w:r>
      </w:hyperlink>
      <w:r>
        <w:rPr>
          <w:lang w:val="pl"/>
        </w:rPr>
        <w:t xml:space="preserve">. Zasada wyczerpania krajowych środków odwoławczych stanowi niezbędną część funkcjonowania konwencyjnego systemu ochrony i jest jedną z zasad podstawowych </w:t>
      </w:r>
      <w:hyperlink r:id="rId519" w:history="1">
        <w:r>
          <w:rPr>
            <w:lang w:val="pl"/>
          </w:rPr>
          <w:t>(</w:t>
        </w:r>
        <w:r>
          <w:rPr>
            <w:i/>
            <w:iCs/>
            <w:color w:val="0072BC"/>
            <w:lang w:val="pl"/>
          </w:rPr>
          <w:t xml:space="preserve">Demopoulos i Inni p. Turcji </w:t>
        </w:r>
      </w:hyperlink>
      <w:r>
        <w:rPr>
          <w:lang w:val="pl"/>
        </w:rPr>
        <w:t>(dec.) [WI], §§ 69 i 97;</w:t>
      </w:r>
      <w:hyperlink r:id="rId520" w:history="1">
        <w:r>
          <w:rPr>
            <w:lang w:val="pl"/>
          </w:rPr>
          <w:t xml:space="preserve"> </w:t>
        </w:r>
        <w:r>
          <w:rPr>
            <w:i/>
            <w:iCs/>
            <w:color w:val="0072BC"/>
            <w:lang w:val="pl"/>
          </w:rPr>
          <w:t xml:space="preserve">Vučković i Inni p. Serbii </w:t>
        </w:r>
      </w:hyperlink>
      <w:r>
        <w:rPr>
          <w:lang w:val="pl"/>
        </w:rPr>
        <w:t>(zastrzeżenie wstępne) [WI], §§ 69-77 oraz za</w:t>
      </w:r>
      <w:r w:rsidR="00C632BF">
        <w:rPr>
          <w:lang w:val="pl"/>
        </w:rPr>
        <w:t>warte tam dalsze odniesienia, w </w:t>
      </w:r>
      <w:r>
        <w:rPr>
          <w:lang w:val="pl"/>
        </w:rPr>
        <w:t>szczególności do sprawy</w:t>
      </w:r>
      <w:hyperlink r:id="rId521" w:history="1">
        <w:r>
          <w:rPr>
            <w:lang w:val="pl"/>
          </w:rPr>
          <w:t xml:space="preserve"> </w:t>
        </w:r>
        <w:r>
          <w:rPr>
            <w:i/>
            <w:iCs/>
            <w:color w:val="0072BC"/>
            <w:lang w:val="pl"/>
          </w:rPr>
          <w:t>Akdivar i Inni p. Turcji</w:t>
        </w:r>
        <w:r>
          <w:rPr>
            <w:lang w:val="pl"/>
          </w:rPr>
          <w:t>)</w:t>
        </w:r>
      </w:hyperlink>
      <w:r>
        <w:rPr>
          <w:lang w:val="pl"/>
        </w:rPr>
        <w:t>.</w:t>
      </w:r>
    </w:p>
    <w:p w:rsidR="00B71A20" w:rsidRDefault="000425B4">
      <w:pPr>
        <w:pStyle w:val="Teksttreci0"/>
        <w:spacing w:after="220"/>
        <w:jc w:val="both"/>
      </w:pPr>
      <w:bookmarkStart w:id="77" w:name="bookmark76"/>
      <w:r>
        <w:rPr>
          <w:lang w:val="pl"/>
        </w:rPr>
        <w:t xml:space="preserve">Ustalenie, czy procedura krajowa stanowi skuteczny środek odwoławczy w rozumieniu art. 35 ust. 1, który skarżący musi wykorzystać i który należy zatem brać pod uwagę na potrzeby obliczenia czteromiesięcznego terminu, jest zależne od wielu czynników, tj. zarzutu podniesionego przez skarżącego, zakresu zobowiązań państwa w ramach tego konkretnego postanowienia Konwencji, dostępnych środków odwoławczych w pozwanym państwie oraz konkretnych okoliczności w danej sprawie </w:t>
      </w:r>
      <w:hyperlink r:id="rId522" w:history="1">
        <w:r>
          <w:rPr>
            <w:lang w:val="pl"/>
          </w:rPr>
          <w:t>(</w:t>
        </w:r>
        <w:r>
          <w:rPr>
            <w:i/>
            <w:iCs/>
            <w:color w:val="0072BC"/>
            <w:lang w:val="pl"/>
          </w:rPr>
          <w:t xml:space="preserve">Lopes de Sousa Fernandes p. Portugalii </w:t>
        </w:r>
      </w:hyperlink>
      <w:r>
        <w:rPr>
          <w:lang w:val="pl"/>
        </w:rPr>
        <w:t>[WI], § 134; patrz też</w:t>
      </w:r>
      <w:hyperlink r:id="rId523" w:history="1">
        <w:r>
          <w:rPr>
            <w:lang w:val="pl"/>
          </w:rPr>
          <w:t xml:space="preserve"> </w:t>
        </w:r>
        <w:r>
          <w:rPr>
            <w:i/>
            <w:iCs/>
            <w:color w:val="0072BC"/>
            <w:lang w:val="pl"/>
          </w:rPr>
          <w:t xml:space="preserve">Kozacıoğlu p. Turcji </w:t>
        </w:r>
      </w:hyperlink>
      <w:r>
        <w:rPr>
          <w:lang w:val="pl"/>
        </w:rPr>
        <w:t>[WI], § 40 oraz</w:t>
      </w:r>
      <w:hyperlink r:id="rId524" w:history="1">
        <w:r>
          <w:rPr>
            <w:lang w:val="pl"/>
          </w:rPr>
          <w:t xml:space="preserve"> </w:t>
        </w:r>
        <w:r>
          <w:rPr>
            <w:i/>
            <w:iCs/>
            <w:color w:val="0072BC"/>
            <w:lang w:val="pl"/>
          </w:rPr>
          <w:t>D.H.</w:t>
        </w:r>
      </w:hyperlink>
      <w:r>
        <w:rPr>
          <w:i/>
          <w:iCs/>
          <w:color w:val="0072BC"/>
          <w:lang w:val="pl"/>
        </w:rPr>
        <w:t xml:space="preserve"> </w:t>
      </w:r>
      <w:hyperlink r:id="rId525" w:history="1">
        <w:r>
          <w:rPr>
            <w:i/>
            <w:iCs/>
            <w:color w:val="0072BC"/>
            <w:lang w:val="pl"/>
          </w:rPr>
          <w:t xml:space="preserve">i Inni p. Czechom </w:t>
        </w:r>
      </w:hyperlink>
      <w:r>
        <w:rPr>
          <w:lang w:val="pl"/>
        </w:rPr>
        <w:t>[WI], § 116).</w:t>
      </w:r>
      <w:bookmarkEnd w:id="77"/>
    </w:p>
    <w:p w:rsidR="00B71A20" w:rsidRDefault="00FB4A38" w:rsidP="00FB4A38">
      <w:pPr>
        <w:pStyle w:val="Nagwek31"/>
        <w:keepNext/>
        <w:keepLines/>
        <w:tabs>
          <w:tab w:val="left" w:pos="350"/>
        </w:tabs>
        <w:spacing w:after="220"/>
        <w:jc w:val="both"/>
      </w:pPr>
      <w:bookmarkStart w:id="78" w:name="bookmark77"/>
      <w:bookmarkStart w:id="79" w:name="_Toc126335624"/>
      <w:bookmarkStart w:id="80" w:name="_Toc126660578"/>
      <w:r>
        <w:rPr>
          <w:lang w:val="pl"/>
        </w:rPr>
        <w:lastRenderedPageBreak/>
        <w:t xml:space="preserve">2.  </w:t>
      </w:r>
      <w:r w:rsidR="000425B4">
        <w:rPr>
          <w:lang w:val="pl"/>
        </w:rPr>
        <w:t>Zastosowanie zasady</w:t>
      </w:r>
      <w:bookmarkEnd w:id="78"/>
      <w:bookmarkEnd w:id="79"/>
      <w:bookmarkEnd w:id="80"/>
    </w:p>
    <w:p w:rsidR="00B71A20" w:rsidRDefault="007F545F" w:rsidP="007F545F">
      <w:pPr>
        <w:pStyle w:val="Nagwek41"/>
        <w:keepNext/>
        <w:keepLines/>
        <w:tabs>
          <w:tab w:val="left" w:pos="350"/>
        </w:tabs>
        <w:jc w:val="both"/>
      </w:pPr>
      <w:bookmarkStart w:id="81" w:name="_Toc126335625"/>
      <w:bookmarkStart w:id="82" w:name="_Toc126660579"/>
      <w:r>
        <w:rPr>
          <w:lang w:val="pl"/>
        </w:rPr>
        <w:t xml:space="preserve">a.  </w:t>
      </w:r>
      <w:r w:rsidR="000425B4">
        <w:rPr>
          <w:lang w:val="pl"/>
        </w:rPr>
        <w:t>Elastyczność</w:t>
      </w:r>
      <w:bookmarkEnd w:id="81"/>
      <w:bookmarkEnd w:id="82"/>
    </w:p>
    <w:p w:rsidR="00B71A20" w:rsidRPr="000625F6" w:rsidRDefault="000425B4" w:rsidP="00115011">
      <w:pPr>
        <w:pStyle w:val="Teksttreci0"/>
        <w:numPr>
          <w:ilvl w:val="0"/>
          <w:numId w:val="22"/>
        </w:numPr>
        <w:tabs>
          <w:tab w:val="left" w:pos="394"/>
        </w:tabs>
        <w:jc w:val="both"/>
        <w:rPr>
          <w:lang w:val="pl-PL"/>
        </w:rPr>
      </w:pPr>
      <w:r>
        <w:rPr>
          <w:lang w:val="pl"/>
        </w:rPr>
        <w:t xml:space="preserve">Zasadę wyczerpania krajowych środków odwoławczych można określić raczej jako złotą zasadę aniżeli regułę o charakterze bezwzględnym. Komisja i Trybunał wielokrotnie podkreślały potrzebę stosowania tej reguły z pewną dozą elastyczności i bez nadmiernego formalizmu, biorąc pod uwagę kwestię ochrony praw człowieka </w:t>
      </w:r>
      <w:hyperlink r:id="rId526" w:history="1">
        <w:r>
          <w:rPr>
            <w:lang w:val="pl"/>
          </w:rPr>
          <w:t>(</w:t>
        </w:r>
        <w:r>
          <w:rPr>
            <w:i/>
            <w:iCs/>
            <w:color w:val="0072BC"/>
            <w:lang w:val="pl"/>
          </w:rPr>
          <w:t>Ringeisen p. Austrii</w:t>
        </w:r>
        <w:r>
          <w:rPr>
            <w:lang w:val="pl"/>
          </w:rPr>
          <w:t>,</w:t>
        </w:r>
      </w:hyperlink>
      <w:r>
        <w:rPr>
          <w:lang w:val="pl"/>
        </w:rPr>
        <w:t xml:space="preserve"> § 89;</w:t>
      </w:r>
      <w:hyperlink r:id="rId527" w:history="1">
        <w:r>
          <w:rPr>
            <w:lang w:val="pl"/>
          </w:rPr>
          <w:t xml:space="preserve"> </w:t>
        </w:r>
        <w:r>
          <w:rPr>
            <w:i/>
            <w:iCs/>
            <w:color w:val="0072BC"/>
            <w:lang w:val="pl"/>
          </w:rPr>
          <w:t xml:space="preserve">Lehtinen p. Finlandii </w:t>
        </w:r>
      </w:hyperlink>
      <w:r>
        <w:rPr>
          <w:lang w:val="pl"/>
        </w:rPr>
        <w:t>(dec.);</w:t>
      </w:r>
      <w:hyperlink r:id="rId528" w:history="1">
        <w:r>
          <w:rPr>
            <w:lang w:val="pl"/>
          </w:rPr>
          <w:t xml:space="preserve"> </w:t>
        </w:r>
        <w:r w:rsidR="00C632BF">
          <w:rPr>
            <w:i/>
            <w:iCs/>
            <w:color w:val="0072BC"/>
            <w:lang w:val="pl"/>
          </w:rPr>
          <w:t>Gherghina p. </w:t>
        </w:r>
        <w:r>
          <w:rPr>
            <w:i/>
            <w:iCs/>
            <w:color w:val="0072BC"/>
            <w:lang w:val="pl"/>
          </w:rPr>
          <w:t xml:space="preserve">Rumunii </w:t>
        </w:r>
      </w:hyperlink>
      <w:r>
        <w:rPr>
          <w:lang w:val="pl"/>
        </w:rPr>
        <w:t>(dec.) [WI], § 87). Przykładowo, Trybunał dopuszcza,</w:t>
      </w:r>
      <w:r w:rsidR="00A36163">
        <w:rPr>
          <w:lang w:val="pl"/>
        </w:rPr>
        <w:t xml:space="preserve"> aby ostatni etap korzystania z </w:t>
      </w:r>
      <w:r>
        <w:rPr>
          <w:lang w:val="pl"/>
        </w:rPr>
        <w:t xml:space="preserve">krajowych środków odwoławczych zakończył się po wniesieniu skargi, lecz przed stwierdzeniem jej dopuszczalności </w:t>
      </w:r>
      <w:hyperlink r:id="rId529" w:history="1">
        <w:r>
          <w:rPr>
            <w:lang w:val="pl"/>
          </w:rPr>
          <w:t>(</w:t>
        </w:r>
        <w:r>
          <w:rPr>
            <w:i/>
            <w:iCs/>
            <w:color w:val="0072BC"/>
            <w:lang w:val="pl"/>
          </w:rPr>
          <w:t>Molla Sali p. Grecji</w:t>
        </w:r>
      </w:hyperlink>
      <w:r>
        <w:rPr>
          <w:color w:val="0072BC"/>
          <w:lang w:val="pl"/>
        </w:rPr>
        <w:t xml:space="preserve"> </w:t>
      </w:r>
      <w:r>
        <w:rPr>
          <w:lang w:val="pl"/>
        </w:rPr>
        <w:t>[WI], § 90).</w:t>
      </w:r>
    </w:p>
    <w:p w:rsidR="00B71A20" w:rsidRPr="000625F6" w:rsidRDefault="000425B4">
      <w:pPr>
        <w:pStyle w:val="Teksttreci0"/>
        <w:jc w:val="both"/>
        <w:rPr>
          <w:lang w:val="pl-PL"/>
        </w:rPr>
      </w:pPr>
      <w:r>
        <w:rPr>
          <w:lang w:val="pl"/>
        </w:rPr>
        <w:t xml:space="preserve">Zasada wyczerpania krajowych środków odwoławczych ani nie jest absolutna, ani nie można jej stosować automatycznie </w:t>
      </w:r>
      <w:hyperlink r:id="rId530" w:history="1">
        <w:r>
          <w:rPr>
            <w:lang w:val="pl"/>
          </w:rPr>
          <w:t>(</w:t>
        </w:r>
        <w:r>
          <w:rPr>
            <w:i/>
            <w:iCs/>
            <w:color w:val="0072BC"/>
            <w:lang w:val="pl"/>
          </w:rPr>
          <w:t>Kozacıoğlu</w:t>
        </w:r>
      </w:hyperlink>
      <w:r>
        <w:rPr>
          <w:i/>
          <w:iCs/>
          <w:color w:val="0072BC"/>
          <w:lang w:val="pl"/>
        </w:rPr>
        <w:t xml:space="preserve"> </w:t>
      </w:r>
      <w:hyperlink r:id="rId531" w:history="1">
        <w:r>
          <w:rPr>
            <w:i/>
            <w:iCs/>
            <w:color w:val="0072BC"/>
            <w:lang w:val="pl"/>
          </w:rPr>
          <w:t xml:space="preserve">p. Turcji </w:t>
        </w:r>
      </w:hyperlink>
      <w:r>
        <w:rPr>
          <w:lang w:val="pl"/>
        </w:rPr>
        <w:t xml:space="preserve">[WI], § 40). Trybunał uznał na przykład, że nadmiernym formalizmem byłoby wymaganie od skarżącego wykorzystania środka, do zastosowania którego nie zobowiązał go nawet najwyższy sąd krajowy </w:t>
      </w:r>
      <w:hyperlink r:id="rId532" w:history="1">
        <w:r>
          <w:rPr>
            <w:lang w:val="pl"/>
          </w:rPr>
          <w:t>(</w:t>
        </w:r>
        <w:r>
          <w:rPr>
            <w:i/>
            <w:iCs/>
            <w:color w:val="0072BC"/>
            <w:lang w:val="pl"/>
          </w:rPr>
          <w:t xml:space="preserve">D.H. i Inni p. Czechom </w:t>
        </w:r>
      </w:hyperlink>
      <w:r>
        <w:rPr>
          <w:lang w:val="pl"/>
        </w:rPr>
        <w:t xml:space="preserve">[WI], §§ 116-118). W jednej ze spraw Trybunał wziął pod uwagę krótkie terminy wyznaczone na złożenie przez skarżących odpowiedzi, podkreślając „pośpiech”, z jakim musieli oni przedstawić swoje argumenty </w:t>
      </w:r>
      <w:hyperlink r:id="rId533" w:history="1">
        <w:r>
          <w:rPr>
            <w:lang w:val="pl"/>
          </w:rPr>
          <w:t>(</w:t>
        </w:r>
        <w:r>
          <w:rPr>
            <w:i/>
            <w:iCs/>
            <w:color w:val="0072BC"/>
            <w:lang w:val="pl"/>
          </w:rPr>
          <w:t>Financial Times Ltd i Inni p.</w:t>
        </w:r>
      </w:hyperlink>
      <w:r w:rsidR="00C632BF">
        <w:rPr>
          <w:i/>
          <w:iCs/>
          <w:color w:val="0072BC"/>
          <w:lang w:val="pl"/>
        </w:rPr>
        <w:t> </w:t>
      </w:r>
      <w:hyperlink r:id="rId534" w:history="1">
        <w:r>
          <w:rPr>
            <w:i/>
            <w:iCs/>
            <w:color w:val="0072BC"/>
            <w:lang w:val="pl"/>
          </w:rPr>
          <w:t>Wielkiej Brytanii</w:t>
        </w:r>
        <w:r>
          <w:rPr>
            <w:lang w:val="pl"/>
          </w:rPr>
          <w:t>,</w:t>
        </w:r>
      </w:hyperlink>
      <w:r>
        <w:rPr>
          <w:lang w:val="pl"/>
        </w:rPr>
        <w:t xml:space="preserve"> §§ 43-44). Jednakże wykorzystanie dostępnych</w:t>
      </w:r>
      <w:r w:rsidR="00C632BF">
        <w:rPr>
          <w:lang w:val="pl"/>
        </w:rPr>
        <w:t xml:space="preserve"> środków odwoławczych zgodnie z </w:t>
      </w:r>
      <w:r>
        <w:rPr>
          <w:lang w:val="pl"/>
        </w:rPr>
        <w:t xml:space="preserve">procedurą krajową i formalnościami określonymi w prawie krajowym ma szczególnie znaczenie tam, gdzie wchodzą w grę względy jasności i pewności prawa </w:t>
      </w:r>
      <w:hyperlink r:id="rId535" w:history="1">
        <w:r>
          <w:rPr>
            <w:lang w:val="pl"/>
          </w:rPr>
          <w:t>(</w:t>
        </w:r>
        <w:r>
          <w:rPr>
            <w:i/>
            <w:iCs/>
            <w:color w:val="0072BC"/>
            <w:lang w:val="pl"/>
          </w:rPr>
          <w:t>Saghinadze i Inni</w:t>
        </w:r>
      </w:hyperlink>
      <w:r>
        <w:rPr>
          <w:i/>
          <w:iCs/>
          <w:color w:val="0072BC"/>
          <w:lang w:val="pl"/>
        </w:rPr>
        <w:t xml:space="preserve"> </w:t>
      </w:r>
      <w:hyperlink r:id="rId536" w:history="1">
        <w:r>
          <w:rPr>
            <w:i/>
            <w:iCs/>
            <w:color w:val="0072BC"/>
            <w:lang w:val="pl"/>
          </w:rPr>
          <w:t>p. Gruzji</w:t>
        </w:r>
        <w:r>
          <w:rPr>
            <w:lang w:val="pl"/>
          </w:rPr>
          <w:t>,</w:t>
        </w:r>
      </w:hyperlink>
      <w:r>
        <w:rPr>
          <w:lang w:val="pl"/>
        </w:rPr>
        <w:t xml:space="preserve"> §§ 83-84).</w:t>
      </w:r>
    </w:p>
    <w:p w:rsidR="00B71A20" w:rsidRPr="000625F6" w:rsidRDefault="000425B4" w:rsidP="00115011">
      <w:pPr>
        <w:pStyle w:val="Teksttreci0"/>
        <w:numPr>
          <w:ilvl w:val="0"/>
          <w:numId w:val="22"/>
        </w:numPr>
        <w:tabs>
          <w:tab w:val="left" w:pos="399"/>
        </w:tabs>
        <w:spacing w:after="220"/>
        <w:jc w:val="both"/>
        <w:rPr>
          <w:lang w:val="pl-PL"/>
        </w:rPr>
      </w:pPr>
      <w:r>
        <w:rPr>
          <w:lang w:val="pl"/>
        </w:rPr>
        <w:t xml:space="preserve">Choć co do zasady można przyjąć, że spór wszczęty w interesie publicznym przez organizację pozarządową – wyraźnie przewidziany w prawie krajowym jako jeden ze sposobów ochrony interesów większej grupy osób – jest formą wyczerpania krajowych środków odwoławczych, nie oznacza to, że taki spór zwalnia indywidualnego skarżącego z obowiązku wystąpienia o postępowanie krajowe we własnym imieniu, jeśli nie dotyczy sytuacji i konkretnych postulatów skargowych tej właśnie osoby </w:t>
      </w:r>
      <w:hyperlink r:id="rId537" w:history="1">
        <w:r>
          <w:rPr>
            <w:lang w:val="pl"/>
          </w:rPr>
          <w:t>(</w:t>
        </w:r>
        <w:r>
          <w:rPr>
            <w:i/>
            <w:iCs/>
            <w:color w:val="0072BC"/>
            <w:lang w:val="pl"/>
          </w:rPr>
          <w:t xml:space="preserve">Kósa p. Węgrom </w:t>
        </w:r>
      </w:hyperlink>
      <w:r>
        <w:rPr>
          <w:lang w:val="pl"/>
        </w:rPr>
        <w:t>(dec.), §§ 55</w:t>
      </w:r>
      <w:r>
        <w:rPr>
          <w:lang w:val="pl"/>
        </w:rPr>
        <w:noBreakHyphen/>
        <w:t>63, sprawa dotycząca zarzucanej dy</w:t>
      </w:r>
      <w:r w:rsidR="00C632BF">
        <w:rPr>
          <w:lang w:val="pl"/>
        </w:rPr>
        <w:t>skryminacji dzieci romskich). W </w:t>
      </w:r>
      <w:r>
        <w:rPr>
          <w:lang w:val="pl"/>
        </w:rPr>
        <w:t>sprawie</w:t>
      </w:r>
      <w:hyperlink r:id="rId538" w:history="1">
        <w:r>
          <w:rPr>
            <w:lang w:val="pl"/>
          </w:rPr>
          <w:t xml:space="preserve"> </w:t>
        </w:r>
        <w:r>
          <w:rPr>
            <w:i/>
            <w:iCs/>
            <w:color w:val="0072BC"/>
            <w:lang w:val="pl"/>
          </w:rPr>
          <w:t>Beizaras i Levickas</w:t>
        </w:r>
      </w:hyperlink>
      <w:r>
        <w:rPr>
          <w:i/>
          <w:iCs/>
          <w:color w:val="0072BC"/>
          <w:lang w:val="pl"/>
        </w:rPr>
        <w:t xml:space="preserve"> </w:t>
      </w:r>
      <w:hyperlink r:id="rId539" w:history="1">
        <w:r>
          <w:rPr>
            <w:i/>
            <w:iCs/>
            <w:color w:val="0072BC"/>
            <w:lang w:val="pl"/>
          </w:rPr>
          <w:t>p. Litwie</w:t>
        </w:r>
        <w:r>
          <w:rPr>
            <w:lang w:val="pl"/>
          </w:rPr>
          <w:t>,</w:t>
        </w:r>
      </w:hyperlink>
      <w:r>
        <w:rPr>
          <w:i/>
          <w:iCs/>
          <w:lang w:val="pl"/>
        </w:rPr>
        <w:t xml:space="preserve"> </w:t>
      </w:r>
      <w:r>
        <w:rPr>
          <w:lang w:val="pl"/>
        </w:rPr>
        <w:t xml:space="preserve">§§ 78-81, Trybunał orzekł, że organizacja pozarządowa, która nie wniosła skargi do Trybunału, mogła mimo to występować w roli przedstawiciela interesów skarżących w postępowaniu karnym przed sądami krajowymi, ponieważ owa organizacja powstała po to, aby możliwa była obrona, również przed sądem, osób, które doznały dyskryminacji. Trybunał wziął też pod uwagę, że reprezentowanie interesów skarżących przez organizację międzynarodową przed oskarżycielem i </w:t>
      </w:r>
      <w:bookmarkStart w:id="83" w:name="bookmark82"/>
      <w:r>
        <w:rPr>
          <w:lang w:val="pl"/>
        </w:rPr>
        <w:t xml:space="preserve">sądami krajowymi (w dwóch instancjach) nigdy wcześniej nie było w żaden sposób kwestionowane ani podważane (patrz też </w:t>
      </w:r>
      <w:hyperlink r:id="rId540" w:history="1">
        <w:r>
          <w:rPr>
            <w:i/>
            <w:iCs/>
            <w:color w:val="0072BC"/>
            <w:lang w:val="pl"/>
          </w:rPr>
          <w:t>Gorraiz Lizarraga i Inni p. Hiszpanii</w:t>
        </w:r>
        <w:r>
          <w:rPr>
            <w:lang w:val="pl"/>
          </w:rPr>
          <w:t>,</w:t>
        </w:r>
      </w:hyperlink>
      <w:r>
        <w:rPr>
          <w:lang w:val="pl"/>
        </w:rPr>
        <w:t xml:space="preserve"> §§ 37-39).</w:t>
      </w:r>
      <w:bookmarkEnd w:id="83"/>
    </w:p>
    <w:p w:rsidR="00B71A20" w:rsidRPr="000625F6" w:rsidRDefault="004306AF" w:rsidP="004306AF">
      <w:pPr>
        <w:pStyle w:val="Nagwek41"/>
        <w:keepNext/>
        <w:keepLines/>
        <w:tabs>
          <w:tab w:val="left" w:pos="359"/>
        </w:tabs>
        <w:jc w:val="both"/>
        <w:rPr>
          <w:lang w:val="pl-PL"/>
        </w:rPr>
      </w:pPr>
      <w:bookmarkStart w:id="84" w:name="_Toc126335626"/>
      <w:bookmarkStart w:id="85" w:name="_Toc126660580"/>
      <w:r>
        <w:rPr>
          <w:lang w:val="pl"/>
        </w:rPr>
        <w:t xml:space="preserve">b.  </w:t>
      </w:r>
      <w:r w:rsidR="000425B4">
        <w:rPr>
          <w:lang w:val="pl"/>
        </w:rPr>
        <w:t>Zgodność z przepisami i ograniczeniami krajowymi</w:t>
      </w:r>
      <w:bookmarkEnd w:id="84"/>
      <w:bookmarkEnd w:id="85"/>
    </w:p>
    <w:p w:rsidR="00B71A20" w:rsidRPr="000625F6" w:rsidRDefault="000425B4" w:rsidP="00115011">
      <w:pPr>
        <w:pStyle w:val="Teksttreci0"/>
        <w:numPr>
          <w:ilvl w:val="0"/>
          <w:numId w:val="23"/>
        </w:numPr>
        <w:tabs>
          <w:tab w:val="left" w:pos="399"/>
        </w:tabs>
        <w:jc w:val="both"/>
        <w:rPr>
          <w:lang w:val="pl-PL"/>
        </w:rPr>
      </w:pPr>
      <w:r>
        <w:rPr>
          <w:lang w:val="pl"/>
        </w:rPr>
        <w:t xml:space="preserve">Skarżący muszą postępować zgodnie z obowiązującymi zasadami i procedurami prawa krajowego; w przeciwnym razie powstaje ryzyko, że wnoszone przez nich skargi nie spełnią warunku określonego w art. 35 Konwencji </w:t>
      </w:r>
      <w:hyperlink r:id="rId541" w:history="1">
        <w:r>
          <w:rPr>
            <w:lang w:val="pl"/>
          </w:rPr>
          <w:t>(</w:t>
        </w:r>
        <w:r>
          <w:rPr>
            <w:i/>
            <w:iCs/>
            <w:color w:val="0072BC"/>
            <w:lang w:val="pl"/>
          </w:rPr>
          <w:t>Ben Salah Adraqui i</w:t>
        </w:r>
      </w:hyperlink>
      <w:r>
        <w:rPr>
          <w:i/>
          <w:iCs/>
          <w:color w:val="0072BC"/>
          <w:lang w:val="pl"/>
        </w:rPr>
        <w:t xml:space="preserve"> </w:t>
      </w:r>
      <w:hyperlink r:id="rId542" w:history="1">
        <w:r>
          <w:rPr>
            <w:i/>
            <w:iCs/>
            <w:color w:val="0072BC"/>
            <w:lang w:val="pl"/>
          </w:rPr>
          <w:t xml:space="preserve">Dhaime p. Hiszpanii </w:t>
        </w:r>
      </w:hyperlink>
      <w:r>
        <w:rPr>
          <w:lang w:val="pl"/>
        </w:rPr>
        <w:t>(dec.);</w:t>
      </w:r>
      <w:hyperlink r:id="rId543" w:history="1">
        <w:r>
          <w:rPr>
            <w:lang w:val="pl"/>
          </w:rPr>
          <w:t xml:space="preserve"> </w:t>
        </w:r>
        <w:r>
          <w:rPr>
            <w:i/>
            <w:iCs/>
            <w:color w:val="0072BC"/>
            <w:lang w:val="pl"/>
          </w:rPr>
          <w:t xml:space="preserve">Merger i Cros p. Francji </w:t>
        </w:r>
      </w:hyperlink>
      <w:r>
        <w:rPr>
          <w:lang w:val="pl"/>
        </w:rPr>
        <w:t>(dec.);</w:t>
      </w:r>
      <w:hyperlink r:id="rId544" w:history="1">
        <w:r>
          <w:rPr>
            <w:lang w:val="pl"/>
          </w:rPr>
          <w:t xml:space="preserve"> </w:t>
        </w:r>
        <w:r>
          <w:rPr>
            <w:i/>
            <w:iCs/>
            <w:color w:val="0072BC"/>
            <w:lang w:val="pl"/>
          </w:rPr>
          <w:t xml:space="preserve">MPP Golub p. Ukrainie </w:t>
        </w:r>
      </w:hyperlink>
      <w:r>
        <w:rPr>
          <w:lang w:val="pl"/>
        </w:rPr>
        <w:t>(dec.);</w:t>
      </w:r>
      <w:hyperlink r:id="rId545" w:history="1">
        <w:r>
          <w:rPr>
            <w:lang w:val="pl"/>
          </w:rPr>
          <w:t xml:space="preserve"> </w:t>
        </w:r>
        <w:r>
          <w:rPr>
            <w:i/>
            <w:iCs/>
            <w:color w:val="0072BC"/>
            <w:lang w:val="pl"/>
          </w:rPr>
          <w:t>Agbovi</w:t>
        </w:r>
      </w:hyperlink>
      <w:r>
        <w:rPr>
          <w:i/>
          <w:iCs/>
          <w:color w:val="0072BC"/>
          <w:lang w:val="pl"/>
        </w:rPr>
        <w:t xml:space="preserve"> </w:t>
      </w:r>
      <w:hyperlink r:id="rId546" w:history="1">
        <w:r>
          <w:rPr>
            <w:i/>
            <w:iCs/>
            <w:color w:val="0072BC"/>
            <w:lang w:val="pl"/>
          </w:rPr>
          <w:t xml:space="preserve">p. Niemcom </w:t>
        </w:r>
      </w:hyperlink>
      <w:r>
        <w:rPr>
          <w:lang w:val="pl"/>
        </w:rPr>
        <w:t>(dec.);</w:t>
      </w:r>
      <w:hyperlink r:id="rId547" w:history="1">
        <w:r>
          <w:rPr>
            <w:lang w:val="pl"/>
          </w:rPr>
          <w:t xml:space="preserve"> </w:t>
        </w:r>
        <w:r>
          <w:rPr>
            <w:i/>
            <w:iCs/>
            <w:color w:val="0072BC"/>
            <w:lang w:val="pl"/>
          </w:rPr>
          <w:t xml:space="preserve">Vučković i Inni p. Serbii </w:t>
        </w:r>
      </w:hyperlink>
      <w:r>
        <w:rPr>
          <w:lang w:val="pl"/>
        </w:rPr>
        <w:t xml:space="preserve">(zastrzeżenie wstępne) [WI], §§ 72 i 80). Wymogi art. 35 ust. 1 nie zostaną spełnione, jeżeli skarga nie zostanie przyjęta do rozpatrzenia z powodu błędu proceduralnego popełnionego przez skarżącego </w:t>
      </w:r>
      <w:hyperlink r:id="rId548" w:history="1">
        <w:r>
          <w:rPr>
            <w:lang w:val="pl"/>
          </w:rPr>
          <w:t>(</w:t>
        </w:r>
        <w:r>
          <w:rPr>
            <w:i/>
            <w:iCs/>
            <w:color w:val="0072BC"/>
            <w:lang w:val="pl"/>
          </w:rPr>
          <w:t xml:space="preserve">Gäfgen p. Niemcom </w:t>
        </w:r>
      </w:hyperlink>
      <w:r>
        <w:rPr>
          <w:lang w:val="pl"/>
        </w:rPr>
        <w:t xml:space="preserve">[WI], § 143). Jeśli rząd twierdzi, że skarżący nie dopełnił wymogów krajowych (np. wymogu wyczerpania zwykłych środków odwoławczych przed wniesieniem skargi konstytucyjnej), Trybunał musi sprawdzić, czy te wymogi nie obowiązywały wcześniej niż wymogi prawne wynikające z przepisów prawa lub ugruntowanego orzecznictwa </w:t>
      </w:r>
      <w:hyperlink r:id="rId549" w:history="1">
        <w:r>
          <w:rPr>
            <w:lang w:val="pl"/>
          </w:rPr>
          <w:t>(</w:t>
        </w:r>
        <w:r>
          <w:rPr>
            <w:i/>
            <w:iCs/>
            <w:color w:val="0072BC"/>
            <w:lang w:val="pl"/>
          </w:rPr>
          <w:t>Brincat</w:t>
        </w:r>
      </w:hyperlink>
      <w:r>
        <w:rPr>
          <w:i/>
          <w:iCs/>
          <w:color w:val="0072BC"/>
          <w:lang w:val="pl"/>
        </w:rPr>
        <w:t xml:space="preserve"> </w:t>
      </w:r>
      <w:hyperlink r:id="rId550" w:history="1">
        <w:r>
          <w:rPr>
            <w:i/>
            <w:iCs/>
            <w:color w:val="0072BC"/>
            <w:lang w:val="pl"/>
          </w:rPr>
          <w:t>i Inni p. Malcie</w:t>
        </w:r>
        <w:r>
          <w:rPr>
            <w:lang w:val="pl"/>
          </w:rPr>
          <w:t>,</w:t>
        </w:r>
      </w:hyperlink>
      <w:r>
        <w:rPr>
          <w:lang w:val="pl"/>
        </w:rPr>
        <w:t xml:space="preserve"> § 69;</w:t>
      </w:r>
      <w:hyperlink r:id="rId551" w:history="1">
        <w:r>
          <w:rPr>
            <w:i/>
            <w:iCs/>
            <w:lang w:val="pl"/>
          </w:rPr>
          <w:t xml:space="preserve"> </w:t>
        </w:r>
        <w:r>
          <w:rPr>
            <w:i/>
            <w:iCs/>
            <w:color w:val="0072BC"/>
            <w:lang w:val="pl"/>
          </w:rPr>
          <w:t>Pop-Ilić i Inni p. Serbii</w:t>
        </w:r>
        <w:r>
          <w:rPr>
            <w:lang w:val="pl"/>
          </w:rPr>
          <w:t>,</w:t>
        </w:r>
      </w:hyperlink>
      <w:r>
        <w:rPr>
          <w:lang w:val="pl"/>
        </w:rPr>
        <w:t xml:space="preserve"> § 42).</w:t>
      </w:r>
    </w:p>
    <w:p w:rsidR="00B71A20" w:rsidRPr="000625F6" w:rsidRDefault="000425B4" w:rsidP="00115011">
      <w:pPr>
        <w:pStyle w:val="Teksttreci0"/>
        <w:numPr>
          <w:ilvl w:val="0"/>
          <w:numId w:val="23"/>
        </w:numPr>
        <w:tabs>
          <w:tab w:val="left" w:pos="404"/>
        </w:tabs>
        <w:spacing w:after="220"/>
        <w:jc w:val="both"/>
        <w:rPr>
          <w:lang w:val="pl-PL"/>
        </w:rPr>
      </w:pPr>
      <w:bookmarkStart w:id="86" w:name="bookmark85"/>
      <w:r>
        <w:rPr>
          <w:lang w:val="pl"/>
        </w:rPr>
        <w:t xml:space="preserve">Należy jednak zauważyć, że jeśli sąd apelacyjny zbada przedmiot zarzutu, nawet jeśli uzna taki zarzut za niedopuszczalny, zgodność z art. 35 ust. 1 zostanie zachowana </w:t>
      </w:r>
      <w:hyperlink r:id="rId552" w:history="1">
        <w:r>
          <w:rPr>
            <w:lang w:val="pl"/>
          </w:rPr>
          <w:t>(</w:t>
        </w:r>
        <w:r>
          <w:rPr>
            <w:i/>
            <w:iCs/>
            <w:color w:val="0072BC"/>
            <w:lang w:val="pl"/>
          </w:rPr>
          <w:t>Voggenreiter p. Niemcom</w:t>
        </w:r>
        <w:r>
          <w:rPr>
            <w:lang w:val="pl"/>
          </w:rPr>
          <w:t>)</w:t>
        </w:r>
      </w:hyperlink>
      <w:r>
        <w:rPr>
          <w:lang w:val="pl"/>
        </w:rPr>
        <w:t xml:space="preserve">. Trybunał przyjmuje również, że wyczerpano dostępne środki odwoławcze, jeśli Trybunał Konstytucyjny uznał skargę za niedopuszczalną, a skarżący przedstawił wystarczające uzasadnienie merytoryczne skargi na domniemane naruszenie praw konwencyjnych </w:t>
      </w:r>
      <w:hyperlink r:id="rId553" w:history="1">
        <w:r>
          <w:rPr>
            <w:lang w:val="pl"/>
          </w:rPr>
          <w:t>(</w:t>
        </w:r>
        <w:r>
          <w:rPr>
            <w:i/>
            <w:iCs/>
            <w:color w:val="0072BC"/>
            <w:lang w:val="pl"/>
          </w:rPr>
          <w:t xml:space="preserve">Magyar Kétfarkú Kutya Párt p. Węgrom </w:t>
        </w:r>
      </w:hyperlink>
      <w:r>
        <w:rPr>
          <w:lang w:val="pl"/>
        </w:rPr>
        <w:t xml:space="preserve">[WI], </w:t>
      </w:r>
      <w:r>
        <w:rPr>
          <w:lang w:val="pl"/>
        </w:rPr>
        <w:lastRenderedPageBreak/>
        <w:t xml:space="preserve">§§ 53, 56-57 oraz cytowane tam odniesienia). Ma to również miejsce w przypadku skarżących, którzy nie działali zgodnie z procedurami przewidzianymi w prawie krajowym, jeżeli właściwy organ mimo to zbadał sprawę co do istoty </w:t>
      </w:r>
      <w:hyperlink r:id="rId554" w:history="1">
        <w:r>
          <w:rPr>
            <w:lang w:val="pl"/>
          </w:rPr>
          <w:t>(</w:t>
        </w:r>
        <w:r>
          <w:rPr>
            <w:i/>
            <w:iCs/>
            <w:color w:val="0072BC"/>
            <w:lang w:val="pl"/>
          </w:rPr>
          <w:t>Vladimir Romanov p. Rosji</w:t>
        </w:r>
        <w:r>
          <w:rPr>
            <w:lang w:val="pl"/>
          </w:rPr>
          <w:t>,</w:t>
        </w:r>
      </w:hyperlink>
      <w:r>
        <w:rPr>
          <w:lang w:val="pl"/>
        </w:rPr>
        <w:t xml:space="preserve"> § 52). To samo odnosi się do zarzutów sformułowanych w bardzo pobieżny sposób, ledwie spełniających wymogi prawne, w odniesieniu do których sąd orzekł co do przedmiotu sprawy, nie rozwodząc się nad nimi szczegółowo </w:t>
      </w:r>
      <w:hyperlink r:id="rId555" w:history="1">
        <w:r>
          <w:rPr>
            <w:lang w:val="pl"/>
          </w:rPr>
          <w:t>(</w:t>
        </w:r>
        <w:r>
          <w:rPr>
            <w:i/>
            <w:iCs/>
            <w:color w:val="0072BC"/>
            <w:lang w:val="pl"/>
          </w:rPr>
          <w:t>Verein gegen Tierfabriken Schweiz (VgT) p. Szwajcarii (nr 2)</w:t>
        </w:r>
      </w:hyperlink>
      <w:r>
        <w:rPr>
          <w:color w:val="0072BC"/>
          <w:lang w:val="pl"/>
        </w:rPr>
        <w:t xml:space="preserve"> </w:t>
      </w:r>
      <w:r>
        <w:rPr>
          <w:lang w:val="pl"/>
        </w:rPr>
        <w:t>[WI], §§ 43-45).</w:t>
      </w:r>
      <w:bookmarkEnd w:id="86"/>
    </w:p>
    <w:p w:rsidR="00B71A20" w:rsidRPr="004306AF" w:rsidRDefault="004306AF" w:rsidP="004306AF">
      <w:pPr>
        <w:pStyle w:val="Nagwek41"/>
        <w:keepNext/>
        <w:keepLines/>
        <w:tabs>
          <w:tab w:val="left" w:pos="359"/>
        </w:tabs>
        <w:jc w:val="both"/>
        <w:rPr>
          <w:lang w:val="pl-PL"/>
        </w:rPr>
      </w:pPr>
      <w:bookmarkStart w:id="87" w:name="_Toc126335627"/>
      <w:bookmarkStart w:id="88" w:name="_Toc126660581"/>
      <w:r>
        <w:rPr>
          <w:lang w:val="pl"/>
        </w:rPr>
        <w:t xml:space="preserve">c.  </w:t>
      </w:r>
      <w:r w:rsidR="000425B4">
        <w:rPr>
          <w:lang w:val="pl"/>
        </w:rPr>
        <w:t>Istnienie kilku środków odwoławczych</w:t>
      </w:r>
      <w:bookmarkEnd w:id="87"/>
      <w:bookmarkEnd w:id="88"/>
    </w:p>
    <w:p w:rsidR="00B71A20" w:rsidRPr="000625F6" w:rsidRDefault="000425B4" w:rsidP="00115011">
      <w:pPr>
        <w:pStyle w:val="Teksttreci0"/>
        <w:numPr>
          <w:ilvl w:val="0"/>
          <w:numId w:val="24"/>
        </w:numPr>
        <w:tabs>
          <w:tab w:val="left" w:pos="404"/>
        </w:tabs>
        <w:spacing w:after="220"/>
        <w:jc w:val="both"/>
        <w:rPr>
          <w:lang w:val="pl-PL"/>
        </w:rPr>
      </w:pPr>
      <w:bookmarkStart w:id="89" w:name="bookmark88"/>
      <w:r>
        <w:rPr>
          <w:lang w:val="pl"/>
        </w:rPr>
        <w:t xml:space="preserve">Jeżeli istnieje kilka potencjalnie skutecznych środków odwoławczych, skarżący jest jedynie zobowiązany do skorzystania z jednego z nich </w:t>
      </w:r>
      <w:hyperlink r:id="rId556" w:history="1">
        <w:r>
          <w:rPr>
            <w:lang w:val="pl"/>
          </w:rPr>
          <w:t>(</w:t>
        </w:r>
        <w:r>
          <w:rPr>
            <w:i/>
            <w:iCs/>
            <w:color w:val="0072BC"/>
            <w:lang w:val="pl"/>
          </w:rPr>
          <w:t xml:space="preserve">Moreira Barbosa p. Portugalii </w:t>
        </w:r>
      </w:hyperlink>
      <w:r>
        <w:rPr>
          <w:lang w:val="pl"/>
        </w:rPr>
        <w:t>(dec.);</w:t>
      </w:r>
      <w:hyperlink r:id="rId557" w:history="1">
        <w:r>
          <w:rPr>
            <w:i/>
            <w:iCs/>
            <w:lang w:val="pl"/>
          </w:rPr>
          <w:t xml:space="preserve"> </w:t>
        </w:r>
        <w:r w:rsidR="00C632BF">
          <w:rPr>
            <w:i/>
            <w:iCs/>
            <w:color w:val="0072BC"/>
            <w:lang w:val="pl"/>
          </w:rPr>
          <w:t>Jeličić p. Bośni i </w:t>
        </w:r>
        <w:r>
          <w:rPr>
            <w:i/>
            <w:iCs/>
            <w:color w:val="0072BC"/>
            <w:lang w:val="pl"/>
          </w:rPr>
          <w:t xml:space="preserve">Hercegowinie </w:t>
        </w:r>
      </w:hyperlink>
      <w:r>
        <w:rPr>
          <w:lang w:val="pl"/>
        </w:rPr>
        <w:t xml:space="preserve">(dec.); </w:t>
      </w:r>
      <w:hyperlink r:id="rId558" w:history="1">
        <w:r>
          <w:rPr>
            <w:i/>
            <w:iCs/>
            <w:color w:val="0072BC"/>
            <w:lang w:val="pl"/>
          </w:rPr>
          <w:t>Karakó p. Węgrom</w:t>
        </w:r>
        <w:r>
          <w:rPr>
            <w:lang w:val="pl"/>
          </w:rPr>
          <w:t>,</w:t>
        </w:r>
      </w:hyperlink>
      <w:r>
        <w:rPr>
          <w:lang w:val="pl"/>
        </w:rPr>
        <w:t xml:space="preserve"> § 14;</w:t>
      </w:r>
      <w:hyperlink r:id="rId559" w:history="1">
        <w:r>
          <w:rPr>
            <w:i/>
            <w:iCs/>
            <w:lang w:val="pl"/>
          </w:rPr>
          <w:t xml:space="preserve"> </w:t>
        </w:r>
        <w:r>
          <w:rPr>
            <w:i/>
            <w:iCs/>
            <w:color w:val="0072BC"/>
            <w:lang w:val="pl"/>
          </w:rPr>
          <w:t xml:space="preserve">Aquilina p. Malcie </w:t>
        </w:r>
      </w:hyperlink>
      <w:r>
        <w:rPr>
          <w:lang w:val="pl"/>
        </w:rPr>
        <w:t xml:space="preserve">[WI], § 39). Co więcej, w przypadku skorzystania z jednego środka odwoławczego wykorzystanie innego, który ma zasadniczo ten sam cel, nie jest wymagane </w:t>
      </w:r>
      <w:hyperlink r:id="rId560" w:history="1">
        <w:r>
          <w:rPr>
            <w:lang w:val="pl"/>
          </w:rPr>
          <w:t>(</w:t>
        </w:r>
        <w:r>
          <w:rPr>
            <w:i/>
            <w:iCs/>
            <w:color w:val="0072BC"/>
            <w:lang w:val="pl"/>
          </w:rPr>
          <w:t>Riad i</w:t>
        </w:r>
      </w:hyperlink>
      <w:r>
        <w:rPr>
          <w:i/>
          <w:iCs/>
          <w:color w:val="0072BC"/>
          <w:lang w:val="pl"/>
        </w:rPr>
        <w:t xml:space="preserve"> </w:t>
      </w:r>
      <w:hyperlink r:id="rId561" w:history="1">
        <w:r>
          <w:rPr>
            <w:i/>
            <w:iCs/>
            <w:color w:val="0072BC"/>
            <w:lang w:val="pl"/>
          </w:rPr>
          <w:t>Idiab p. Belgii</w:t>
        </w:r>
        <w:r>
          <w:rPr>
            <w:lang w:val="pl"/>
          </w:rPr>
          <w:t>,</w:t>
        </w:r>
      </w:hyperlink>
      <w:r>
        <w:rPr>
          <w:lang w:val="pl"/>
        </w:rPr>
        <w:t xml:space="preserve"> § 84;</w:t>
      </w:r>
      <w:hyperlink r:id="rId562" w:history="1">
        <w:r>
          <w:rPr>
            <w:i/>
            <w:iCs/>
            <w:lang w:val="pl"/>
          </w:rPr>
          <w:t xml:space="preserve"> </w:t>
        </w:r>
        <w:r>
          <w:rPr>
            <w:i/>
            <w:iCs/>
            <w:color w:val="0072BC"/>
            <w:lang w:val="pl"/>
          </w:rPr>
          <w:t xml:space="preserve">Kozacıoğlu p. Turcji </w:t>
        </w:r>
      </w:hyperlink>
      <w:r>
        <w:rPr>
          <w:lang w:val="pl"/>
        </w:rPr>
        <w:t>[WI], §§ 40 i nast.;</w:t>
      </w:r>
      <w:hyperlink r:id="rId563" w:history="1">
        <w:r>
          <w:rPr>
            <w:i/>
            <w:iCs/>
            <w:lang w:val="pl"/>
          </w:rPr>
          <w:t xml:space="preserve"> </w:t>
        </w:r>
        <w:r>
          <w:rPr>
            <w:i/>
            <w:iCs/>
            <w:color w:val="0072BC"/>
            <w:lang w:val="pl"/>
          </w:rPr>
          <w:t xml:space="preserve">Micallef p. Malcie </w:t>
        </w:r>
      </w:hyperlink>
      <w:r>
        <w:rPr>
          <w:lang w:val="pl"/>
        </w:rPr>
        <w:t>[WI], § 58;</w:t>
      </w:r>
      <w:hyperlink r:id="rId564" w:history="1">
        <w:r>
          <w:rPr>
            <w:i/>
            <w:iCs/>
            <w:lang w:val="pl"/>
          </w:rPr>
          <w:t xml:space="preserve"> </w:t>
        </w:r>
        <w:r>
          <w:rPr>
            <w:i/>
            <w:iCs/>
            <w:color w:val="0072BC"/>
            <w:lang w:val="pl"/>
          </w:rPr>
          <w:t>Lagutin</w:t>
        </w:r>
      </w:hyperlink>
      <w:r>
        <w:rPr>
          <w:i/>
          <w:iCs/>
          <w:color w:val="0072BC"/>
          <w:lang w:val="pl"/>
        </w:rPr>
        <w:t xml:space="preserve"> </w:t>
      </w:r>
      <w:hyperlink r:id="rId565" w:history="1">
        <w:r>
          <w:rPr>
            <w:i/>
            <w:iCs/>
            <w:color w:val="0072BC"/>
            <w:lang w:val="pl"/>
          </w:rPr>
          <w:t>i Inni p. Rosji</w:t>
        </w:r>
        <w:r>
          <w:rPr>
            <w:lang w:val="pl"/>
          </w:rPr>
          <w:t>,</w:t>
        </w:r>
      </w:hyperlink>
      <w:r>
        <w:rPr>
          <w:lang w:val="pl"/>
        </w:rPr>
        <w:t xml:space="preserve"> § 75;</w:t>
      </w:r>
      <w:hyperlink r:id="rId566" w:history="1">
        <w:r>
          <w:rPr>
            <w:i/>
            <w:iCs/>
            <w:lang w:val="pl"/>
          </w:rPr>
          <w:t xml:space="preserve"> </w:t>
        </w:r>
        <w:r>
          <w:rPr>
            <w:i/>
            <w:iCs/>
            <w:color w:val="0072BC"/>
            <w:lang w:val="pl"/>
          </w:rPr>
          <w:t xml:space="preserve">Nicolae Virgiliu Tănase p. Rumunii </w:t>
        </w:r>
      </w:hyperlink>
      <w:r>
        <w:rPr>
          <w:lang w:val="pl"/>
        </w:rPr>
        <w:t xml:space="preserve">[WI], § 177). Wybór najbardziej adekwatnego środka odwoławczego w danej sprawie należy do skarżącego </w:t>
      </w:r>
      <w:hyperlink r:id="rId567" w:history="1">
        <w:r>
          <w:rPr>
            <w:lang w:val="pl"/>
          </w:rPr>
          <w:t>(</w:t>
        </w:r>
        <w:r w:rsidR="00C632BF">
          <w:rPr>
            <w:i/>
            <w:iCs/>
            <w:color w:val="0072BC"/>
            <w:lang w:val="pl"/>
          </w:rPr>
          <w:t>Fabris i Parziale p. </w:t>
        </w:r>
        <w:r>
          <w:rPr>
            <w:i/>
            <w:iCs/>
            <w:color w:val="0072BC"/>
            <w:lang w:val="pl"/>
          </w:rPr>
          <w:t>Włochom</w:t>
        </w:r>
        <w:r>
          <w:rPr>
            <w:lang w:val="pl"/>
          </w:rPr>
          <w:t>,</w:t>
        </w:r>
      </w:hyperlink>
      <w:r>
        <w:rPr>
          <w:lang w:val="pl"/>
        </w:rPr>
        <w:t xml:space="preserve"> gdzie skarżący nie mógł wnieść pozwu na drodze cywilnej z powodu przerwania po upływie siedmiu lat postępowania karnego, do którego przystąpił wcześniej jako strona cywilna, §§ 49-59;</w:t>
      </w:r>
      <w:hyperlink r:id="rId568" w:history="1">
        <w:r>
          <w:rPr>
            <w:i/>
            <w:iCs/>
            <w:lang w:val="pl"/>
          </w:rPr>
          <w:t xml:space="preserve"> </w:t>
        </w:r>
        <w:r>
          <w:rPr>
            <w:i/>
            <w:iCs/>
            <w:color w:val="0072BC"/>
            <w:lang w:val="pl"/>
          </w:rPr>
          <w:t xml:space="preserve">O’Keeffe p. Irlandii </w:t>
        </w:r>
      </w:hyperlink>
      <w:r>
        <w:rPr>
          <w:lang w:val="pl"/>
        </w:rPr>
        <w:t xml:space="preserve">[WI], §§ 110-111; </w:t>
      </w:r>
      <w:hyperlink r:id="rId569" w:history="1">
        <w:r>
          <w:rPr>
            <w:i/>
            <w:iCs/>
            <w:color w:val="0072BC"/>
            <w:lang w:val="pl"/>
          </w:rPr>
          <w:t xml:space="preserve">Nicolae Virgiliu Tănase p. Rumunii </w:t>
        </w:r>
      </w:hyperlink>
      <w:r>
        <w:rPr>
          <w:lang w:val="pl"/>
        </w:rPr>
        <w:t xml:space="preserve">[WI], § 176, sprawa dotycząca decyzji skarżącego, aby przystąpić do postępowania karnego w roli strony cywilnej i nie wnosić odrębnego pozwu cywilnego). Podsumowując, jeżeli prawo krajowe przewiduje kilka równolegle dostępnych środków odwoławczych z różnych gałęzi prawa, skarżący, który dążył do uzyskania rekompensaty za zarzucane naruszenie Konwencji za pomocą jednego z tych środków, nie jest zobowiązany do skorzystania z innych, mających zasadniczo ten sam cel </w:t>
      </w:r>
      <w:hyperlink r:id="rId570" w:history="1">
        <w:r>
          <w:rPr>
            <w:lang w:val="pl"/>
          </w:rPr>
          <w:t>(</w:t>
        </w:r>
        <w:r>
          <w:rPr>
            <w:i/>
            <w:iCs/>
            <w:color w:val="0072BC"/>
            <w:lang w:val="pl"/>
          </w:rPr>
          <w:t>Jasinskis p. Łotwie</w:t>
        </w:r>
        <w:r>
          <w:rPr>
            <w:lang w:val="pl"/>
          </w:rPr>
          <w:t>,</w:t>
        </w:r>
      </w:hyperlink>
      <w:r>
        <w:rPr>
          <w:lang w:val="pl"/>
        </w:rPr>
        <w:t xml:space="preserve"> §§ 50 i 53-54). Odmienny przykład (różne poziomy skuteczności skarg wniesionych przed federalny Trybunał Konstytucyjny i przed trybunał konstytucyjny jednego z podmiotów tworzących federację) stanowi sprawa</w:t>
      </w:r>
      <w:hyperlink r:id="rId571" w:history="1">
        <w:r>
          <w:rPr>
            <w:lang w:val="pl"/>
          </w:rPr>
          <w:t xml:space="preserve"> </w:t>
        </w:r>
        <w:r>
          <w:rPr>
            <w:i/>
            <w:iCs/>
            <w:color w:val="0072BC"/>
            <w:lang w:val="pl"/>
          </w:rPr>
          <w:t>Kohler</w:t>
        </w:r>
      </w:hyperlink>
      <w:r>
        <w:rPr>
          <w:i/>
          <w:iCs/>
          <w:color w:val="0072BC"/>
          <w:lang w:val="pl"/>
        </w:rPr>
        <w:t xml:space="preserve"> </w:t>
      </w:r>
      <w:hyperlink r:id="rId572" w:history="1">
        <w:r>
          <w:rPr>
            <w:i/>
            <w:iCs/>
            <w:color w:val="0072BC"/>
            <w:lang w:val="pl"/>
          </w:rPr>
          <w:t xml:space="preserve">p. Niemcom </w:t>
        </w:r>
      </w:hyperlink>
      <w:r>
        <w:rPr>
          <w:lang w:val="pl"/>
        </w:rPr>
        <w:t>(dec.), §§ 67-74.</w:t>
      </w:r>
      <w:bookmarkEnd w:id="89"/>
    </w:p>
    <w:p w:rsidR="00B71A20" w:rsidRPr="000C0D15" w:rsidRDefault="000C0D15" w:rsidP="000C0D15">
      <w:pPr>
        <w:pStyle w:val="Nagwek41"/>
        <w:keepNext/>
        <w:keepLines/>
        <w:tabs>
          <w:tab w:val="left" w:pos="359"/>
        </w:tabs>
        <w:jc w:val="both"/>
        <w:rPr>
          <w:lang w:val="pl-PL"/>
        </w:rPr>
      </w:pPr>
      <w:bookmarkStart w:id="90" w:name="_Toc126335628"/>
      <w:bookmarkStart w:id="91" w:name="_Toc126660582"/>
      <w:r>
        <w:rPr>
          <w:lang w:val="pl"/>
        </w:rPr>
        <w:t xml:space="preserve">d.  </w:t>
      </w:r>
      <w:r w:rsidR="000425B4">
        <w:rPr>
          <w:lang w:val="pl"/>
        </w:rPr>
        <w:t>Skarga wniesiona co do istoty</w:t>
      </w:r>
      <w:bookmarkEnd w:id="90"/>
      <w:bookmarkEnd w:id="91"/>
    </w:p>
    <w:p w:rsidR="00B71A20" w:rsidRPr="000625F6" w:rsidRDefault="000425B4" w:rsidP="00115011">
      <w:pPr>
        <w:pStyle w:val="Teksttreci0"/>
        <w:numPr>
          <w:ilvl w:val="0"/>
          <w:numId w:val="25"/>
        </w:numPr>
        <w:tabs>
          <w:tab w:val="left" w:pos="394"/>
        </w:tabs>
        <w:jc w:val="both"/>
        <w:rPr>
          <w:lang w:val="pl-PL"/>
        </w:rPr>
      </w:pPr>
      <w:r>
        <w:rPr>
          <w:lang w:val="pl"/>
        </w:rPr>
        <w:t xml:space="preserve">W postępowaniu krajowym wyraźne odwołanie się do prawa określonego w Konwencji nie jest konieczne, pod warunkiem że skarga została wniesiona „przynajmniej co do istoty” </w:t>
      </w:r>
      <w:hyperlink r:id="rId573" w:history="1">
        <w:r>
          <w:rPr>
            <w:lang w:val="pl"/>
          </w:rPr>
          <w:t>(</w:t>
        </w:r>
        <w:r w:rsidR="00C632BF">
          <w:rPr>
            <w:i/>
            <w:iCs/>
            <w:color w:val="0072BC"/>
            <w:lang w:val="pl"/>
          </w:rPr>
          <w:t>Castells p. </w:t>
        </w:r>
        <w:r>
          <w:rPr>
            <w:i/>
            <w:iCs/>
            <w:color w:val="0072BC"/>
            <w:lang w:val="pl"/>
          </w:rPr>
          <w:t>Hiszpanii</w:t>
        </w:r>
        <w:r>
          <w:rPr>
            <w:lang w:val="pl"/>
          </w:rPr>
          <w:t>,</w:t>
        </w:r>
      </w:hyperlink>
      <w:r>
        <w:rPr>
          <w:lang w:val="pl"/>
        </w:rPr>
        <w:t xml:space="preserve"> § 32;</w:t>
      </w:r>
      <w:hyperlink r:id="rId574" w:history="1">
        <w:r>
          <w:rPr>
            <w:lang w:val="pl"/>
          </w:rPr>
          <w:t xml:space="preserve"> </w:t>
        </w:r>
        <w:r>
          <w:rPr>
            <w:i/>
            <w:iCs/>
            <w:color w:val="0072BC"/>
            <w:lang w:val="pl"/>
          </w:rPr>
          <w:t>Ahmet Sadik</w:t>
        </w:r>
      </w:hyperlink>
      <w:r>
        <w:rPr>
          <w:i/>
          <w:iCs/>
          <w:color w:val="0072BC"/>
          <w:lang w:val="pl"/>
        </w:rPr>
        <w:t xml:space="preserve"> </w:t>
      </w:r>
      <w:hyperlink r:id="rId575" w:history="1">
        <w:r>
          <w:rPr>
            <w:i/>
            <w:iCs/>
            <w:color w:val="0072BC"/>
            <w:lang w:val="pl"/>
          </w:rPr>
          <w:t>p. Grecji</w:t>
        </w:r>
        <w:r>
          <w:rPr>
            <w:lang w:val="pl"/>
          </w:rPr>
          <w:t>,</w:t>
        </w:r>
      </w:hyperlink>
      <w:r>
        <w:rPr>
          <w:lang w:val="pl"/>
        </w:rPr>
        <w:t xml:space="preserve"> § 33;</w:t>
      </w:r>
      <w:hyperlink r:id="rId576" w:history="1">
        <w:r>
          <w:rPr>
            <w:lang w:val="pl"/>
          </w:rPr>
          <w:t xml:space="preserve"> </w:t>
        </w:r>
        <w:r>
          <w:rPr>
            <w:i/>
            <w:iCs/>
            <w:color w:val="0072BC"/>
            <w:lang w:val="pl"/>
          </w:rPr>
          <w:t xml:space="preserve">Fressoz i Roire p. Francji </w:t>
        </w:r>
      </w:hyperlink>
      <w:r>
        <w:rPr>
          <w:lang w:val="pl"/>
        </w:rPr>
        <w:t>[WI], § 38;</w:t>
      </w:r>
      <w:hyperlink r:id="rId577" w:history="1">
        <w:r>
          <w:rPr>
            <w:lang w:val="pl"/>
          </w:rPr>
          <w:t xml:space="preserve"> </w:t>
        </w:r>
        <w:r>
          <w:rPr>
            <w:i/>
            <w:iCs/>
            <w:color w:val="0072BC"/>
            <w:lang w:val="pl"/>
          </w:rPr>
          <w:t xml:space="preserve">Azinas p. Cyprowi </w:t>
        </w:r>
      </w:hyperlink>
      <w:r>
        <w:rPr>
          <w:lang w:val="pl"/>
        </w:rPr>
        <w:t>[WI], §§ 40-41;</w:t>
      </w:r>
      <w:hyperlink r:id="rId578" w:history="1">
        <w:r>
          <w:rPr>
            <w:lang w:val="pl"/>
          </w:rPr>
          <w:t xml:space="preserve"> </w:t>
        </w:r>
        <w:r>
          <w:rPr>
            <w:i/>
            <w:iCs/>
            <w:color w:val="0072BC"/>
            <w:lang w:val="pl"/>
          </w:rPr>
          <w:t>Vučković</w:t>
        </w:r>
      </w:hyperlink>
      <w:r>
        <w:rPr>
          <w:i/>
          <w:iCs/>
          <w:color w:val="0072BC"/>
          <w:lang w:val="pl"/>
        </w:rPr>
        <w:t xml:space="preserve"> </w:t>
      </w:r>
      <w:hyperlink r:id="rId579" w:history="1">
        <w:r>
          <w:rPr>
            <w:i/>
            <w:iCs/>
            <w:color w:val="0072BC"/>
            <w:lang w:val="pl"/>
          </w:rPr>
          <w:t xml:space="preserve">i Inni p. Serbii </w:t>
        </w:r>
      </w:hyperlink>
      <w:r>
        <w:rPr>
          <w:lang w:val="pl"/>
        </w:rPr>
        <w:t>(zastrzeżenie wstępne) [WI], §§ 72, 79 oraz 81-82;</w:t>
      </w:r>
      <w:hyperlink r:id="rId580" w:history="1">
        <w:r>
          <w:rPr>
            <w:lang w:val="pl"/>
          </w:rPr>
          <w:t xml:space="preserve"> </w:t>
        </w:r>
        <w:r w:rsidR="00A36163">
          <w:rPr>
            <w:i/>
            <w:iCs/>
            <w:color w:val="0072BC"/>
            <w:lang w:val="pl"/>
          </w:rPr>
          <w:t>Platini p. </w:t>
        </w:r>
        <w:r>
          <w:rPr>
            <w:i/>
            <w:iCs/>
            <w:color w:val="0072BC"/>
            <w:lang w:val="pl"/>
          </w:rPr>
          <w:t xml:space="preserve">Szwajcarii </w:t>
        </w:r>
      </w:hyperlink>
      <w:r>
        <w:rPr>
          <w:lang w:val="pl"/>
        </w:rPr>
        <w:t xml:space="preserve">(dec.), § 51; </w:t>
      </w:r>
      <w:hyperlink r:id="rId581" w:history="1">
        <w:r>
          <w:rPr>
            <w:i/>
            <w:iCs/>
            <w:color w:val="0072BC"/>
            <w:lang w:val="pl"/>
          </w:rPr>
          <w:t>Kemal Çetin p. Turcji</w:t>
        </w:r>
        <w:r>
          <w:rPr>
            <w:lang w:val="pl"/>
          </w:rPr>
          <w:t>,</w:t>
        </w:r>
      </w:hyperlink>
      <w:r>
        <w:rPr>
          <w:lang w:val="pl"/>
        </w:rPr>
        <w:t xml:space="preserve"> §§ 28-30). Oznacza to, że w przypadku gdy skarżący nie powołał się na postanowienia Konwencji, musi on podnieść argumenty o tym samym lub podobnym skutku na podstawie prawa krajowego, aby w pierwszej kolejności dać sądom krajowym możliwość naprawienia zarzucanego naruszenia </w:t>
      </w:r>
      <w:hyperlink r:id="rId582" w:history="1">
        <w:r>
          <w:rPr>
            <w:lang w:val="pl"/>
          </w:rPr>
          <w:t>(</w:t>
        </w:r>
        <w:r>
          <w:rPr>
            <w:i/>
            <w:iCs/>
            <w:color w:val="0072BC"/>
            <w:lang w:val="pl"/>
          </w:rPr>
          <w:t xml:space="preserve">Gäfgen p. Niemcom </w:t>
        </w:r>
      </w:hyperlink>
      <w:r>
        <w:rPr>
          <w:lang w:val="pl"/>
        </w:rPr>
        <w:t>[WI], §§ 142, 144 i 146;</w:t>
      </w:r>
      <w:hyperlink r:id="rId583" w:history="1">
        <w:r>
          <w:rPr>
            <w:i/>
            <w:iCs/>
            <w:lang w:val="pl"/>
          </w:rPr>
          <w:t xml:space="preserve"> </w:t>
        </w:r>
        <w:r>
          <w:rPr>
            <w:i/>
            <w:iCs/>
            <w:color w:val="0072BC"/>
            <w:lang w:val="pl"/>
          </w:rPr>
          <w:t>Radomilja i Inni</w:t>
        </w:r>
      </w:hyperlink>
      <w:r>
        <w:rPr>
          <w:i/>
          <w:iCs/>
          <w:color w:val="0072BC"/>
          <w:lang w:val="pl"/>
        </w:rPr>
        <w:t xml:space="preserve"> </w:t>
      </w:r>
      <w:hyperlink r:id="rId584" w:history="1">
        <w:r w:rsidR="00A36163">
          <w:rPr>
            <w:i/>
            <w:iCs/>
            <w:color w:val="0072BC"/>
            <w:lang w:val="pl"/>
          </w:rPr>
          <w:t>p. </w:t>
        </w:r>
        <w:r>
          <w:rPr>
            <w:i/>
            <w:iCs/>
            <w:color w:val="0072BC"/>
            <w:lang w:val="pl"/>
          </w:rPr>
          <w:t xml:space="preserve">Chorwacji </w:t>
        </w:r>
      </w:hyperlink>
      <w:r>
        <w:rPr>
          <w:lang w:val="pl"/>
        </w:rPr>
        <w:t>[WI], § 117;</w:t>
      </w:r>
      <w:hyperlink r:id="rId585" w:history="1">
        <w:r>
          <w:rPr>
            <w:i/>
            <w:iCs/>
            <w:lang w:val="pl"/>
          </w:rPr>
          <w:t xml:space="preserve"> </w:t>
        </w:r>
        <w:r>
          <w:rPr>
            <w:i/>
            <w:iCs/>
            <w:color w:val="0072BC"/>
            <w:lang w:val="pl"/>
          </w:rPr>
          <w:t>Karapanagiotou i Inni p. Grecji</w:t>
        </w:r>
        <w:r>
          <w:rPr>
            <w:lang w:val="pl"/>
          </w:rPr>
          <w:t>,</w:t>
        </w:r>
      </w:hyperlink>
      <w:r>
        <w:rPr>
          <w:lang w:val="pl"/>
        </w:rPr>
        <w:t xml:space="preserve"> § 29;</w:t>
      </w:r>
      <w:hyperlink r:id="rId586" w:history="1">
        <w:r>
          <w:rPr>
            <w:i/>
            <w:iCs/>
            <w:lang w:val="pl"/>
          </w:rPr>
          <w:t xml:space="preserve"> </w:t>
        </w:r>
        <w:r>
          <w:rPr>
            <w:i/>
            <w:iCs/>
            <w:color w:val="0072BC"/>
            <w:lang w:val="pl"/>
          </w:rPr>
          <w:t>Marić p. Chorwacji</w:t>
        </w:r>
        <w:r>
          <w:rPr>
            <w:lang w:val="pl"/>
          </w:rPr>
          <w:t>,</w:t>
        </w:r>
      </w:hyperlink>
      <w:r>
        <w:rPr>
          <w:lang w:val="pl"/>
        </w:rPr>
        <w:t xml:space="preserve"> § 53;</w:t>
      </w:r>
      <w:hyperlink r:id="rId587" w:history="1">
        <w:r>
          <w:rPr>
            <w:i/>
            <w:iCs/>
            <w:lang w:val="pl"/>
          </w:rPr>
          <w:t xml:space="preserve"> </w:t>
        </w:r>
        <w:r>
          <w:rPr>
            <w:i/>
            <w:iCs/>
            <w:color w:val="0072BC"/>
            <w:lang w:val="pl"/>
          </w:rPr>
          <w:t>Portu</w:t>
        </w:r>
      </w:hyperlink>
      <w:r>
        <w:rPr>
          <w:i/>
          <w:iCs/>
          <w:color w:val="0072BC"/>
          <w:lang w:val="pl"/>
        </w:rPr>
        <w:t xml:space="preserve"> </w:t>
      </w:r>
      <w:hyperlink r:id="rId588" w:history="1">
        <w:r w:rsidR="00C632BF">
          <w:rPr>
            <w:i/>
            <w:iCs/>
            <w:color w:val="0072BC"/>
            <w:lang w:val="pl"/>
          </w:rPr>
          <w:t>Juanenea i </w:t>
        </w:r>
        <w:r>
          <w:rPr>
            <w:i/>
            <w:iCs/>
            <w:color w:val="0072BC"/>
            <w:lang w:val="pl"/>
          </w:rPr>
          <w:t>Sarasola Yarzabal p. Hiszpanii</w:t>
        </w:r>
        <w:r>
          <w:rPr>
            <w:lang w:val="pl"/>
          </w:rPr>
          <w:t xml:space="preserve">, </w:t>
        </w:r>
      </w:hyperlink>
      <w:r>
        <w:rPr>
          <w:lang w:val="pl"/>
        </w:rPr>
        <w:t>§§ 62-63;</w:t>
      </w:r>
      <w:hyperlink r:id="rId589" w:history="1">
        <w:r>
          <w:rPr>
            <w:i/>
            <w:iCs/>
            <w:lang w:val="pl"/>
          </w:rPr>
          <w:t xml:space="preserve"> </w:t>
        </w:r>
        <w:r>
          <w:rPr>
            <w:i/>
            <w:iCs/>
            <w:color w:val="0072BC"/>
            <w:lang w:val="pl"/>
          </w:rPr>
          <w:t>Rodina p. Łotwie</w:t>
        </w:r>
        <w:r>
          <w:rPr>
            <w:lang w:val="pl"/>
          </w:rPr>
          <w:t>,</w:t>
        </w:r>
        <w:r>
          <w:rPr>
            <w:i/>
            <w:iCs/>
            <w:lang w:val="pl"/>
          </w:rPr>
          <w:t xml:space="preserve"> </w:t>
        </w:r>
      </w:hyperlink>
      <w:r>
        <w:rPr>
          <w:lang w:val="pl"/>
        </w:rPr>
        <w:t>§§ 81-83; oraz, w odniesieniu do zarzutu, który nie został podniesiony, nawet w sposób dorozumiany, w ostatniej instancji,</w:t>
      </w:r>
      <w:hyperlink r:id="rId590" w:history="1">
        <w:r>
          <w:rPr>
            <w:i/>
            <w:iCs/>
            <w:lang w:val="pl"/>
          </w:rPr>
          <w:t xml:space="preserve"> </w:t>
        </w:r>
        <w:r>
          <w:rPr>
            <w:i/>
            <w:iCs/>
            <w:color w:val="0072BC"/>
            <w:lang w:val="pl"/>
          </w:rPr>
          <w:t>Association Les</w:t>
        </w:r>
      </w:hyperlink>
      <w:r>
        <w:rPr>
          <w:i/>
          <w:iCs/>
          <w:color w:val="0072BC"/>
          <w:lang w:val="pl"/>
        </w:rPr>
        <w:t xml:space="preserve"> </w:t>
      </w:r>
      <w:hyperlink r:id="rId591" w:history="1">
        <w:r>
          <w:rPr>
            <w:i/>
            <w:iCs/>
            <w:color w:val="0072BC"/>
            <w:lang w:val="pl"/>
          </w:rPr>
          <w:t xml:space="preserve">témoins de Jéhovah p. Francji </w:t>
        </w:r>
      </w:hyperlink>
      <w:r>
        <w:rPr>
          <w:lang w:val="pl"/>
        </w:rPr>
        <w:t>(dec.);</w:t>
      </w:r>
      <w:hyperlink r:id="rId592" w:history="1">
        <w:r>
          <w:rPr>
            <w:i/>
            <w:iCs/>
            <w:lang w:val="pl"/>
          </w:rPr>
          <w:t xml:space="preserve"> </w:t>
        </w:r>
        <w:r>
          <w:rPr>
            <w:i/>
            <w:iCs/>
            <w:color w:val="0072BC"/>
            <w:lang w:val="pl"/>
          </w:rPr>
          <w:t xml:space="preserve">Nicklinson i Lamb p. Wielkiej Brytanii </w:t>
        </w:r>
      </w:hyperlink>
      <w:r>
        <w:rPr>
          <w:lang w:val="pl"/>
        </w:rPr>
        <w:t xml:space="preserve">(dec.), §§ 89-94; </w:t>
      </w:r>
      <w:hyperlink r:id="rId593" w:history="1">
        <w:r w:rsidR="00C632BF">
          <w:rPr>
            <w:i/>
            <w:iCs/>
            <w:color w:val="0072BC"/>
            <w:lang w:val="pl"/>
          </w:rPr>
          <w:t>Peacock p. </w:t>
        </w:r>
        <w:r>
          <w:rPr>
            <w:i/>
            <w:iCs/>
            <w:color w:val="0072BC"/>
            <w:lang w:val="pl"/>
          </w:rPr>
          <w:t xml:space="preserve">Wielkiej Brytanii </w:t>
        </w:r>
      </w:hyperlink>
      <w:r>
        <w:rPr>
          <w:lang w:val="pl"/>
        </w:rPr>
        <w:t xml:space="preserve">(dec.), §§ 32-41). Nie wystarczy, że skarżący mógł wykorzystać środek odwoławczy, który mógłby zostać wymierzony w zarzucane działanie na innej podstawie, niepowiązanej z zarzutem naruszenia prawa konwencyjnego. Aby nastąpiło wyczerpanie „skutecznych środków odwoławczych”, musi dojść do wniesienia skargi konwencyjnej na szczeblu krajowym </w:t>
      </w:r>
      <w:hyperlink r:id="rId594" w:history="1">
        <w:r>
          <w:rPr>
            <w:lang w:val="pl"/>
          </w:rPr>
          <w:t>(</w:t>
        </w:r>
        <w:r>
          <w:rPr>
            <w:i/>
            <w:iCs/>
            <w:color w:val="0072BC"/>
            <w:lang w:val="pl"/>
          </w:rPr>
          <w:t xml:space="preserve">Vučković i Inni p. Serbii </w:t>
        </w:r>
      </w:hyperlink>
      <w:r>
        <w:rPr>
          <w:lang w:val="pl"/>
        </w:rPr>
        <w:t>(zastrzeżenie wstępne) [WI], § 75;</w:t>
      </w:r>
      <w:hyperlink r:id="rId595" w:history="1">
        <w:r>
          <w:rPr>
            <w:i/>
            <w:iCs/>
            <w:lang w:val="pl"/>
          </w:rPr>
          <w:t xml:space="preserve"> </w:t>
        </w:r>
        <w:r>
          <w:rPr>
            <w:i/>
            <w:iCs/>
            <w:color w:val="0072BC"/>
            <w:lang w:val="pl"/>
          </w:rPr>
          <w:t>Nicklinson i Lamb</w:t>
        </w:r>
      </w:hyperlink>
      <w:r>
        <w:rPr>
          <w:i/>
          <w:iCs/>
          <w:color w:val="0072BC"/>
          <w:lang w:val="pl"/>
        </w:rPr>
        <w:t xml:space="preserve"> </w:t>
      </w:r>
      <w:hyperlink r:id="rId596" w:history="1">
        <w:r>
          <w:rPr>
            <w:i/>
            <w:iCs/>
            <w:color w:val="0072BC"/>
            <w:lang w:val="pl"/>
          </w:rPr>
          <w:t xml:space="preserve">p. Wielkiej Brytanii </w:t>
        </w:r>
      </w:hyperlink>
      <w:r>
        <w:rPr>
          <w:lang w:val="pl"/>
        </w:rPr>
        <w:t xml:space="preserve">(dec.), § 90). Skarżący nie jest zwolniony z tego obowiązku nawet w sytuacji, gdy sądy krajowe mogły albo wręcz musiały zbadać sprawę z urzędu na mocy Konwencji </w:t>
      </w:r>
      <w:hyperlink r:id="rId597" w:history="1">
        <w:r>
          <w:rPr>
            <w:lang w:val="pl"/>
          </w:rPr>
          <w:t>(</w:t>
        </w:r>
        <w:r>
          <w:rPr>
            <w:i/>
            <w:iCs/>
            <w:color w:val="0072BC"/>
            <w:lang w:val="pl"/>
          </w:rPr>
          <w:t>Van Oosterwijck p. Belgii</w:t>
        </w:r>
        <w:r>
          <w:rPr>
            <w:lang w:val="pl"/>
          </w:rPr>
          <w:t>,</w:t>
        </w:r>
      </w:hyperlink>
      <w:r>
        <w:rPr>
          <w:lang w:val="pl"/>
        </w:rPr>
        <w:t xml:space="preserve"> § 39;</w:t>
      </w:r>
      <w:hyperlink r:id="rId598" w:history="1">
        <w:r>
          <w:rPr>
            <w:i/>
            <w:iCs/>
            <w:lang w:val="pl"/>
          </w:rPr>
          <w:t xml:space="preserve"> </w:t>
        </w:r>
        <w:r>
          <w:rPr>
            <w:i/>
            <w:iCs/>
            <w:color w:val="0072BC"/>
            <w:lang w:val="pl"/>
          </w:rPr>
          <w:t xml:space="preserve">Gaziyev p. Azerbejdżanowi </w:t>
        </w:r>
      </w:hyperlink>
      <w:r>
        <w:rPr>
          <w:lang w:val="pl"/>
        </w:rPr>
        <w:t>(dec.)).</w:t>
      </w:r>
    </w:p>
    <w:p w:rsidR="00B71A20" w:rsidRPr="000625F6" w:rsidRDefault="000425B4">
      <w:pPr>
        <w:pStyle w:val="Teksttreci0"/>
        <w:jc w:val="both"/>
        <w:rPr>
          <w:lang w:val="pl-PL"/>
        </w:rPr>
      </w:pPr>
      <w:r>
        <w:rPr>
          <w:lang w:val="pl"/>
        </w:rPr>
        <w:t xml:space="preserve">Podsumowując, sam fakt, że skarżący wniósł sprawę do właściwego sądu, nie stanowi o spełnieniu wymogów określonych w art. 35 ust. 1, jako że nawet w jurysdykcjach, w których sądy krajowe mogą albo wręcz muszą zbadać sprawę z urzędu, skarżący nie są zwolnieni z obowiązku podniesienia przed </w:t>
      </w:r>
      <w:r>
        <w:rPr>
          <w:lang w:val="pl"/>
        </w:rPr>
        <w:lastRenderedPageBreak/>
        <w:t xml:space="preserve">tymi sądami zarzutu wniesionego następnie do Trybunału. Zatem do tego, aby nastąpiło skuteczne wyczerpanie krajowych środków odwoławczych, nie wystarczy „ewidentny” charakter naruszenia Konwencji wynikający z okoliczności sprawy lub oświadczeń skarżącego. Zamiast tego skarżący musi zaskarżyć naruszenie (w sposób wyraźny lub co do istoty), nie pozostawiając wątpliwości, że ta sama skarga, która została skierowana do Trybunału, została wcześniej rzeczywiście podniesiona na szczeblu krajowym </w:t>
      </w:r>
      <w:hyperlink r:id="rId599" w:history="1">
        <w:r>
          <w:rPr>
            <w:lang w:val="pl"/>
          </w:rPr>
          <w:t>(</w:t>
        </w:r>
        <w:r>
          <w:rPr>
            <w:i/>
            <w:iCs/>
            <w:color w:val="0072BC"/>
            <w:lang w:val="pl"/>
          </w:rPr>
          <w:t>Farzaliyev p. Azerbejdżanowi</w:t>
        </w:r>
        <w:r>
          <w:rPr>
            <w:lang w:val="pl"/>
          </w:rPr>
          <w:t>,</w:t>
        </w:r>
      </w:hyperlink>
      <w:r>
        <w:rPr>
          <w:lang w:val="pl"/>
        </w:rPr>
        <w:t xml:space="preserve"> § 55;</w:t>
      </w:r>
      <w:hyperlink r:id="rId600" w:history="1">
        <w:r>
          <w:rPr>
            <w:i/>
            <w:iCs/>
            <w:lang w:val="pl"/>
          </w:rPr>
          <w:t xml:space="preserve"> </w:t>
        </w:r>
        <w:r>
          <w:rPr>
            <w:i/>
            <w:iCs/>
            <w:color w:val="0072BC"/>
            <w:lang w:val="pl"/>
          </w:rPr>
          <w:t>Peacock p. Wielkiej Brytanii</w:t>
        </w:r>
      </w:hyperlink>
      <w:r>
        <w:rPr>
          <w:i/>
          <w:iCs/>
          <w:color w:val="0072BC"/>
          <w:lang w:val="pl"/>
        </w:rPr>
        <w:t xml:space="preserve"> </w:t>
      </w:r>
      <w:r>
        <w:rPr>
          <w:lang w:val="pl"/>
        </w:rPr>
        <w:t>(dec.), § 38).</w:t>
      </w:r>
    </w:p>
    <w:p w:rsidR="00B71A20" w:rsidRPr="000625F6" w:rsidRDefault="000425B4">
      <w:pPr>
        <w:pStyle w:val="Teksttreci0"/>
        <w:spacing w:after="220"/>
        <w:jc w:val="both"/>
        <w:rPr>
          <w:lang w:val="pl-PL"/>
        </w:rPr>
      </w:pPr>
      <w:bookmarkStart w:id="92" w:name="bookmark91"/>
      <w:r>
        <w:rPr>
          <w:lang w:val="pl"/>
        </w:rPr>
        <w:t xml:space="preserve">Przykładowo, gdy skarżący zarzuca brak skutecznego postępowania przygotowawczego w sprawie karnej na podstawie art. 2 lub 3 Konwencji w jego aspekcie proceduralnym, dla zachowania zgodności z art. 35 ust. 1 Konwencji – w tym w odniesieniu do argumentów prawnych niepodniesionych jednoznacznie na szczeblu krajowym – wystarczy, aby skarżący podważył skuteczność tego postępowania przygotowawczego przed właściwym sądem krajowym, odnosząc się przy tym do istotnych elementów faktycznych przez szczegółowe opisanie przebiegu i trwania owego postępowania oraz późniejszego postępowania sądowego, aby rzeczony sąd mógł ocenić skuteczność postępowania przygotowawczego </w:t>
      </w:r>
      <w:hyperlink r:id="rId601" w:history="1">
        <w:r>
          <w:rPr>
            <w:lang w:val="pl"/>
          </w:rPr>
          <w:t>(</w:t>
        </w:r>
        <w:r>
          <w:rPr>
            <w:i/>
            <w:iCs/>
            <w:color w:val="0072BC"/>
            <w:lang w:val="pl"/>
          </w:rPr>
          <w:t xml:space="preserve">Hanan p. Niemcom </w:t>
        </w:r>
      </w:hyperlink>
      <w:r>
        <w:rPr>
          <w:lang w:val="pl"/>
        </w:rPr>
        <w:t>[WI], §§ 149-151).</w:t>
      </w:r>
      <w:bookmarkEnd w:id="92"/>
    </w:p>
    <w:p w:rsidR="00B71A20" w:rsidRDefault="000C0D15" w:rsidP="000C0D15">
      <w:pPr>
        <w:pStyle w:val="Nagwek41"/>
        <w:keepNext/>
        <w:keepLines/>
        <w:tabs>
          <w:tab w:val="left" w:pos="363"/>
        </w:tabs>
        <w:jc w:val="both"/>
      </w:pPr>
      <w:bookmarkStart w:id="93" w:name="_Toc126335629"/>
      <w:bookmarkStart w:id="94" w:name="_Toc126660583"/>
      <w:r>
        <w:rPr>
          <w:lang w:val="pl"/>
        </w:rPr>
        <w:t xml:space="preserve">e.  </w:t>
      </w:r>
      <w:r w:rsidR="000425B4">
        <w:rPr>
          <w:lang w:val="pl"/>
        </w:rPr>
        <w:t>Istnienie i adekwatność</w:t>
      </w:r>
      <w:bookmarkEnd w:id="93"/>
      <w:bookmarkEnd w:id="94"/>
    </w:p>
    <w:p w:rsidR="00B71A20" w:rsidRPr="000625F6" w:rsidRDefault="000425B4" w:rsidP="00115011">
      <w:pPr>
        <w:pStyle w:val="Teksttreci0"/>
        <w:numPr>
          <w:ilvl w:val="0"/>
          <w:numId w:val="26"/>
        </w:numPr>
        <w:tabs>
          <w:tab w:val="left" w:pos="404"/>
        </w:tabs>
        <w:jc w:val="both"/>
        <w:rPr>
          <w:lang w:val="pl-PL"/>
        </w:rPr>
      </w:pPr>
      <w:r>
        <w:rPr>
          <w:lang w:val="pl"/>
        </w:rPr>
        <w:t xml:space="preserve">Skarżący są zobowiązani do wyczerpania jedynie tych krajowych środków odwoławczych, które mają w teorii i w praktyce do dyspozycji w danym czasie oraz które sami mogą bezpośrednio wnosić, tj. takich środków, które są dostępne, zapewniają możliwość uzyskania rekompensaty w odniesieniu do skarg i mają uzasadnione szanse powodzenia </w:t>
      </w:r>
      <w:hyperlink r:id="rId602" w:history="1">
        <w:r>
          <w:rPr>
            <w:lang w:val="pl"/>
          </w:rPr>
          <w:t>(</w:t>
        </w:r>
        <w:r>
          <w:rPr>
            <w:i/>
            <w:iCs/>
            <w:color w:val="0072BC"/>
            <w:lang w:val="pl"/>
          </w:rPr>
          <w:t xml:space="preserve">Sejdovic p. Włochom </w:t>
        </w:r>
      </w:hyperlink>
      <w:r>
        <w:rPr>
          <w:lang w:val="pl"/>
        </w:rPr>
        <w:t>[WI], § 46;</w:t>
      </w:r>
      <w:hyperlink r:id="rId603" w:history="1">
        <w:r>
          <w:rPr>
            <w:lang w:val="pl"/>
          </w:rPr>
          <w:t xml:space="preserve"> </w:t>
        </w:r>
        <w:r>
          <w:rPr>
            <w:i/>
            <w:iCs/>
            <w:color w:val="0072BC"/>
            <w:lang w:val="pl"/>
          </w:rPr>
          <w:t xml:space="preserve">Paksas p. Litwie </w:t>
        </w:r>
      </w:hyperlink>
      <w:r>
        <w:rPr>
          <w:lang w:val="pl"/>
        </w:rPr>
        <w:t>[WI], § 75; patrz też rozważania pomocnicze Trybunału w sprawie</w:t>
      </w:r>
      <w:hyperlink r:id="rId604" w:history="1">
        <w:r>
          <w:rPr>
            <w:lang w:val="pl"/>
          </w:rPr>
          <w:t xml:space="preserve"> </w:t>
        </w:r>
        <w:r>
          <w:rPr>
            <w:i/>
            <w:iCs/>
            <w:color w:val="0072BC"/>
            <w:lang w:val="pl"/>
          </w:rPr>
          <w:t xml:space="preserve">S.A.S. p. Francji </w:t>
        </w:r>
      </w:hyperlink>
      <w:r>
        <w:rPr>
          <w:lang w:val="pl"/>
        </w:rPr>
        <w:t>[WI], § 61, dotyczące uzasadnionych oczekiwań co do skuteczności odwołania, w którym podniesiono kwestie prawne, wniesionego na podstawie art. 9 Konwencji).</w:t>
      </w:r>
    </w:p>
    <w:p w:rsidR="00B71A20" w:rsidRPr="000625F6" w:rsidRDefault="000425B4" w:rsidP="00115011">
      <w:pPr>
        <w:pStyle w:val="Teksttreci0"/>
        <w:numPr>
          <w:ilvl w:val="0"/>
          <w:numId w:val="26"/>
        </w:numPr>
        <w:tabs>
          <w:tab w:val="left" w:pos="394"/>
        </w:tabs>
        <w:jc w:val="both"/>
        <w:rPr>
          <w:lang w:val="pl-PL"/>
        </w:rPr>
      </w:pPr>
      <w:r>
        <w:rPr>
          <w:lang w:val="pl"/>
        </w:rPr>
        <w:t xml:space="preserve">Nie ma potrzeby skorzystania z uznaniowych lub nadzwyczajnych środków odwoławczych, takich jak wystąpienie do sądu z wnioskiem o kontrolę wydanego orzeczenia </w:t>
      </w:r>
      <w:hyperlink r:id="rId605" w:history="1">
        <w:r>
          <w:rPr>
            <w:lang w:val="pl"/>
          </w:rPr>
          <w:t>(</w:t>
        </w:r>
        <w:r>
          <w:rPr>
            <w:i/>
            <w:iCs/>
            <w:color w:val="0072BC"/>
            <w:lang w:val="pl"/>
          </w:rPr>
          <w:t xml:space="preserve">Çınar p. Turcji </w:t>
        </w:r>
      </w:hyperlink>
      <w:r>
        <w:rPr>
          <w:lang w:val="pl"/>
        </w:rPr>
        <w:t>(dec.);</w:t>
      </w:r>
      <w:hyperlink r:id="rId606" w:history="1">
        <w:r>
          <w:rPr>
            <w:i/>
            <w:iCs/>
            <w:lang w:val="pl"/>
          </w:rPr>
          <w:t xml:space="preserve"> </w:t>
        </w:r>
        <w:r>
          <w:rPr>
            <w:i/>
            <w:iCs/>
            <w:color w:val="0072BC"/>
            <w:lang w:val="pl"/>
          </w:rPr>
          <w:t xml:space="preserve">Prystavka p. Ukrainie </w:t>
        </w:r>
      </w:hyperlink>
      <w:r>
        <w:rPr>
          <w:lang w:val="pl"/>
        </w:rPr>
        <w:t xml:space="preserve">(dec.)) lub żądanie wznowienia postępowania, z wyjątkiem wyjątkowych okoliczności, np. gdy prawo krajowe stanowi, że taki wniosek nie jest w rzeczywistości skutecznym środkiem odwoławczym </w:t>
      </w:r>
      <w:hyperlink r:id="rId607" w:history="1">
        <w:r>
          <w:rPr>
            <w:lang w:val="pl"/>
          </w:rPr>
          <w:t>(</w:t>
        </w:r>
        <w:r>
          <w:rPr>
            <w:i/>
            <w:iCs/>
            <w:color w:val="0072BC"/>
            <w:lang w:val="pl"/>
          </w:rPr>
          <w:t>K.S. i K.S. AG p. Szwajcarii</w:t>
        </w:r>
        <w:r>
          <w:rPr>
            <w:lang w:val="pl"/>
          </w:rPr>
          <w:t>,</w:t>
        </w:r>
      </w:hyperlink>
      <w:r>
        <w:rPr>
          <w:lang w:val="pl"/>
        </w:rPr>
        <w:t xml:space="preserve"> decyzja Komisji;</w:t>
      </w:r>
      <w:hyperlink r:id="rId608" w:history="1">
        <w:r>
          <w:rPr>
            <w:i/>
            <w:iCs/>
            <w:lang w:val="pl"/>
          </w:rPr>
          <w:t xml:space="preserve"> </w:t>
        </w:r>
        <w:r>
          <w:rPr>
            <w:i/>
            <w:iCs/>
            <w:color w:val="0072BC"/>
            <w:lang w:val="pl"/>
          </w:rPr>
          <w:t xml:space="preserve">Shibendra Dev p. Szwecji </w:t>
        </w:r>
      </w:hyperlink>
      <w:r>
        <w:rPr>
          <w:lang w:val="pl"/>
        </w:rPr>
        <w:t>(dec.), §§ 41</w:t>
      </w:r>
      <w:r>
        <w:rPr>
          <w:lang w:val="pl"/>
        </w:rPr>
        <w:noBreakHyphen/>
        <w:t xml:space="preserve">43, 45 i 48), lub gdzie wzruszenie wyroku, który nabrał mocy prawnej, jest jedynym sposobem, w jaki pozwane państwo może przywrócić prawidłowy stan rzeczy poprzez własny system prawny </w:t>
      </w:r>
      <w:hyperlink r:id="rId609" w:history="1">
        <w:r>
          <w:rPr>
            <w:lang w:val="pl"/>
          </w:rPr>
          <w:t>(</w:t>
        </w:r>
        <w:r w:rsidR="00C632BF">
          <w:rPr>
            <w:i/>
            <w:iCs/>
            <w:color w:val="0072BC"/>
            <w:lang w:val="pl"/>
          </w:rPr>
          <w:t>Kiiskinen i </w:t>
        </w:r>
        <w:r>
          <w:rPr>
            <w:i/>
            <w:iCs/>
            <w:color w:val="0072BC"/>
            <w:lang w:val="pl"/>
          </w:rPr>
          <w:t xml:space="preserve">Kovalainen p. Finlandii </w:t>
        </w:r>
      </w:hyperlink>
      <w:r>
        <w:rPr>
          <w:lang w:val="pl"/>
        </w:rPr>
        <w:t>(dec.);</w:t>
      </w:r>
      <w:hyperlink r:id="rId610" w:history="1">
        <w:r>
          <w:rPr>
            <w:i/>
            <w:iCs/>
            <w:lang w:val="pl"/>
          </w:rPr>
          <w:t xml:space="preserve"> </w:t>
        </w:r>
        <w:r>
          <w:rPr>
            <w:i/>
            <w:iCs/>
            <w:color w:val="0072BC"/>
            <w:lang w:val="pl"/>
          </w:rPr>
          <w:t>Nikula</w:t>
        </w:r>
      </w:hyperlink>
      <w:r>
        <w:rPr>
          <w:i/>
          <w:iCs/>
          <w:color w:val="0072BC"/>
          <w:lang w:val="pl"/>
        </w:rPr>
        <w:t xml:space="preserve"> </w:t>
      </w:r>
      <w:hyperlink r:id="rId611" w:history="1">
        <w:r>
          <w:rPr>
            <w:i/>
            <w:iCs/>
            <w:color w:val="0072BC"/>
            <w:lang w:val="pl"/>
          </w:rPr>
          <w:t xml:space="preserve">p. Finlandii </w:t>
        </w:r>
      </w:hyperlink>
      <w:r>
        <w:rPr>
          <w:lang w:val="pl"/>
        </w:rPr>
        <w:t>(dec.);</w:t>
      </w:r>
      <w:hyperlink r:id="rId612" w:history="1">
        <w:r>
          <w:rPr>
            <w:i/>
            <w:iCs/>
            <w:lang w:val="pl"/>
          </w:rPr>
          <w:t xml:space="preserve"> </w:t>
        </w:r>
        <w:r>
          <w:rPr>
            <w:i/>
            <w:iCs/>
            <w:color w:val="0072BC"/>
            <w:lang w:val="pl"/>
          </w:rPr>
          <w:t xml:space="preserve">Dinchev p. Bułgarii </w:t>
        </w:r>
      </w:hyperlink>
      <w:r>
        <w:rPr>
          <w:lang w:val="pl"/>
        </w:rPr>
        <w:t xml:space="preserve">(dec.), §§ 27-29). Podobnie odwołanie się do wyższej instancji nie stanowi skutecznego środka odwoławczego </w:t>
      </w:r>
      <w:hyperlink r:id="rId613" w:history="1">
        <w:r>
          <w:rPr>
            <w:lang w:val="pl"/>
          </w:rPr>
          <w:t>(</w:t>
        </w:r>
        <w:r>
          <w:rPr>
            <w:i/>
            <w:iCs/>
            <w:color w:val="0072BC"/>
            <w:lang w:val="pl"/>
          </w:rPr>
          <w:t>Horvat p. Chorwacji</w:t>
        </w:r>
        <w:r>
          <w:rPr>
            <w:lang w:val="pl"/>
          </w:rPr>
          <w:t>,</w:t>
        </w:r>
      </w:hyperlink>
      <w:r>
        <w:rPr>
          <w:lang w:val="pl"/>
        </w:rPr>
        <w:t xml:space="preserve"> § 47;</w:t>
      </w:r>
      <w:hyperlink r:id="rId614" w:history="1">
        <w:r>
          <w:rPr>
            <w:i/>
            <w:iCs/>
            <w:lang w:val="pl"/>
          </w:rPr>
          <w:t xml:space="preserve"> </w:t>
        </w:r>
        <w:r>
          <w:rPr>
            <w:i/>
            <w:iCs/>
            <w:color w:val="0072BC"/>
            <w:lang w:val="pl"/>
          </w:rPr>
          <w:t>Hartmann p. Czechom</w:t>
        </w:r>
        <w:r>
          <w:rPr>
            <w:lang w:val="pl"/>
          </w:rPr>
          <w:t>,</w:t>
        </w:r>
      </w:hyperlink>
      <w:r>
        <w:rPr>
          <w:lang w:val="pl"/>
        </w:rPr>
        <w:t xml:space="preserve"> § 66); nie jest nim też środek odwoławczy, który nie jest bezpośrednio dostępny dla skarżącego, a skorzystanie z niego zależy od swobodnego uznania osoby trzeciej </w:t>
      </w:r>
      <w:hyperlink r:id="rId615" w:history="1">
        <w:r>
          <w:rPr>
            <w:lang w:val="pl"/>
          </w:rPr>
          <w:t>(</w:t>
        </w:r>
        <w:r>
          <w:rPr>
            <w:i/>
            <w:iCs/>
            <w:color w:val="0072BC"/>
            <w:lang w:val="pl"/>
          </w:rPr>
          <w:t xml:space="preserve">Tănase p. Mołdawii </w:t>
        </w:r>
      </w:hyperlink>
      <w:r>
        <w:rPr>
          <w:lang w:val="pl"/>
        </w:rPr>
        <w:t xml:space="preserve">[WI], § 122). Zwłaszcza w sprawach karnych wniesienie zaskarżenia do prokuratora nadrzędnego stanowi skuteczny środek odwoławczy tylko w sytuacji, gdy nie ma wyłącznie dewolutywnego charakteru, a wnosząca je osoba jest uprawniona do tego, aby ten środek został rozpatrzony </w:t>
      </w:r>
      <w:hyperlink r:id="rId616" w:history="1">
        <w:r>
          <w:rPr>
            <w:lang w:val="pl"/>
          </w:rPr>
          <w:t>(</w:t>
        </w:r>
        <w:r>
          <w:rPr>
            <w:i/>
            <w:iCs/>
            <w:color w:val="0072BC"/>
            <w:lang w:val="pl"/>
          </w:rPr>
          <w:t>Aspiotis p. Grecji</w:t>
        </w:r>
        <w:r>
          <w:rPr>
            <w:color w:val="0072BC"/>
            <w:lang w:val="pl"/>
          </w:rPr>
          <w:t xml:space="preserve"> </w:t>
        </w:r>
      </w:hyperlink>
      <w:r>
        <w:rPr>
          <w:lang w:val="pl"/>
        </w:rPr>
        <w:t xml:space="preserve">(dec.), § 52, oraz </w:t>
      </w:r>
      <w:r>
        <w:rPr>
          <w:i/>
          <w:iCs/>
          <w:lang w:val="pl"/>
        </w:rPr>
        <w:t>a contrario</w:t>
      </w:r>
      <w:hyperlink r:id="rId617" w:history="1">
        <w:r>
          <w:rPr>
            <w:lang w:val="pl"/>
          </w:rPr>
          <w:t xml:space="preserve"> </w:t>
        </w:r>
        <w:r>
          <w:rPr>
            <w:i/>
            <w:iCs/>
            <w:color w:val="0072BC"/>
            <w:lang w:val="pl"/>
          </w:rPr>
          <w:t>Belevitskiy p. Rosji</w:t>
        </w:r>
        <w:r>
          <w:rPr>
            <w:lang w:val="pl"/>
          </w:rPr>
          <w:t>,</w:t>
        </w:r>
      </w:hyperlink>
      <w:r>
        <w:rPr>
          <w:lang w:val="pl"/>
        </w:rPr>
        <w:t xml:space="preserve"> §§ 59-60). Skarga wniesiona do ministerstwa ma dewolutywny charakter i nie jest uznawana za skuteczny środek odwoławczy </w:t>
      </w:r>
      <w:hyperlink r:id="rId618" w:history="1">
        <w:r>
          <w:rPr>
            <w:lang w:val="pl"/>
          </w:rPr>
          <w:t>(</w:t>
        </w:r>
        <w:r>
          <w:rPr>
            <w:i/>
            <w:iCs/>
            <w:color w:val="0072BC"/>
            <w:lang w:val="pl"/>
          </w:rPr>
          <w:t>Polyakh i Inni p. Ukrainie</w:t>
        </w:r>
        <w:r>
          <w:rPr>
            <w:lang w:val="pl"/>
          </w:rPr>
          <w:t xml:space="preserve">, </w:t>
        </w:r>
      </w:hyperlink>
      <w:r>
        <w:rPr>
          <w:lang w:val="pl"/>
        </w:rPr>
        <w:t xml:space="preserve">§ 135; </w:t>
      </w:r>
      <w:hyperlink r:id="rId619" w:history="1">
        <w:r>
          <w:rPr>
            <w:i/>
            <w:iCs/>
            <w:color w:val="0072BC"/>
            <w:lang w:val="pl"/>
          </w:rPr>
          <w:t>Milovanović p. Serbii</w:t>
        </w:r>
        <w:r>
          <w:rPr>
            <w:lang w:val="pl"/>
          </w:rPr>
          <w:t>,</w:t>
        </w:r>
      </w:hyperlink>
      <w:r>
        <w:rPr>
          <w:lang w:val="pl"/>
        </w:rPr>
        <w:t xml:space="preserve"> § 104). Odnośnie do skuteczności apelacji w omawianej sprawie, która zasadniczo nie musi być wyczerpana (Rzecznik Praw Obywatelskich), patrz uzasadnienie orzeczenia w sprawie</w:t>
      </w:r>
      <w:hyperlink r:id="rId620" w:history="1">
        <w:r>
          <w:rPr>
            <w:i/>
            <w:iCs/>
            <w:lang w:val="pl"/>
          </w:rPr>
          <w:t xml:space="preserve"> </w:t>
        </w:r>
        <w:r>
          <w:rPr>
            <w:i/>
            <w:iCs/>
            <w:color w:val="0072BC"/>
            <w:lang w:val="pl"/>
          </w:rPr>
          <w:t>Egmez p. Cyprowi</w:t>
        </w:r>
        <w:r>
          <w:rPr>
            <w:lang w:val="pl"/>
          </w:rPr>
          <w:t>,</w:t>
        </w:r>
      </w:hyperlink>
      <w:r>
        <w:rPr>
          <w:lang w:val="pl"/>
        </w:rPr>
        <w:t xml:space="preserve"> §§ 66-73. Ponadto krajowy środek odwoławczy, który nie musi być wniesiony w określonym terminie, a tym samym stwarza niepewność, nie może być uznany za skuteczny </w:t>
      </w:r>
      <w:hyperlink r:id="rId621" w:history="1">
        <w:r>
          <w:rPr>
            <w:lang w:val="pl"/>
          </w:rPr>
          <w:t>(</w:t>
        </w:r>
        <w:r>
          <w:rPr>
            <w:i/>
            <w:iCs/>
            <w:color w:val="0072BC"/>
            <w:lang w:val="pl"/>
          </w:rPr>
          <w:t xml:space="preserve">Williams p. Wielkiej Brytanii </w:t>
        </w:r>
      </w:hyperlink>
      <w:r>
        <w:rPr>
          <w:lang w:val="pl"/>
        </w:rPr>
        <w:t>(dec.) i cytowane tam odniesienia;</w:t>
      </w:r>
      <w:hyperlink r:id="rId622" w:history="1">
        <w:r>
          <w:rPr>
            <w:i/>
            <w:iCs/>
            <w:lang w:val="pl"/>
          </w:rPr>
          <w:t xml:space="preserve"> </w:t>
        </w:r>
        <w:r>
          <w:rPr>
            <w:i/>
            <w:iCs/>
            <w:color w:val="0072BC"/>
            <w:lang w:val="pl"/>
          </w:rPr>
          <w:t>Nicholas p. Cyprowi</w:t>
        </w:r>
        <w:r>
          <w:rPr>
            <w:lang w:val="pl"/>
          </w:rPr>
          <w:t>,</w:t>
        </w:r>
      </w:hyperlink>
      <w:r>
        <w:rPr>
          <w:lang w:val="pl"/>
        </w:rPr>
        <w:t xml:space="preserve"> §§ 38-39).</w:t>
      </w:r>
    </w:p>
    <w:p w:rsidR="00B71A20" w:rsidRPr="000625F6" w:rsidRDefault="000425B4" w:rsidP="00115011">
      <w:pPr>
        <w:pStyle w:val="Teksttreci0"/>
        <w:numPr>
          <w:ilvl w:val="0"/>
          <w:numId w:val="26"/>
        </w:numPr>
        <w:tabs>
          <w:tab w:val="left" w:pos="404"/>
        </w:tabs>
        <w:jc w:val="both"/>
        <w:rPr>
          <w:lang w:val="pl-PL"/>
        </w:rPr>
      </w:pPr>
      <w:r>
        <w:rPr>
          <w:lang w:val="pl"/>
        </w:rPr>
        <w:t xml:space="preserve">Wniesienie skargi indywidualnej do Trybunału Konstytucyjnego na podstawie art. 35 ust. 1 Konwencji zależeć będzie w dużej mierze od konkretnych cech systemu prawa pozwanego państwa oraz jurysdykcji Trybunału Konstytucyjnego </w:t>
      </w:r>
      <w:hyperlink r:id="rId623" w:history="1">
        <w:r>
          <w:rPr>
            <w:lang w:val="pl"/>
          </w:rPr>
          <w:t>(</w:t>
        </w:r>
        <w:r>
          <w:rPr>
            <w:i/>
            <w:iCs/>
            <w:color w:val="0072BC"/>
            <w:lang w:val="pl"/>
          </w:rPr>
          <w:t xml:space="preserve">Uzun p. Turcji </w:t>
        </w:r>
      </w:hyperlink>
      <w:r>
        <w:rPr>
          <w:lang w:val="pl"/>
        </w:rPr>
        <w:t xml:space="preserve">(dec.), §§ 42-71 i cytowane tam odniesienia). Zatem w państwie, w którym jurysdykcja ta jest ograniczona do badania konstytucjonalności przepisów prawa i ich zgodności z przepisami o nadrzędnej mocy prawnej, skarżący będą zobowiązani do </w:t>
      </w:r>
      <w:r>
        <w:rPr>
          <w:lang w:val="pl"/>
        </w:rPr>
        <w:lastRenderedPageBreak/>
        <w:t xml:space="preserve">skorzystania z prawa do skargi do Trybunału Konstytucyjnego tylko wówczas, gdy zamierzają zaskarżyć przepis ustawy lub rozporządzenia jako naruszający Konwencję </w:t>
      </w:r>
      <w:hyperlink r:id="rId624" w:history="1">
        <w:r>
          <w:rPr>
            <w:lang w:val="pl"/>
          </w:rPr>
          <w:t>(</w:t>
        </w:r>
        <w:r>
          <w:rPr>
            <w:i/>
            <w:iCs/>
            <w:color w:val="0072BC"/>
            <w:lang w:val="pl"/>
          </w:rPr>
          <w:t>Grišankova i</w:t>
        </w:r>
      </w:hyperlink>
      <w:r>
        <w:rPr>
          <w:i/>
          <w:iCs/>
          <w:color w:val="0072BC"/>
          <w:lang w:val="pl"/>
        </w:rPr>
        <w:t xml:space="preserve"> </w:t>
      </w:r>
      <w:hyperlink r:id="rId625" w:history="1">
        <w:r>
          <w:rPr>
            <w:i/>
            <w:iCs/>
            <w:color w:val="0072BC"/>
            <w:lang w:val="pl"/>
          </w:rPr>
          <w:t xml:space="preserve">Grišankovs p. Łotwie </w:t>
        </w:r>
      </w:hyperlink>
      <w:r>
        <w:rPr>
          <w:lang w:val="pl"/>
        </w:rPr>
        <w:t>(dec.);</w:t>
      </w:r>
      <w:hyperlink r:id="rId626" w:history="1">
        <w:r>
          <w:rPr>
            <w:i/>
            <w:iCs/>
            <w:lang w:val="pl"/>
          </w:rPr>
          <w:t xml:space="preserve"> </w:t>
        </w:r>
        <w:r>
          <w:rPr>
            <w:i/>
            <w:iCs/>
            <w:color w:val="0072BC"/>
            <w:lang w:val="pl"/>
          </w:rPr>
          <w:t xml:space="preserve">Liepājnieks p. Łotwie </w:t>
        </w:r>
      </w:hyperlink>
      <w:r>
        <w:rPr>
          <w:lang w:val="pl"/>
        </w:rPr>
        <w:t xml:space="preserve">(dec.)). Jednak samo zaskarżenie przez skarżącego wadliwego stosowania lub interpretacji ustaw lub rozporządzeń, które w swojej istocie nie są niekonstytucyjne, nie będzie stanowić skutecznego środka odwoławczego </w:t>
      </w:r>
      <w:hyperlink r:id="rId627" w:history="1">
        <w:r>
          <w:rPr>
            <w:lang w:val="pl"/>
          </w:rPr>
          <w:t>(</w:t>
        </w:r>
        <w:r>
          <w:rPr>
            <w:i/>
            <w:iCs/>
            <w:color w:val="0072BC"/>
            <w:lang w:val="pl"/>
          </w:rPr>
          <w:t xml:space="preserve">Smirnov p. Rosji </w:t>
        </w:r>
      </w:hyperlink>
      <w:r>
        <w:rPr>
          <w:lang w:val="pl"/>
        </w:rPr>
        <w:t>(dec.);</w:t>
      </w:r>
      <w:hyperlink r:id="rId628" w:history="1">
        <w:r>
          <w:rPr>
            <w:lang w:val="pl"/>
          </w:rPr>
          <w:t xml:space="preserve"> </w:t>
        </w:r>
        <w:r>
          <w:rPr>
            <w:i/>
            <w:iCs/>
            <w:color w:val="0072BC"/>
            <w:lang w:val="pl"/>
          </w:rPr>
          <w:t>Szott-Medyńska i</w:t>
        </w:r>
      </w:hyperlink>
      <w:r>
        <w:rPr>
          <w:i/>
          <w:iCs/>
          <w:color w:val="0072BC"/>
          <w:lang w:val="pl"/>
        </w:rPr>
        <w:t xml:space="preserve"> </w:t>
      </w:r>
      <w:hyperlink r:id="rId629" w:history="1">
        <w:r>
          <w:rPr>
            <w:i/>
            <w:iCs/>
            <w:color w:val="0072BC"/>
            <w:lang w:val="pl"/>
          </w:rPr>
          <w:t xml:space="preserve">Inni p. Polsce </w:t>
        </w:r>
      </w:hyperlink>
      <w:r>
        <w:rPr>
          <w:lang w:val="pl"/>
        </w:rPr>
        <w:t>(dec.);</w:t>
      </w:r>
      <w:hyperlink r:id="rId630" w:history="1">
        <w:r>
          <w:rPr>
            <w:lang w:val="pl"/>
          </w:rPr>
          <w:t xml:space="preserve"> </w:t>
        </w:r>
        <w:r>
          <w:rPr>
            <w:i/>
            <w:iCs/>
            <w:color w:val="0072BC"/>
            <w:lang w:val="pl"/>
          </w:rPr>
          <w:t>Petrova p. Łotwie</w:t>
        </w:r>
        <w:r>
          <w:rPr>
            <w:lang w:val="pl"/>
          </w:rPr>
          <w:t>,</w:t>
        </w:r>
      </w:hyperlink>
      <w:r>
        <w:rPr>
          <w:lang w:val="pl"/>
        </w:rPr>
        <w:t xml:space="preserve"> §§ 69-70). W państwie federacyjnym Trybunał może dojść do różnych wniosków co do skuteczności skarg wniesionych przed federalny Trybunał Konstytucyjny i przed trybunał konstytucyjny jednego z podmiotów tworzących federację </w:t>
      </w:r>
      <w:hyperlink r:id="rId631" w:history="1">
        <w:r>
          <w:rPr>
            <w:lang w:val="pl"/>
          </w:rPr>
          <w:t>(</w:t>
        </w:r>
        <w:r>
          <w:rPr>
            <w:i/>
            <w:iCs/>
            <w:color w:val="0072BC"/>
            <w:lang w:val="pl"/>
          </w:rPr>
          <w:t xml:space="preserve">Kohler p. Niemcom </w:t>
        </w:r>
      </w:hyperlink>
      <w:r>
        <w:rPr>
          <w:lang w:val="pl"/>
        </w:rPr>
        <w:t xml:space="preserve">(dec.), §§ 67-74). Trybunał wziął też pod uwagę, czy skarga indywidualna do Trybunału Konstytucyjnego nie przeszła zmian z upływem czasu, w związku z czym należałoby uznać, że stanowi adekwatny rodzaj środka odwoławczego w odniesieniu do danej skargi </w:t>
      </w:r>
      <w:hyperlink r:id="rId632" w:history="1">
        <w:r>
          <w:rPr>
            <w:lang w:val="pl"/>
          </w:rPr>
          <w:t>(</w:t>
        </w:r>
        <w:r>
          <w:rPr>
            <w:i/>
            <w:iCs/>
            <w:color w:val="0072BC"/>
            <w:lang w:val="pl"/>
          </w:rPr>
          <w:t>Riđić i Inni p. Serbii</w:t>
        </w:r>
        <w:r>
          <w:rPr>
            <w:lang w:val="pl"/>
          </w:rPr>
          <w:t>,</w:t>
        </w:r>
      </w:hyperlink>
      <w:r>
        <w:rPr>
          <w:lang w:val="pl"/>
        </w:rPr>
        <w:t xml:space="preserve"> §§ 68-74, jeśli chodzi o niewykonanie orzeczeń wydanych w stosunku do przedsiębiorstw stanowiących własność publiczną/państwową), oraz czy taki środek odwoławczy, który jest skuteczny co do zasady, byłby r</w:t>
      </w:r>
      <w:r w:rsidR="00C632BF">
        <w:rPr>
          <w:lang w:val="pl"/>
        </w:rPr>
        <w:t>ównież skuteczny w </w:t>
      </w:r>
      <w:r>
        <w:rPr>
          <w:lang w:val="pl"/>
        </w:rPr>
        <w:t xml:space="preserve">praktyce, biorąc pod uwagę długość odnośnego postępowania </w:t>
      </w:r>
      <w:hyperlink r:id="rId633" w:history="1">
        <w:r>
          <w:rPr>
            <w:lang w:val="pl"/>
          </w:rPr>
          <w:t>(</w:t>
        </w:r>
        <w:r>
          <w:rPr>
            <w:i/>
            <w:iCs/>
            <w:color w:val="0072BC"/>
            <w:lang w:val="pl"/>
          </w:rPr>
          <w:t>Story i</w:t>
        </w:r>
      </w:hyperlink>
      <w:r>
        <w:rPr>
          <w:i/>
          <w:iCs/>
          <w:color w:val="0072BC"/>
          <w:lang w:val="pl"/>
        </w:rPr>
        <w:t xml:space="preserve"> </w:t>
      </w:r>
      <w:hyperlink r:id="rId634" w:history="1">
        <w:r>
          <w:rPr>
            <w:i/>
            <w:iCs/>
            <w:color w:val="0072BC"/>
            <w:lang w:val="pl"/>
          </w:rPr>
          <w:t>Inni p. Malcie</w:t>
        </w:r>
        <w:r>
          <w:rPr>
            <w:lang w:val="pl"/>
          </w:rPr>
          <w:t>,</w:t>
        </w:r>
      </w:hyperlink>
      <w:r w:rsidR="00C632BF">
        <w:rPr>
          <w:lang w:val="pl"/>
        </w:rPr>
        <w:t xml:space="preserve"> §§ 82-85, w </w:t>
      </w:r>
      <w:r>
        <w:rPr>
          <w:lang w:val="pl"/>
        </w:rPr>
        <w:t>odniesieniu do skarg na warunki pozbawienia wolności wniesionych na podstawie art. 3 Konwencji). Przykładowo, Trybunał uznał skargę konstytucyjną za skuteczny środek odwoławczy, gdy Trybunał Konstytucyjny w nieodległych czasowo sprawach badał skuteczność postępowań przygotowawczy</w:t>
      </w:r>
      <w:r w:rsidR="00C632BF">
        <w:rPr>
          <w:lang w:val="pl"/>
        </w:rPr>
        <w:t>ch w </w:t>
      </w:r>
      <w:r>
        <w:rPr>
          <w:lang w:val="pl"/>
        </w:rPr>
        <w:t xml:space="preserve">świetle art. 2 i 3, za podstawę oceny przyjmując orzecznictwo Trybunału </w:t>
      </w:r>
      <w:hyperlink r:id="rId635" w:history="1">
        <w:r>
          <w:rPr>
            <w:lang w:val="pl"/>
          </w:rPr>
          <w:t>(</w:t>
        </w:r>
        <w:r>
          <w:rPr>
            <w:i/>
            <w:iCs/>
            <w:color w:val="0072BC"/>
            <w:lang w:val="pl"/>
          </w:rPr>
          <w:t>Kušić i Inni</w:t>
        </w:r>
      </w:hyperlink>
      <w:r>
        <w:rPr>
          <w:i/>
          <w:iCs/>
          <w:color w:val="0072BC"/>
          <w:lang w:val="pl"/>
        </w:rPr>
        <w:t xml:space="preserve"> </w:t>
      </w:r>
      <w:hyperlink r:id="rId636" w:history="1">
        <w:r>
          <w:rPr>
            <w:i/>
            <w:iCs/>
            <w:color w:val="0072BC"/>
            <w:lang w:val="pl"/>
          </w:rPr>
          <w:t xml:space="preserve">p. Chorwacji </w:t>
        </w:r>
      </w:hyperlink>
      <w:r>
        <w:rPr>
          <w:lang w:val="pl"/>
        </w:rPr>
        <w:t xml:space="preserve">(dec.), §§ 104-105). Poza tym Trybunał szeroko interpretuje pojęcie „środek odwoławczy”, w związku z czym należy wykorzystywać działania o charakterze odwoławczym, które nie są środkami odwoławczymi w ścisłym tego znaczeniu </w:t>
      </w:r>
      <w:hyperlink r:id="rId637" w:history="1">
        <w:r>
          <w:rPr>
            <w:lang w:val="pl"/>
          </w:rPr>
          <w:t>(</w:t>
        </w:r>
        <w:r>
          <w:rPr>
            <w:i/>
            <w:iCs/>
            <w:color w:val="0072BC"/>
            <w:lang w:val="pl"/>
          </w:rPr>
          <w:t>Dos</w:t>
        </w:r>
      </w:hyperlink>
      <w:r>
        <w:rPr>
          <w:i/>
          <w:iCs/>
          <w:color w:val="0072BC"/>
          <w:lang w:val="pl"/>
        </w:rPr>
        <w:t xml:space="preserve"> </w:t>
      </w:r>
      <w:hyperlink r:id="rId638" w:history="1">
        <w:r>
          <w:rPr>
            <w:i/>
            <w:iCs/>
            <w:color w:val="0072BC"/>
            <w:lang w:val="pl"/>
          </w:rPr>
          <w:t>Santos Calado i Inni p. Portugalii</w:t>
        </w:r>
        <w:r>
          <w:rPr>
            <w:lang w:val="pl"/>
          </w:rPr>
          <w:t>,</w:t>
        </w:r>
      </w:hyperlink>
      <w:r>
        <w:rPr>
          <w:lang w:val="pl"/>
        </w:rPr>
        <w:t xml:space="preserve"> § 91, w odniesieniu do sprzeciwu od decyzji wydanej w trybie zaocznym wniesionego do Trybunału Konstytucyjnego orzekającego w składzie trzech sędziów).</w:t>
      </w:r>
    </w:p>
    <w:p w:rsidR="00B71A20" w:rsidRPr="000625F6" w:rsidRDefault="000425B4" w:rsidP="00115011">
      <w:pPr>
        <w:pStyle w:val="Teksttreci0"/>
        <w:numPr>
          <w:ilvl w:val="0"/>
          <w:numId w:val="26"/>
        </w:numPr>
        <w:tabs>
          <w:tab w:val="left" w:pos="404"/>
        </w:tabs>
        <w:spacing w:after="220"/>
        <w:jc w:val="both"/>
        <w:rPr>
          <w:lang w:val="pl-PL"/>
        </w:rPr>
      </w:pPr>
      <w:bookmarkStart w:id="95" w:name="bookmark94"/>
      <w:r>
        <w:rPr>
          <w:lang w:val="pl"/>
        </w:rPr>
        <w:t xml:space="preserve">W przypadku gdy skarżący próbował skorzystać ze środka odwoławczego, który Trybunał uznaje za nieadekwatny, czas przeznaczony na jego zastosowanie nie spowoduje zatrzymania biegu terminu czterech miesięcy, co może skutkować odrzuceniem skargi ze względu na przedawnienie </w:t>
      </w:r>
      <w:hyperlink r:id="rId639" w:history="1">
        <w:r>
          <w:rPr>
            <w:lang w:val="pl"/>
          </w:rPr>
          <w:t>(</w:t>
        </w:r>
        <w:r w:rsidR="00F22418">
          <w:rPr>
            <w:i/>
            <w:iCs/>
            <w:color w:val="0072BC"/>
            <w:lang w:val="pl"/>
          </w:rPr>
          <w:t>Rezgui p. </w:t>
        </w:r>
        <w:r>
          <w:rPr>
            <w:i/>
            <w:iCs/>
            <w:color w:val="0072BC"/>
            <w:lang w:val="pl"/>
          </w:rPr>
          <w:t xml:space="preserve">Francji </w:t>
        </w:r>
      </w:hyperlink>
      <w:r>
        <w:rPr>
          <w:lang w:val="pl"/>
        </w:rPr>
        <w:t>(dec.),</w:t>
      </w:r>
      <w:hyperlink r:id="rId640" w:history="1">
        <w:r>
          <w:rPr>
            <w:i/>
            <w:iCs/>
            <w:lang w:val="pl"/>
          </w:rPr>
          <w:t xml:space="preserve"> </w:t>
        </w:r>
        <w:r>
          <w:rPr>
            <w:i/>
            <w:iCs/>
            <w:color w:val="0072BC"/>
            <w:lang w:val="pl"/>
          </w:rPr>
          <w:t xml:space="preserve">Prystavska p. Ukrainie </w:t>
        </w:r>
      </w:hyperlink>
      <w:r>
        <w:rPr>
          <w:lang w:val="pl"/>
        </w:rPr>
        <w:t>(dec.)).</w:t>
      </w:r>
      <w:bookmarkEnd w:id="95"/>
    </w:p>
    <w:p w:rsidR="00B71A20" w:rsidRDefault="00DB41C9" w:rsidP="00DB41C9">
      <w:pPr>
        <w:pStyle w:val="Nagwek41"/>
        <w:keepNext/>
        <w:keepLines/>
        <w:tabs>
          <w:tab w:val="left" w:pos="367"/>
        </w:tabs>
        <w:jc w:val="both"/>
      </w:pPr>
      <w:bookmarkStart w:id="96" w:name="_Toc126335630"/>
      <w:bookmarkStart w:id="97" w:name="_Toc126660584"/>
      <w:r>
        <w:rPr>
          <w:lang w:val="pl"/>
        </w:rPr>
        <w:t xml:space="preserve">f.  </w:t>
      </w:r>
      <w:r w:rsidR="000425B4">
        <w:rPr>
          <w:lang w:val="pl"/>
        </w:rPr>
        <w:t>Dostępność i skuteczność</w:t>
      </w:r>
      <w:bookmarkEnd w:id="96"/>
      <w:bookmarkEnd w:id="97"/>
    </w:p>
    <w:p w:rsidR="00B71A20" w:rsidRPr="000625F6" w:rsidRDefault="000425B4" w:rsidP="00115011">
      <w:pPr>
        <w:pStyle w:val="Teksttreci0"/>
        <w:numPr>
          <w:ilvl w:val="0"/>
          <w:numId w:val="27"/>
        </w:numPr>
        <w:tabs>
          <w:tab w:val="left" w:pos="404"/>
        </w:tabs>
        <w:jc w:val="both"/>
        <w:rPr>
          <w:lang w:val="pl-PL"/>
        </w:rPr>
      </w:pPr>
      <w:r>
        <w:rPr>
          <w:lang w:val="pl"/>
        </w:rPr>
        <w:t>To, że istnieją środki odwoławcze, musi być wystarczająco pe</w:t>
      </w:r>
      <w:r w:rsidR="00C632BF">
        <w:rPr>
          <w:lang w:val="pl"/>
        </w:rPr>
        <w:t>wne nie tylko w teorii, ale i w </w:t>
      </w:r>
      <w:r>
        <w:rPr>
          <w:lang w:val="pl"/>
        </w:rPr>
        <w:t xml:space="preserve">praktyce. Przy ustalaniu, czy dany środek spełnia kryteria dostępności i skuteczności, należy uwzględnić szczególne okoliczności danej sprawy (patrz podpunkt 4 poniżej). Stanowisko przyjęte przez sądy krajowe musi być wystarczająco umocowane w krajowym porządku prawnym. W związku z tym Trybunał orzeka, że odwołanie się do sądu wyższej instancji przestaje być „skuteczne” ze względu na rozbieżności w orzecznictwie tego sądu, dopóki rozbieżności te istnieją </w:t>
      </w:r>
      <w:hyperlink r:id="rId641" w:history="1">
        <w:r>
          <w:rPr>
            <w:lang w:val="pl"/>
          </w:rPr>
          <w:t>(</w:t>
        </w:r>
        <w:r>
          <w:rPr>
            <w:i/>
            <w:iCs/>
            <w:color w:val="0072BC"/>
            <w:lang w:val="pl"/>
          </w:rPr>
          <w:t>Ferreira Alves</w:t>
        </w:r>
      </w:hyperlink>
      <w:r>
        <w:rPr>
          <w:i/>
          <w:iCs/>
          <w:color w:val="0072BC"/>
          <w:lang w:val="pl"/>
        </w:rPr>
        <w:t xml:space="preserve"> </w:t>
      </w:r>
      <w:hyperlink r:id="rId642" w:history="1">
        <w:r w:rsidR="00C632BF">
          <w:rPr>
            <w:i/>
            <w:iCs/>
            <w:color w:val="0072BC"/>
            <w:lang w:val="pl"/>
          </w:rPr>
          <w:t>p. Portugalii (nr </w:t>
        </w:r>
        <w:r>
          <w:rPr>
            <w:i/>
            <w:iCs/>
            <w:color w:val="0072BC"/>
            <w:lang w:val="pl"/>
          </w:rPr>
          <w:t>6)</w:t>
        </w:r>
        <w:r>
          <w:rPr>
            <w:lang w:val="pl"/>
          </w:rPr>
          <w:t>,</w:t>
        </w:r>
      </w:hyperlink>
      <w:r>
        <w:rPr>
          <w:lang w:val="pl"/>
        </w:rPr>
        <w:t xml:space="preserve"> §§ 27-29).</w:t>
      </w:r>
    </w:p>
    <w:p w:rsidR="00B71A20" w:rsidRDefault="000425B4" w:rsidP="00115011">
      <w:pPr>
        <w:pStyle w:val="Teksttreci0"/>
        <w:numPr>
          <w:ilvl w:val="0"/>
          <w:numId w:val="27"/>
        </w:numPr>
        <w:tabs>
          <w:tab w:val="left" w:pos="514"/>
        </w:tabs>
        <w:spacing w:after="120"/>
        <w:jc w:val="both"/>
      </w:pPr>
      <w:r>
        <w:rPr>
          <w:lang w:val="pl"/>
        </w:rPr>
        <w:t xml:space="preserve">Przykładowo, Trybunał orzekał, że gdy skarżący skarży się na warunki pozbawienia wolności po wyjściu na wolność, dostępnym i wystarczającym środkiem odwoławczym – czyli takim, który daje zasadne szanse powodzenia – jest środek, który musi być zastosowany do celów art. 35 ust. 1 Konwencji </w:t>
      </w:r>
      <w:hyperlink r:id="rId643" w:history="1">
        <w:r>
          <w:rPr>
            <w:lang w:val="pl"/>
          </w:rPr>
          <w:t>(</w:t>
        </w:r>
        <w:r>
          <w:rPr>
            <w:i/>
            <w:iCs/>
            <w:color w:val="0072BC"/>
            <w:lang w:val="pl"/>
          </w:rPr>
          <w:t xml:space="preserve">Lienhardt p. Francji </w:t>
        </w:r>
      </w:hyperlink>
      <w:r>
        <w:rPr>
          <w:lang w:val="pl"/>
        </w:rPr>
        <w:t>(dec.);</w:t>
      </w:r>
      <w:hyperlink r:id="rId644" w:history="1">
        <w:r>
          <w:rPr>
            <w:i/>
            <w:iCs/>
            <w:lang w:val="pl"/>
          </w:rPr>
          <w:t xml:space="preserve"> </w:t>
        </w:r>
        <w:r>
          <w:rPr>
            <w:i/>
            <w:iCs/>
            <w:color w:val="0072BC"/>
            <w:lang w:val="pl"/>
          </w:rPr>
          <w:t>Rhazali i</w:t>
        </w:r>
      </w:hyperlink>
      <w:r>
        <w:rPr>
          <w:i/>
          <w:iCs/>
          <w:color w:val="0072BC"/>
          <w:lang w:val="pl"/>
        </w:rPr>
        <w:t xml:space="preserve"> </w:t>
      </w:r>
      <w:hyperlink r:id="rId645" w:history="1">
        <w:r>
          <w:rPr>
            <w:i/>
            <w:iCs/>
            <w:color w:val="0072BC"/>
            <w:lang w:val="pl"/>
          </w:rPr>
          <w:t xml:space="preserve">Inni p. Francji </w:t>
        </w:r>
      </w:hyperlink>
      <w:r>
        <w:rPr>
          <w:lang w:val="pl"/>
        </w:rPr>
        <w:t>(dec.);</w:t>
      </w:r>
      <w:hyperlink r:id="rId646" w:history="1">
        <w:r>
          <w:rPr>
            <w:i/>
            <w:iCs/>
            <w:lang w:val="pl"/>
          </w:rPr>
          <w:t xml:space="preserve"> </w:t>
        </w:r>
        <w:r>
          <w:rPr>
            <w:i/>
            <w:iCs/>
            <w:color w:val="0072BC"/>
            <w:lang w:val="pl"/>
          </w:rPr>
          <w:t xml:space="preserve">Ignats p. Łotwie </w:t>
        </w:r>
      </w:hyperlink>
      <w:r>
        <w:rPr>
          <w:lang w:val="pl"/>
        </w:rPr>
        <w:t>(dec.);</w:t>
      </w:r>
      <w:hyperlink r:id="rId647" w:history="1">
        <w:r>
          <w:rPr>
            <w:i/>
            <w:iCs/>
            <w:lang w:val="pl"/>
          </w:rPr>
          <w:t xml:space="preserve"> </w:t>
        </w:r>
        <w:r>
          <w:rPr>
            <w:i/>
            <w:iCs/>
            <w:color w:val="0072BC"/>
            <w:lang w:val="pl"/>
          </w:rPr>
          <w:t>J.M.B. i Inni p. Francji</w:t>
        </w:r>
        <w:r>
          <w:rPr>
            <w:lang w:val="pl"/>
          </w:rPr>
          <w:t>,</w:t>
        </w:r>
      </w:hyperlink>
      <w:r>
        <w:rPr>
          <w:lang w:val="pl"/>
        </w:rPr>
        <w:t xml:space="preserve"> § 163). Inaczej jest w przypadku, gdy w czasie wnoszenia skargi skarżący nadal był pozbawiony wolności: wówczas aby środek odwoławczy był skuteczny, musi umożliwiać zapobieżenie dalszemu utrzymywaniu się zarzucanego stanu rzeczy </w:t>
      </w:r>
      <w:hyperlink r:id="rId648" w:history="1">
        <w:r>
          <w:rPr>
            <w:lang w:val="pl"/>
          </w:rPr>
          <w:t>(</w:t>
        </w:r>
        <w:r>
          <w:rPr>
            <w:i/>
            <w:iCs/>
            <w:color w:val="0072BC"/>
            <w:lang w:val="pl"/>
          </w:rPr>
          <w:t>Torreggiani i</w:t>
        </w:r>
      </w:hyperlink>
      <w:r>
        <w:rPr>
          <w:i/>
          <w:iCs/>
          <w:color w:val="0072BC"/>
          <w:lang w:val="pl"/>
        </w:rPr>
        <w:t xml:space="preserve"> </w:t>
      </w:r>
      <w:hyperlink r:id="rId649" w:history="1">
        <w:r>
          <w:rPr>
            <w:i/>
            <w:iCs/>
            <w:color w:val="0072BC"/>
            <w:lang w:val="pl"/>
          </w:rPr>
          <w:t>Inni p. Włochom</w:t>
        </w:r>
        <w:r>
          <w:rPr>
            <w:lang w:val="pl"/>
          </w:rPr>
          <w:t>,</w:t>
        </w:r>
      </w:hyperlink>
      <w:r>
        <w:rPr>
          <w:lang w:val="pl"/>
        </w:rPr>
        <w:t xml:space="preserve"> § 50;</w:t>
      </w:r>
      <w:hyperlink r:id="rId650" w:history="1">
        <w:r>
          <w:rPr>
            <w:lang w:val="pl"/>
          </w:rPr>
          <w:t xml:space="preserve"> </w:t>
        </w:r>
        <w:r w:rsidR="007A50B8">
          <w:rPr>
            <w:i/>
            <w:iCs/>
            <w:color w:val="0072BC"/>
            <w:lang w:val="pl"/>
          </w:rPr>
          <w:t>Neshkov i Inni p. </w:t>
        </w:r>
        <w:r>
          <w:rPr>
            <w:i/>
            <w:iCs/>
            <w:color w:val="0072BC"/>
            <w:lang w:val="pl"/>
          </w:rPr>
          <w:t>Bułgarii</w:t>
        </w:r>
        <w:r>
          <w:rPr>
            <w:lang w:val="pl"/>
          </w:rPr>
          <w:t>,</w:t>
        </w:r>
      </w:hyperlink>
      <w:r>
        <w:rPr>
          <w:lang w:val="pl"/>
        </w:rPr>
        <w:t xml:space="preserve"> §§ 181 i 192-193;</w:t>
      </w:r>
      <w:hyperlink r:id="rId651" w:history="1">
        <w:r>
          <w:rPr>
            <w:lang w:val="pl"/>
          </w:rPr>
          <w:t xml:space="preserve"> </w:t>
        </w:r>
        <w:r>
          <w:rPr>
            <w:i/>
            <w:iCs/>
            <w:color w:val="0072BC"/>
            <w:lang w:val="pl"/>
          </w:rPr>
          <w:t>Vasilescu p. Belgii</w:t>
        </w:r>
        <w:r>
          <w:rPr>
            <w:lang w:val="pl"/>
          </w:rPr>
          <w:t>,</w:t>
        </w:r>
      </w:hyperlink>
      <w:r>
        <w:rPr>
          <w:lang w:val="pl"/>
        </w:rPr>
        <w:t xml:space="preserve"> §§ 70 i 128). Zwykle przed wniesieniem do Trybunału skargi na warunki pozbawienia wolności skarżący muszą odpow</w:t>
      </w:r>
      <w:r w:rsidR="007A50B8">
        <w:rPr>
          <w:lang w:val="pl"/>
        </w:rPr>
        <w:t>iednio wykorzystać dostępny i </w:t>
      </w:r>
      <w:r>
        <w:rPr>
          <w:lang w:val="pl"/>
        </w:rPr>
        <w:t>skuteczny środek zapobiegawczy, a następnie, w stosownych przypadkach, właściwy środek odszkodowawczy. Trybunał dopuszcza jednak sytuacje, w których wykorzystanie środka zapobiegawczego odznaczającego się skutecznością w innych okolicznościach byłoby bezcelowe ze względu na krótki okres, w jakim skarżący był pozbawiony wolnoś</w:t>
      </w:r>
      <w:r w:rsidR="007A50B8">
        <w:rPr>
          <w:lang w:val="pl"/>
        </w:rPr>
        <w:t>ci w niewłaściwych warunkach, w </w:t>
      </w:r>
      <w:r>
        <w:rPr>
          <w:lang w:val="pl"/>
        </w:rPr>
        <w:t xml:space="preserve">związku z czym jedynym wykonalnym rozwiązaniem byłoby sięgnięcie po środek odszkodowawczy </w:t>
      </w:r>
      <w:r>
        <w:rPr>
          <w:lang w:val="pl"/>
        </w:rPr>
        <w:lastRenderedPageBreak/>
        <w:t xml:space="preserve">umożliwiający uzyskanie środka naprawczego z tytułu wcześniejszego umieszczenia w takich warunkach. Długość tego okresu może zależeć od wielu czynników związanych ze sposobem funkcjonowania krajowego systemu środków odwoławczych </w:t>
      </w:r>
      <w:hyperlink r:id="rId652" w:history="1">
        <w:r>
          <w:rPr>
            <w:lang w:val="pl"/>
          </w:rPr>
          <w:t>(</w:t>
        </w:r>
        <w:r>
          <w:rPr>
            <w:i/>
            <w:iCs/>
            <w:color w:val="0072BC"/>
            <w:lang w:val="pl"/>
          </w:rPr>
          <w:t>Ulemek p. Chorwacji</w:t>
        </w:r>
        <w:r>
          <w:rPr>
            <w:lang w:val="pl"/>
          </w:rPr>
          <w:t>,</w:t>
        </w:r>
      </w:hyperlink>
      <w:r>
        <w:rPr>
          <w:lang w:val="pl"/>
        </w:rPr>
        <w:t xml:space="preserve"> §§ 84-88). W tym kontekście Trybunał badał różne środki odwoławcze: patrz np.</w:t>
      </w:r>
      <w:hyperlink r:id="rId653" w:history="1">
        <w:r>
          <w:rPr>
            <w:i/>
            <w:iCs/>
            <w:lang w:val="pl"/>
          </w:rPr>
          <w:t xml:space="preserve"> </w:t>
        </w:r>
        <w:r>
          <w:rPr>
            <w:i/>
            <w:iCs/>
            <w:color w:val="0072BC"/>
            <w:lang w:val="pl"/>
          </w:rPr>
          <w:t xml:space="preserve">Petrescu p. Portugalii </w:t>
        </w:r>
      </w:hyperlink>
      <w:r>
        <w:rPr>
          <w:lang w:val="pl"/>
        </w:rPr>
        <w:t>(§§ 81-84),</w:t>
      </w:r>
      <w:hyperlink r:id="rId654" w:history="1">
        <w:r>
          <w:rPr>
            <w:i/>
            <w:iCs/>
            <w:lang w:val="pl"/>
          </w:rPr>
          <w:t xml:space="preserve"> </w:t>
        </w:r>
        <w:r>
          <w:rPr>
            <w:i/>
            <w:iCs/>
            <w:color w:val="0072BC"/>
            <w:lang w:val="pl"/>
          </w:rPr>
          <w:t>J.M.B.</w:t>
        </w:r>
      </w:hyperlink>
      <w:r>
        <w:rPr>
          <w:i/>
          <w:iCs/>
          <w:color w:val="0072BC"/>
          <w:lang w:val="pl"/>
        </w:rPr>
        <w:t xml:space="preserve"> </w:t>
      </w:r>
      <w:hyperlink r:id="rId655" w:history="1">
        <w:r>
          <w:rPr>
            <w:i/>
            <w:iCs/>
            <w:color w:val="0072BC"/>
            <w:lang w:val="pl"/>
          </w:rPr>
          <w:t xml:space="preserve">i Inni p. Francji </w:t>
        </w:r>
      </w:hyperlink>
      <w:r>
        <w:rPr>
          <w:lang w:val="pl"/>
        </w:rPr>
        <w:t>(§§ 212-221) oraz</w:t>
      </w:r>
      <w:hyperlink r:id="rId656" w:history="1">
        <w:r>
          <w:rPr>
            <w:i/>
            <w:iCs/>
            <w:lang w:val="pl"/>
          </w:rPr>
          <w:t xml:space="preserve"> </w:t>
        </w:r>
        <w:r>
          <w:rPr>
            <w:i/>
            <w:iCs/>
            <w:color w:val="0072BC"/>
            <w:lang w:val="pl"/>
          </w:rPr>
          <w:t xml:space="preserve">Shmelev i Inni p. Rosji </w:t>
        </w:r>
      </w:hyperlink>
      <w:r>
        <w:rPr>
          <w:lang w:val="pl"/>
        </w:rPr>
        <w:t>(dec.) (§§ 123-131)</w:t>
      </w:r>
      <w:r>
        <w:rPr>
          <w:vertAlign w:val="superscript"/>
          <w:lang w:val="pl"/>
        </w:rPr>
        <w:footnoteReference w:id="5"/>
      </w:r>
      <w:r>
        <w:rPr>
          <w:lang w:val="pl"/>
        </w:rPr>
        <w:t>.</w:t>
      </w:r>
    </w:p>
    <w:p w:rsidR="00B71A20" w:rsidRPr="000625F6" w:rsidRDefault="000425B4" w:rsidP="00115011">
      <w:pPr>
        <w:pStyle w:val="Teksttreci0"/>
        <w:numPr>
          <w:ilvl w:val="0"/>
          <w:numId w:val="27"/>
        </w:numPr>
        <w:tabs>
          <w:tab w:val="left" w:pos="510"/>
        </w:tabs>
        <w:spacing w:after="120"/>
        <w:jc w:val="both"/>
        <w:rPr>
          <w:lang w:val="pl-PL"/>
        </w:rPr>
      </w:pPr>
      <w:r>
        <w:rPr>
          <w:lang w:val="pl"/>
        </w:rPr>
        <w:t>Jeśli skarżący chce zapobiec wydaleniu go z układającego się państwa ze względu na zarzucane ryzyko naruszenia art. 2 lub 3 w państwie trzecim, skuteczny jest tylko taki środek odwoławczy, który ma skutek zawieszający (w odniesieniu do skarg na podstawie art. 3 i art. 4 Protokołu nr 4 patrz</w:t>
      </w:r>
      <w:hyperlink r:id="rId657" w:history="1">
        <w:r>
          <w:rPr>
            <w:i/>
            <w:iCs/>
            <w:lang w:val="pl"/>
          </w:rPr>
          <w:t xml:space="preserve"> </w:t>
        </w:r>
        <w:r w:rsidR="007A50B8">
          <w:rPr>
            <w:i/>
            <w:iCs/>
            <w:color w:val="0072BC"/>
            <w:lang w:val="pl"/>
          </w:rPr>
          <w:t>M.K. i </w:t>
        </w:r>
        <w:r>
          <w:rPr>
            <w:i/>
            <w:iCs/>
            <w:color w:val="0072BC"/>
            <w:lang w:val="pl"/>
          </w:rPr>
          <w:t>Inni p. Polsce</w:t>
        </w:r>
        <w:r>
          <w:rPr>
            <w:lang w:val="pl"/>
          </w:rPr>
          <w:t>,</w:t>
        </w:r>
        <w:r>
          <w:rPr>
            <w:i/>
            <w:iCs/>
            <w:lang w:val="pl"/>
          </w:rPr>
          <w:t xml:space="preserve"> </w:t>
        </w:r>
      </w:hyperlink>
      <w:r>
        <w:rPr>
          <w:lang w:val="pl"/>
        </w:rPr>
        <w:t xml:space="preserve">§§ 142-148, i cytowane tam odniesienia). Z kolei gdy środek odwoławczy ma skutek zawieszający, skarżący zwykle musi go wykorzystać. Kontrolę </w:t>
      </w:r>
      <w:r w:rsidR="007A50B8">
        <w:rPr>
          <w:lang w:val="pl"/>
        </w:rPr>
        <w:t>sądową – o ile jest dostępna, a </w:t>
      </w:r>
      <w:r>
        <w:rPr>
          <w:lang w:val="pl"/>
        </w:rPr>
        <w:t xml:space="preserve">zawnioskowanie o nią wstrzymuje wydalenie – należy uznać za skuteczny środek odwoławczy, który skarżący co do zasady będą musieli wykorzystać przed wniesieniem skargi do Trybunału lub zwróceniem się o zastosowanie środków tymczasowych na podstawie Reguły 39 Regulaminu Trybunału, aby opóźnić wydalenie </w:t>
      </w:r>
      <w:hyperlink r:id="rId658" w:history="1">
        <w:r>
          <w:rPr>
            <w:lang w:val="pl"/>
          </w:rPr>
          <w:t>(</w:t>
        </w:r>
        <w:r>
          <w:rPr>
            <w:i/>
            <w:iCs/>
            <w:color w:val="0072BC"/>
            <w:lang w:val="pl"/>
          </w:rPr>
          <w:t>NA p. Wielkiej Brytanii</w:t>
        </w:r>
        <w:r>
          <w:rPr>
            <w:lang w:val="pl"/>
          </w:rPr>
          <w:t>,</w:t>
        </w:r>
      </w:hyperlink>
      <w:r>
        <w:rPr>
          <w:lang w:val="pl"/>
        </w:rPr>
        <w:t xml:space="preserve"> § 90;</w:t>
      </w:r>
      <w:hyperlink r:id="rId659" w:history="1">
        <w:r>
          <w:rPr>
            <w:i/>
            <w:iCs/>
            <w:lang w:val="pl"/>
          </w:rPr>
          <w:t xml:space="preserve"> </w:t>
        </w:r>
        <w:r>
          <w:rPr>
            <w:i/>
            <w:iCs/>
            <w:color w:val="0072BC"/>
            <w:lang w:val="pl"/>
          </w:rPr>
          <w:t>A.M. p. Francji</w:t>
        </w:r>
        <w:r>
          <w:rPr>
            <w:lang w:val="pl"/>
          </w:rPr>
          <w:t>,</w:t>
        </w:r>
      </w:hyperlink>
      <w:r>
        <w:rPr>
          <w:lang w:val="pl"/>
        </w:rPr>
        <w:t xml:space="preserve"> §§ 64 i 79).</w:t>
      </w:r>
    </w:p>
    <w:p w:rsidR="00B71A20" w:rsidRPr="000625F6" w:rsidRDefault="000425B4" w:rsidP="00115011">
      <w:pPr>
        <w:pStyle w:val="Teksttreci0"/>
        <w:numPr>
          <w:ilvl w:val="0"/>
          <w:numId w:val="27"/>
        </w:numPr>
        <w:tabs>
          <w:tab w:val="left" w:pos="514"/>
        </w:tabs>
        <w:spacing w:after="120"/>
        <w:jc w:val="both"/>
        <w:rPr>
          <w:lang w:val="pl-PL"/>
        </w:rPr>
      </w:pPr>
      <w:r>
        <w:rPr>
          <w:lang w:val="pl"/>
        </w:rPr>
        <w:t xml:space="preserve">W świetle art. 5 Konwencji środki zapobiegawcze i odszkodowawcze wzajemnie się uzupełniają. Środek odwoławczy, który nie daje możliwości zwolnienia, nie może być uznany za skuteczny w sytuacji, gdy nadal trwa pozbawienie wolności. Jeśli jednak skarżący zarzuca, że został pozbawiony wolności wbrew prawu krajowemu, a okres pozbawienia wolności już upłynął, roszczenie odszkodowawcze mogące skutkować uznaniem zarzucanego naruszenia i przyznaniem odszkodowania stanowi co do zasady skuteczny środek odwoławczy, który należy wykorzystać, jeśli jego skuteczność została w przekonujący sposób utrwalona w praktyce </w:t>
      </w:r>
      <w:hyperlink r:id="rId660" w:history="1">
        <w:r>
          <w:rPr>
            <w:lang w:val="pl"/>
          </w:rPr>
          <w:t>(</w:t>
        </w:r>
        <w:r>
          <w:rPr>
            <w:i/>
            <w:iCs/>
            <w:color w:val="0072BC"/>
            <w:lang w:val="pl"/>
          </w:rPr>
          <w:t>Selahattin Demirtaş p. Turcji (nr 2)</w:t>
        </w:r>
      </w:hyperlink>
      <w:r>
        <w:rPr>
          <w:color w:val="0072BC"/>
          <w:lang w:val="pl"/>
        </w:rPr>
        <w:t xml:space="preserve"> </w:t>
      </w:r>
      <w:r>
        <w:rPr>
          <w:lang w:val="pl"/>
        </w:rPr>
        <w:t>[WI], §§ 205-214, gdzie roszczenia odszkodowawczego nie uznano za skuteczny środek odwoławczy wobec braku uprzedniego uznania przez sądy karne lub Trybunał Konstytucyjny, że tymczasowe aresztowanie skarżącego było bezprawne; patrz też</w:t>
      </w:r>
      <w:hyperlink r:id="rId661" w:history="1">
        <w:r>
          <w:rPr>
            <w:i/>
            <w:iCs/>
            <w:lang w:val="pl"/>
          </w:rPr>
          <w:t xml:space="preserve"> </w:t>
        </w:r>
        <w:r>
          <w:rPr>
            <w:i/>
            <w:iCs/>
            <w:color w:val="0072BC"/>
            <w:lang w:val="pl"/>
          </w:rPr>
          <w:t>Dubovtsev i Inni p. Ukrainie</w:t>
        </w:r>
        <w:r>
          <w:rPr>
            <w:lang w:val="pl"/>
          </w:rPr>
          <w:t>,</w:t>
        </w:r>
      </w:hyperlink>
      <w:r>
        <w:rPr>
          <w:lang w:val="pl"/>
        </w:rPr>
        <w:t xml:space="preserve"> §§ 67-71, gdzie</w:t>
      </w:r>
      <w:r w:rsidR="007A50B8">
        <w:rPr>
          <w:lang w:val="pl"/>
        </w:rPr>
        <w:t xml:space="preserve"> roszczenia odszkodowawczego, o </w:t>
      </w:r>
      <w:r>
        <w:rPr>
          <w:lang w:val="pl"/>
        </w:rPr>
        <w:t>które wniesiono do sądów cywilnych, nie uznano za skuteczny środek odwoławczy mogący stanowić właściwą odpowiedź na konkretne skargi wniesione na podstawie art. 5).</w:t>
      </w:r>
    </w:p>
    <w:p w:rsidR="00B71A20" w:rsidRPr="000625F6" w:rsidRDefault="000425B4" w:rsidP="00115011">
      <w:pPr>
        <w:pStyle w:val="Teksttreci0"/>
        <w:numPr>
          <w:ilvl w:val="0"/>
          <w:numId w:val="27"/>
        </w:numPr>
        <w:tabs>
          <w:tab w:val="left" w:pos="514"/>
        </w:tabs>
        <w:spacing w:after="120"/>
        <w:jc w:val="both"/>
        <w:rPr>
          <w:lang w:val="pl-PL"/>
        </w:rPr>
      </w:pPr>
      <w:r>
        <w:rPr>
          <w:lang w:val="pl"/>
        </w:rPr>
        <w:t xml:space="preserve">Trybunał uznaje, że skuteczny środek odwoławczy musi działać bez zbędnej zwłoki </w:t>
      </w:r>
      <w:hyperlink r:id="rId662" w:history="1">
        <w:r>
          <w:rPr>
            <w:lang w:val="pl"/>
          </w:rPr>
          <w:t>(</w:t>
        </w:r>
        <w:r>
          <w:rPr>
            <w:i/>
            <w:iCs/>
            <w:color w:val="0072BC"/>
            <w:lang w:val="pl"/>
          </w:rPr>
          <w:t>Story i</w:t>
        </w:r>
      </w:hyperlink>
      <w:r>
        <w:rPr>
          <w:i/>
          <w:iCs/>
          <w:color w:val="0072BC"/>
          <w:lang w:val="pl"/>
        </w:rPr>
        <w:t xml:space="preserve"> </w:t>
      </w:r>
      <w:hyperlink r:id="rId663" w:history="1">
        <w:r w:rsidR="007A50B8">
          <w:rPr>
            <w:i/>
            <w:iCs/>
            <w:color w:val="0072BC"/>
            <w:lang w:val="pl"/>
          </w:rPr>
          <w:t>Inni p. </w:t>
        </w:r>
        <w:r>
          <w:rPr>
            <w:i/>
            <w:iCs/>
            <w:color w:val="0072BC"/>
            <w:lang w:val="pl"/>
          </w:rPr>
          <w:t>Malcie</w:t>
        </w:r>
        <w:r>
          <w:rPr>
            <w:lang w:val="pl"/>
          </w:rPr>
          <w:t>,</w:t>
        </w:r>
      </w:hyperlink>
      <w:r>
        <w:rPr>
          <w:lang w:val="pl"/>
        </w:rPr>
        <w:t xml:space="preserve"> § 80). Jeśli chodzi o sprawy dotyczące długości postępowania, najskuteczniejszym rozwiązaniem jest środek odwoławczy mający na celu takie przyspieszenie postępowania, aby nie dopuścić do jego przewlekłości. Państwa mogą też jednak zdecydować o wprowadzeniu tylko środka odszkodowawczego, który nie zostanie uznany za nieskuteczny </w:t>
      </w:r>
      <w:hyperlink r:id="rId664" w:history="1">
        <w:r>
          <w:rPr>
            <w:lang w:val="pl"/>
          </w:rPr>
          <w:t>(</w:t>
        </w:r>
        <w:r>
          <w:rPr>
            <w:i/>
            <w:iCs/>
            <w:color w:val="0072BC"/>
            <w:lang w:val="pl"/>
          </w:rPr>
          <w:t xml:space="preserve">Scordino p. Włochom (nr 1) </w:t>
        </w:r>
      </w:hyperlink>
      <w:r>
        <w:rPr>
          <w:lang w:val="pl"/>
        </w:rPr>
        <w:t>[WI], § 183 i nast.;</w:t>
      </w:r>
      <w:hyperlink r:id="rId665" w:history="1">
        <w:r>
          <w:rPr>
            <w:i/>
            <w:iCs/>
            <w:lang w:val="pl"/>
          </w:rPr>
          <w:t xml:space="preserve"> </w:t>
        </w:r>
        <w:r>
          <w:rPr>
            <w:i/>
            <w:iCs/>
            <w:color w:val="0072BC"/>
            <w:lang w:val="pl"/>
          </w:rPr>
          <w:t>Marshall i</w:t>
        </w:r>
      </w:hyperlink>
      <w:r>
        <w:rPr>
          <w:i/>
          <w:iCs/>
          <w:color w:val="0072BC"/>
          <w:lang w:val="pl"/>
        </w:rPr>
        <w:t xml:space="preserve"> </w:t>
      </w:r>
      <w:hyperlink r:id="rId666" w:history="1">
        <w:r>
          <w:rPr>
            <w:i/>
            <w:iCs/>
            <w:color w:val="0072BC"/>
            <w:lang w:val="pl"/>
          </w:rPr>
          <w:t>Inni p. Malcie</w:t>
        </w:r>
        <w:r>
          <w:rPr>
            <w:lang w:val="pl"/>
          </w:rPr>
          <w:t>,</w:t>
        </w:r>
      </w:hyperlink>
      <w:r>
        <w:rPr>
          <w:lang w:val="pl"/>
        </w:rPr>
        <w:t xml:space="preserve"> § 82). Aby zachować zgodność z zasadą rozsądnego terminu, środek odwoławczy dotyczący długości postępowania nie powinien, co do zasady i z wyłączeniem szczególnych okoliczności, przekraczać dwóch i pół roku w dwóch jurysdykcjach, łącznie z etapem wykonania </w:t>
      </w:r>
      <w:hyperlink r:id="rId667" w:history="1">
        <w:r>
          <w:rPr>
            <w:lang w:val="pl"/>
          </w:rPr>
          <w:t>(</w:t>
        </w:r>
        <w:r>
          <w:rPr>
            <w:i/>
            <w:iCs/>
            <w:color w:val="0072BC"/>
            <w:lang w:val="pl"/>
          </w:rPr>
          <w:t>ibid.</w:t>
        </w:r>
        <w:r>
          <w:rPr>
            <w:lang w:val="pl"/>
          </w:rPr>
          <w:t>,</w:t>
        </w:r>
      </w:hyperlink>
      <w:r>
        <w:rPr>
          <w:lang w:val="pl"/>
        </w:rPr>
        <w:t xml:space="preserve"> § 88).</w:t>
      </w:r>
    </w:p>
    <w:p w:rsidR="00B71A20" w:rsidRPr="000625F6" w:rsidRDefault="000425B4" w:rsidP="00115011">
      <w:pPr>
        <w:pStyle w:val="Teksttreci0"/>
        <w:numPr>
          <w:ilvl w:val="0"/>
          <w:numId w:val="27"/>
        </w:numPr>
        <w:tabs>
          <w:tab w:val="left" w:pos="500"/>
        </w:tabs>
        <w:jc w:val="both"/>
        <w:rPr>
          <w:lang w:val="pl-PL"/>
        </w:rPr>
      </w:pPr>
      <w:r>
        <w:rPr>
          <w:lang w:val="pl"/>
        </w:rPr>
        <w:t>Odnośnie do niewykonania orzeczeń, Trybunał stwierdził w sprawie</w:t>
      </w:r>
      <w:hyperlink r:id="rId668" w:history="1">
        <w:r>
          <w:rPr>
            <w:i/>
            <w:iCs/>
            <w:lang w:val="pl"/>
          </w:rPr>
          <w:t xml:space="preserve"> </w:t>
        </w:r>
        <w:r>
          <w:rPr>
            <w:i/>
            <w:iCs/>
            <w:color w:val="0072BC"/>
            <w:lang w:val="pl"/>
          </w:rPr>
          <w:t>Solonskiy i Petrova</w:t>
        </w:r>
      </w:hyperlink>
      <w:r>
        <w:rPr>
          <w:i/>
          <w:iCs/>
          <w:color w:val="0072BC"/>
          <w:lang w:val="pl"/>
        </w:rPr>
        <w:t xml:space="preserve"> </w:t>
      </w:r>
      <w:hyperlink r:id="rId669" w:history="1">
        <w:r>
          <w:rPr>
            <w:i/>
            <w:iCs/>
            <w:color w:val="0072BC"/>
            <w:lang w:val="pl"/>
          </w:rPr>
          <w:t xml:space="preserve">p. Rosji </w:t>
        </w:r>
      </w:hyperlink>
      <w:r>
        <w:rPr>
          <w:lang w:val="pl"/>
        </w:rPr>
        <w:t>(dec.), że możliwość wystąpienia z roszczeniem z tytułu odpowiedzialności za cudze czyny przeciwko organom, które nie wypłaciły skarżącym zasądzonych kwot, stanowiła skuteczny środek odwoławczy, ponieważ wiązała się z uzasadnioną perspektywą wygranej w sprawach skarżących (§§ 34-40).</w:t>
      </w:r>
    </w:p>
    <w:p w:rsidR="00B71A20" w:rsidRPr="000625F6" w:rsidRDefault="000425B4" w:rsidP="00115011">
      <w:pPr>
        <w:pStyle w:val="Teksttreci0"/>
        <w:numPr>
          <w:ilvl w:val="0"/>
          <w:numId w:val="27"/>
        </w:numPr>
        <w:tabs>
          <w:tab w:val="left" w:pos="510"/>
        </w:tabs>
        <w:jc w:val="both"/>
        <w:rPr>
          <w:lang w:val="pl-PL"/>
        </w:rPr>
      </w:pPr>
      <w:r>
        <w:rPr>
          <w:lang w:val="pl"/>
        </w:rPr>
        <w:t>W przypadku domniemania niewinności (art. 6 ust. 2) za skuteczny wobec zarzucanych naruszeń można co do zasady uznać środek odwoławczy na drodze cywilnej. W kilku sprawach Trybunał uznał za skuteczne w rozumieniu Konwencji środki odwoławcze w prawie cywilnym stwarzające możliwość uzyskania odszkodowania pieniężnego wraz z różnymi innymi procedurami uznania lub przerwania naruszenia prawa do domniemania niewinności (patrz</w:t>
      </w:r>
      <w:hyperlink r:id="rId670" w:history="1">
        <w:r>
          <w:rPr>
            <w:i/>
            <w:iCs/>
            <w:lang w:val="pl"/>
          </w:rPr>
          <w:t xml:space="preserve"> </w:t>
        </w:r>
        <w:r>
          <w:rPr>
            <w:i/>
            <w:iCs/>
            <w:color w:val="0072BC"/>
            <w:lang w:val="pl"/>
          </w:rPr>
          <w:t>Januškevičienė</w:t>
        </w:r>
      </w:hyperlink>
      <w:r>
        <w:rPr>
          <w:i/>
          <w:iCs/>
          <w:color w:val="0072BC"/>
          <w:lang w:val="pl"/>
        </w:rPr>
        <w:t xml:space="preserve"> </w:t>
      </w:r>
      <w:hyperlink r:id="rId671" w:history="1">
        <w:r>
          <w:rPr>
            <w:i/>
            <w:iCs/>
            <w:color w:val="0072BC"/>
            <w:lang w:val="pl"/>
          </w:rPr>
          <w:t>p. Litwie</w:t>
        </w:r>
        <w:r>
          <w:rPr>
            <w:lang w:val="pl"/>
          </w:rPr>
          <w:t>,</w:t>
        </w:r>
      </w:hyperlink>
      <w:r>
        <w:rPr>
          <w:lang w:val="pl"/>
        </w:rPr>
        <w:t xml:space="preserve"> §§ 58-62 i cytowane tam odniesienia, w której to sprawie skarżąca mogła wnieść pozew cywilny o odszkodowanie pieniężne za naruszenie jej honoru i godności).</w:t>
      </w:r>
    </w:p>
    <w:p w:rsidR="00B71A20" w:rsidRPr="000625F6" w:rsidRDefault="000425B4" w:rsidP="00115011">
      <w:pPr>
        <w:pStyle w:val="Teksttreci0"/>
        <w:numPr>
          <w:ilvl w:val="0"/>
          <w:numId w:val="27"/>
        </w:numPr>
        <w:tabs>
          <w:tab w:val="left" w:pos="514"/>
        </w:tabs>
        <w:jc w:val="both"/>
        <w:rPr>
          <w:lang w:val="pl-PL"/>
        </w:rPr>
      </w:pPr>
      <w:r>
        <w:rPr>
          <w:lang w:val="pl"/>
        </w:rPr>
        <w:t xml:space="preserve">W kontekście utrzymującego się niewykonywania prawa do pieczy lub kontaktu w świetle art. 8 </w:t>
      </w:r>
      <w:r>
        <w:rPr>
          <w:lang w:val="pl"/>
        </w:rPr>
        <w:lastRenderedPageBreak/>
        <w:t>nie można oczekiwać od skarżącego, że wniesie do Trybunału Kon</w:t>
      </w:r>
      <w:r w:rsidR="007A50B8">
        <w:rPr>
          <w:lang w:val="pl"/>
        </w:rPr>
        <w:t>stytucyjnego lub do Trybunału w </w:t>
      </w:r>
      <w:r>
        <w:rPr>
          <w:lang w:val="pl"/>
        </w:rPr>
        <w:t xml:space="preserve">Strasburgu odrębną skargę na niewykonanie każdego zabezpieczenia w toku postępowania głównego, tym bardziej że takich zabezpieczeń może być wiele. W związku z tym Trybunał przyjmuje ogólne podejście w rozważaniach na temat postępowań krajowych i uwzględnia całokształt faktów, które mogą mieć znaczenie dla kontekstu i przedmiotu postępowania głównego </w:t>
      </w:r>
      <w:hyperlink r:id="rId672" w:history="1">
        <w:r>
          <w:rPr>
            <w:lang w:val="pl"/>
          </w:rPr>
          <w:t>(</w:t>
        </w:r>
        <w:r>
          <w:rPr>
            <w:i/>
            <w:iCs/>
            <w:color w:val="0072BC"/>
            <w:lang w:val="pl"/>
          </w:rPr>
          <w:t>Milovanović p. Serbii</w:t>
        </w:r>
        <w:r>
          <w:rPr>
            <w:lang w:val="pl"/>
          </w:rPr>
          <w:t>,</w:t>
        </w:r>
      </w:hyperlink>
      <w:r w:rsidR="007A50B8">
        <w:rPr>
          <w:lang w:val="pl"/>
        </w:rPr>
        <w:t xml:space="preserve"> § </w:t>
      </w:r>
      <w:r>
        <w:rPr>
          <w:lang w:val="pl"/>
        </w:rPr>
        <w:t>106).</w:t>
      </w:r>
    </w:p>
    <w:p w:rsidR="00B71A20" w:rsidRPr="000625F6" w:rsidRDefault="000425B4" w:rsidP="00115011">
      <w:pPr>
        <w:pStyle w:val="Teksttreci0"/>
        <w:numPr>
          <w:ilvl w:val="0"/>
          <w:numId w:val="27"/>
        </w:numPr>
        <w:tabs>
          <w:tab w:val="left" w:pos="514"/>
        </w:tabs>
        <w:jc w:val="both"/>
        <w:rPr>
          <w:lang w:val="pl-PL"/>
        </w:rPr>
      </w:pPr>
      <w:r>
        <w:rPr>
          <w:lang w:val="pl"/>
        </w:rPr>
        <w:t xml:space="preserve">W kontekście postępowań o zniesławienie Trybunał uznał, że środek odwoławczy, który nie dopuszczał wystąpienia z roszczeniem o zadośćuczynienie, jest nieskuteczny do celów spraw dotyczących prywatności w świetle art. 8 </w:t>
      </w:r>
      <w:hyperlink r:id="rId673" w:history="1">
        <w:r>
          <w:rPr>
            <w:lang w:val="pl"/>
          </w:rPr>
          <w:t>(</w:t>
        </w:r>
        <w:r>
          <w:rPr>
            <w:i/>
            <w:iCs/>
            <w:color w:val="0072BC"/>
            <w:lang w:val="pl"/>
          </w:rPr>
          <w:t>Lewit p. Austrii</w:t>
        </w:r>
        <w:r>
          <w:rPr>
            <w:lang w:val="pl"/>
          </w:rPr>
          <w:t>,</w:t>
        </w:r>
      </w:hyperlink>
      <w:r>
        <w:rPr>
          <w:lang w:val="pl"/>
        </w:rPr>
        <w:t xml:space="preserve"> §§ 66-67). W sprawie dotyczącej zarzucanego naruszenia prawa do ochrony reputacji Trybunał uznał, że postępowania odszkodowawcze przed sądami cywilnymi (zapewniające pełnię gwarancji proceduralnych dla obu stron i pozwalające na odpowiednie wyważenie interesów będących przedmiotem sporu) są odpowiednim środkiem odwoławczym w odróżnieniu od przyspieszonego postępowania naprawczego; tym samym Trybunał przychylił się do wykładni zastosowanej przez Trybunał Konstytucyjny pozwanego państwa </w:t>
      </w:r>
      <w:hyperlink r:id="rId674" w:history="1">
        <w:r>
          <w:rPr>
            <w:lang w:val="pl"/>
          </w:rPr>
          <w:t>(</w:t>
        </w:r>
        <w:r>
          <w:rPr>
            <w:i/>
            <w:iCs/>
            <w:color w:val="0072BC"/>
            <w:lang w:val="pl"/>
          </w:rPr>
          <w:t xml:space="preserve">Gülen p. Turcji </w:t>
        </w:r>
      </w:hyperlink>
      <w:r>
        <w:rPr>
          <w:lang w:val="pl"/>
        </w:rPr>
        <w:t>(dec.), §§ 58-69).</w:t>
      </w:r>
    </w:p>
    <w:p w:rsidR="00B71A20" w:rsidRPr="000625F6" w:rsidRDefault="000425B4" w:rsidP="00115011">
      <w:pPr>
        <w:pStyle w:val="Teksttreci0"/>
        <w:numPr>
          <w:ilvl w:val="0"/>
          <w:numId w:val="27"/>
        </w:numPr>
        <w:tabs>
          <w:tab w:val="left" w:pos="510"/>
        </w:tabs>
        <w:jc w:val="both"/>
        <w:rPr>
          <w:lang w:val="pl-PL"/>
        </w:rPr>
      </w:pPr>
      <w:r>
        <w:rPr>
          <w:lang w:val="pl"/>
        </w:rPr>
        <w:t xml:space="preserve">To, czy podniesienie kwestii niejawnego nadzoru w postępowaniu karnym można uznać za skuteczny środek odwoławczy w przypadku skargi na podstawie art. 8, będzie zależało od okoliczności sprawy. Choć sądy karne mogły rozważać, czy sprawiedliwe jest dopuszczenie określonych dowodów w postępowaniu karnym, Trybunał uznał, że nie miały zdolności, aby zapewnić skuteczny środek odwoławczy, jeśli nie mogły bez ograniczeń rozpatrywać istoty skargi opartej na art. 8 i zarzucającej, że taka ingerencja nie była „przewidziana przez ustawę” lub „konieczna w demokratycznym społeczeństwie”, lub jeśli nie mogły przyznać odpowiedniego środka naprawczego w związku z tą skargą </w:t>
      </w:r>
      <w:hyperlink r:id="rId675" w:history="1">
        <w:r>
          <w:rPr>
            <w:lang w:val="pl"/>
          </w:rPr>
          <w:t>(</w:t>
        </w:r>
        <w:r>
          <w:rPr>
            <w:i/>
            <w:iCs/>
            <w:color w:val="0072BC"/>
            <w:lang w:val="pl"/>
          </w:rPr>
          <w:t>Hambardzumyan p. Armenii</w:t>
        </w:r>
        <w:r>
          <w:rPr>
            <w:lang w:val="pl"/>
          </w:rPr>
          <w:t>,</w:t>
        </w:r>
      </w:hyperlink>
      <w:r>
        <w:rPr>
          <w:lang w:val="pl"/>
        </w:rPr>
        <w:t xml:space="preserve"> §§ 40-44 i cytowane tam odniesienia;</w:t>
      </w:r>
      <w:hyperlink r:id="rId676" w:history="1">
        <w:r>
          <w:rPr>
            <w:i/>
            <w:iCs/>
            <w:lang w:val="pl"/>
          </w:rPr>
          <w:t xml:space="preserve"> </w:t>
        </w:r>
        <w:r>
          <w:rPr>
            <w:i/>
            <w:iCs/>
            <w:color w:val="0072BC"/>
            <w:lang w:val="pl"/>
          </w:rPr>
          <w:t>Zubkov i Inni p. Rosji</w:t>
        </w:r>
        <w:r>
          <w:rPr>
            <w:lang w:val="pl"/>
          </w:rPr>
          <w:t>,</w:t>
        </w:r>
      </w:hyperlink>
      <w:r>
        <w:rPr>
          <w:lang w:val="pl"/>
        </w:rPr>
        <w:t xml:space="preserve"> § 88).</w:t>
      </w:r>
    </w:p>
    <w:p w:rsidR="00A267D1" w:rsidRPr="000625F6" w:rsidRDefault="00A267D1" w:rsidP="00115011">
      <w:pPr>
        <w:pStyle w:val="Teksttreci0"/>
        <w:numPr>
          <w:ilvl w:val="0"/>
          <w:numId w:val="27"/>
        </w:numPr>
        <w:tabs>
          <w:tab w:val="left" w:pos="510"/>
        </w:tabs>
        <w:jc w:val="both"/>
        <w:rPr>
          <w:lang w:val="pl-PL"/>
        </w:rPr>
      </w:pPr>
      <w:r>
        <w:rPr>
          <w:lang w:val="pl"/>
        </w:rPr>
        <w:t>W kontekście zarzucanego nadużycia władzy wbrew art. 1 Protokołu nr 1 (przymusowa rozbiórka budynku przez władze gminne) Trybunał orzekł, że postępowanie karne obejmujące roszczenie pieniężne stanowiło skuteczny środek odwoławczy, biorąc pod uwagę bezpośrednie znacze</w:t>
      </w:r>
      <w:r w:rsidR="003B0596">
        <w:rPr>
          <w:lang w:val="pl"/>
        </w:rPr>
        <w:t>n</w:t>
      </w:r>
      <w:r>
        <w:rPr>
          <w:lang w:val="pl"/>
        </w:rPr>
        <w:t>ie dla ustalenia, czy rzeczona rozbiórka była zgodna z prawem, oraz możliwość uzyskania przez skarżących rekompensaty finansowej za zarzucane naruszenie ich praw własności (</w:t>
      </w:r>
      <w:hyperlink r:id="rId677" w:history="1">
        <w:r w:rsidRPr="000625F6">
          <w:rPr>
            <w:i/>
            <w:iCs/>
            <w:color w:val="0072BC"/>
            <w:lang w:val="pl"/>
          </w:rPr>
          <w:t>FINE DOO i Inni p. Macedonii Północnej</w:t>
        </w:r>
      </w:hyperlink>
      <w:r>
        <w:rPr>
          <w:lang w:val="pl"/>
        </w:rPr>
        <w:t xml:space="preserve"> (dec.), § 35).</w:t>
      </w:r>
    </w:p>
    <w:p w:rsidR="00B71A20" w:rsidRPr="000625F6" w:rsidRDefault="000425B4" w:rsidP="00115011">
      <w:pPr>
        <w:pStyle w:val="Teksttreci0"/>
        <w:numPr>
          <w:ilvl w:val="0"/>
          <w:numId w:val="27"/>
        </w:numPr>
        <w:tabs>
          <w:tab w:val="left" w:pos="519"/>
        </w:tabs>
        <w:jc w:val="both"/>
        <w:rPr>
          <w:lang w:val="pl-PL"/>
        </w:rPr>
      </w:pPr>
      <w:r>
        <w:rPr>
          <w:lang w:val="pl"/>
        </w:rPr>
        <w:t>Trybunał powinien w realistyczny sposób uwzględnić nie t</w:t>
      </w:r>
      <w:r w:rsidR="007A50B8">
        <w:rPr>
          <w:lang w:val="pl"/>
        </w:rPr>
        <w:t>ylko formalne środki dostępne w </w:t>
      </w:r>
      <w:r>
        <w:rPr>
          <w:lang w:val="pl"/>
        </w:rPr>
        <w:t xml:space="preserve">krajowym systemie prawnym, ale również ogólny kontekst prawny i polityczny, w którym środki te funkcjonują, a także osobistą sytuację skarżącego </w:t>
      </w:r>
      <w:hyperlink r:id="rId678" w:history="1">
        <w:r>
          <w:rPr>
            <w:lang w:val="pl"/>
          </w:rPr>
          <w:t>(</w:t>
        </w:r>
        <w:r>
          <w:rPr>
            <w:i/>
            <w:iCs/>
            <w:color w:val="0072BC"/>
            <w:lang w:val="pl"/>
          </w:rPr>
          <w:t>Akdivar i Inni p. Turcji</w:t>
        </w:r>
        <w:r>
          <w:rPr>
            <w:lang w:val="pl"/>
          </w:rPr>
          <w:t>,</w:t>
        </w:r>
      </w:hyperlink>
      <w:r>
        <w:rPr>
          <w:lang w:val="pl"/>
        </w:rPr>
        <w:t xml:space="preserve"> §§ 68-69;</w:t>
      </w:r>
      <w:hyperlink r:id="rId679" w:history="1">
        <w:r>
          <w:rPr>
            <w:lang w:val="pl"/>
          </w:rPr>
          <w:t xml:space="preserve"> </w:t>
        </w:r>
        <w:r>
          <w:rPr>
            <w:i/>
            <w:iCs/>
            <w:color w:val="0072BC"/>
            <w:lang w:val="pl"/>
          </w:rPr>
          <w:t>Khashiyev i</w:t>
        </w:r>
      </w:hyperlink>
      <w:r>
        <w:rPr>
          <w:i/>
          <w:iCs/>
          <w:color w:val="0072BC"/>
          <w:lang w:val="pl"/>
        </w:rPr>
        <w:t xml:space="preserve"> </w:t>
      </w:r>
      <w:hyperlink r:id="rId680" w:history="1">
        <w:r>
          <w:rPr>
            <w:i/>
            <w:iCs/>
            <w:color w:val="0072BC"/>
            <w:lang w:val="pl"/>
          </w:rPr>
          <w:t>Akayeva p. Rosji</w:t>
        </w:r>
        <w:r>
          <w:rPr>
            <w:lang w:val="pl"/>
          </w:rPr>
          <w:t>,</w:t>
        </w:r>
      </w:hyperlink>
      <w:r>
        <w:rPr>
          <w:lang w:val="pl"/>
        </w:rPr>
        <w:t xml:space="preserve"> §§ 116-117;</w:t>
      </w:r>
      <w:hyperlink r:id="rId681" w:history="1">
        <w:r>
          <w:rPr>
            <w:lang w:val="pl"/>
          </w:rPr>
          <w:t xml:space="preserve"> </w:t>
        </w:r>
        <w:r>
          <w:rPr>
            <w:i/>
            <w:iCs/>
            <w:color w:val="0072BC"/>
            <w:lang w:val="pl"/>
          </w:rPr>
          <w:t xml:space="preserve">Chiragov i Inni p. Armenii </w:t>
        </w:r>
      </w:hyperlink>
      <w:r>
        <w:rPr>
          <w:lang w:val="pl"/>
        </w:rPr>
        <w:t>[WI], § 119;</w:t>
      </w:r>
      <w:hyperlink r:id="rId682" w:history="1">
        <w:r>
          <w:rPr>
            <w:lang w:val="pl"/>
          </w:rPr>
          <w:t xml:space="preserve"> </w:t>
        </w:r>
        <w:r>
          <w:rPr>
            <w:i/>
            <w:iCs/>
            <w:color w:val="0072BC"/>
            <w:lang w:val="pl"/>
          </w:rPr>
          <w:t>Sargsyan p. Azerbejdżanowi</w:t>
        </w:r>
      </w:hyperlink>
      <w:r>
        <w:rPr>
          <w:color w:val="0072BC"/>
          <w:lang w:val="pl"/>
        </w:rPr>
        <w:t xml:space="preserve"> </w:t>
      </w:r>
      <w:r>
        <w:rPr>
          <w:lang w:val="pl"/>
        </w:rPr>
        <w:t>[WI], §§ 117-119;</w:t>
      </w:r>
      <w:hyperlink r:id="rId683" w:history="1">
        <w:r>
          <w:rPr>
            <w:lang w:val="pl"/>
          </w:rPr>
          <w:t xml:space="preserve"> </w:t>
        </w:r>
        <w:r>
          <w:rPr>
            <w:i/>
            <w:iCs/>
            <w:color w:val="0072BC"/>
            <w:lang w:val="pl"/>
          </w:rPr>
          <w:t>Communaute genevoise d'action syndicale (CGAS) p. Szwajcarii</w:t>
        </w:r>
      </w:hyperlink>
      <w:r>
        <w:rPr>
          <w:lang w:val="pl"/>
        </w:rPr>
        <w:t xml:space="preserve">, §§ 55-59). Trybunał musi zbadać, czy, mając na uwadze wszystkie okoliczności sprawy, skarżący podjął wszelkie działania, jakich można było od niego w sposób uzasadniony oczekiwać, w celu wyczerpania krajowych środków odwoławczych </w:t>
      </w:r>
      <w:hyperlink r:id="rId684" w:history="1">
        <w:r>
          <w:rPr>
            <w:lang w:val="pl"/>
          </w:rPr>
          <w:t>(</w:t>
        </w:r>
        <w:r>
          <w:rPr>
            <w:i/>
            <w:iCs/>
            <w:color w:val="0072BC"/>
            <w:lang w:val="pl"/>
          </w:rPr>
          <w:t>D.H. i Inni p.</w:t>
        </w:r>
      </w:hyperlink>
      <w:r>
        <w:rPr>
          <w:i/>
          <w:iCs/>
          <w:color w:val="0072BC"/>
          <w:lang w:val="pl"/>
        </w:rPr>
        <w:t xml:space="preserve"> </w:t>
      </w:r>
      <w:hyperlink r:id="rId685" w:history="1">
        <w:r>
          <w:rPr>
            <w:i/>
            <w:iCs/>
            <w:color w:val="0072BC"/>
            <w:lang w:val="pl"/>
          </w:rPr>
          <w:t xml:space="preserve">Czechom </w:t>
        </w:r>
      </w:hyperlink>
      <w:r>
        <w:rPr>
          <w:lang w:val="pl"/>
        </w:rPr>
        <w:t>[WI], §§ 116-122). Na przykład skarżący nie wyczerpał krajowych środków odwoławczych, jeśli nie wykorzystał środka, którego nie można było u</w:t>
      </w:r>
      <w:r w:rsidR="007A50B8">
        <w:rPr>
          <w:lang w:val="pl"/>
        </w:rPr>
        <w:t>znać za oczywiście bezcelowy, a </w:t>
      </w:r>
      <w:r>
        <w:rPr>
          <w:lang w:val="pl"/>
        </w:rPr>
        <w:t xml:space="preserve">który zasugerował mu sąd krajowy, wskazując przy tym konkretne dalsze działania, jakie skarżący powinien podjąć </w:t>
      </w:r>
      <w:hyperlink r:id="rId686" w:history="1">
        <w:r>
          <w:rPr>
            <w:lang w:val="pl"/>
          </w:rPr>
          <w:t>(</w:t>
        </w:r>
        <w:r>
          <w:rPr>
            <w:i/>
            <w:iCs/>
            <w:color w:val="0072BC"/>
            <w:lang w:val="pl"/>
          </w:rPr>
          <w:t xml:space="preserve">P. p. Ukrainie </w:t>
        </w:r>
      </w:hyperlink>
      <w:r>
        <w:rPr>
          <w:lang w:val="pl"/>
        </w:rPr>
        <w:t>(dec.), §§ 52</w:t>
      </w:r>
      <w:r>
        <w:rPr>
          <w:lang w:val="pl"/>
        </w:rPr>
        <w:noBreakHyphen/>
        <w:t xml:space="preserve">55). W sprawie, w której wykonanie wyroku nakazującego pilne przyznanie nowego lokalu mieszkalnego nastąpiło z opóźnieniem i po upływie wymaganego terminu, pozwanie państwa o odszkodowanie z tytułu przewlekłości w wykonaniu wyroku można uznać za skuteczny środek odwoławczy nawet wtedy, gdy po wniesieniu skargi do Trybunału wyrok wykonano </w:t>
      </w:r>
      <w:hyperlink r:id="rId687" w:history="1">
        <w:r>
          <w:rPr>
            <w:lang w:val="pl"/>
          </w:rPr>
          <w:t>(</w:t>
        </w:r>
        <w:r>
          <w:rPr>
            <w:i/>
            <w:iCs/>
            <w:color w:val="0072BC"/>
            <w:lang w:val="pl"/>
          </w:rPr>
          <w:t>Bouhamla p. Francji</w:t>
        </w:r>
      </w:hyperlink>
      <w:r>
        <w:rPr>
          <w:color w:val="0072BC"/>
          <w:lang w:val="pl"/>
        </w:rPr>
        <w:t xml:space="preserve"> </w:t>
      </w:r>
      <w:r>
        <w:rPr>
          <w:lang w:val="pl"/>
        </w:rPr>
        <w:t>(dec.), §§ 35</w:t>
      </w:r>
      <w:r>
        <w:rPr>
          <w:lang w:val="pl"/>
        </w:rPr>
        <w:noBreakHyphen/>
        <w:t>44).</w:t>
      </w:r>
    </w:p>
    <w:p w:rsidR="00B71A20" w:rsidRPr="000625F6" w:rsidRDefault="000425B4" w:rsidP="00115011">
      <w:pPr>
        <w:pStyle w:val="Teksttreci0"/>
        <w:numPr>
          <w:ilvl w:val="0"/>
          <w:numId w:val="27"/>
        </w:numPr>
        <w:tabs>
          <w:tab w:val="left" w:pos="505"/>
        </w:tabs>
        <w:spacing w:after="220"/>
        <w:jc w:val="both"/>
        <w:rPr>
          <w:lang w:val="pl-PL"/>
        </w:rPr>
      </w:pPr>
      <w:bookmarkStart w:id="98" w:name="bookmark97"/>
      <w:r>
        <w:rPr>
          <w:lang w:val="pl"/>
        </w:rPr>
        <w:t xml:space="preserve">Należy zauważyć, że granice, faktyczne lub prawne, nie są przeszkodą </w:t>
      </w:r>
      <w:r>
        <w:rPr>
          <w:i/>
          <w:iCs/>
          <w:lang w:val="pl"/>
        </w:rPr>
        <w:t>per se</w:t>
      </w:r>
      <w:r>
        <w:rPr>
          <w:lang w:val="pl"/>
        </w:rPr>
        <w:t xml:space="preserve"> do wyczerpania krajowych środków odwoławczych; co do zasady skarżący ży</w:t>
      </w:r>
      <w:r w:rsidR="007A50B8">
        <w:rPr>
          <w:lang w:val="pl"/>
        </w:rPr>
        <w:t>jący poza jurysdykcją jednego z </w:t>
      </w:r>
      <w:r>
        <w:rPr>
          <w:lang w:val="pl"/>
        </w:rPr>
        <w:t xml:space="preserve">układających się państw nie są zwolnieni z konieczności wyczerpania krajowych środków odwoławczych dostępnych w danym państwie, niezależnie od praktycznych niedogodności lub zrozumiałej osobistej niechęci </w:t>
      </w:r>
      <w:hyperlink r:id="rId688" w:history="1">
        <w:r>
          <w:rPr>
            <w:lang w:val="pl"/>
          </w:rPr>
          <w:t>(</w:t>
        </w:r>
        <w:r>
          <w:rPr>
            <w:i/>
            <w:iCs/>
            <w:color w:val="0072BC"/>
            <w:lang w:val="pl"/>
          </w:rPr>
          <w:t xml:space="preserve">Demopoulos i Inni p. Turcji </w:t>
        </w:r>
      </w:hyperlink>
      <w:r>
        <w:rPr>
          <w:lang w:val="pl"/>
        </w:rPr>
        <w:t>(dec.) [WI], §§ 98 i 101, sprawa dotycząca skarżących, którzy nie poddali się dobrowolnie jurysdykcji pozwanego państwa).</w:t>
      </w:r>
      <w:bookmarkEnd w:id="98"/>
    </w:p>
    <w:p w:rsidR="00B71A20" w:rsidRDefault="00FB4A38" w:rsidP="00FB4A38">
      <w:pPr>
        <w:pStyle w:val="Nagwek31"/>
        <w:keepNext/>
        <w:keepLines/>
        <w:tabs>
          <w:tab w:val="left" w:pos="340"/>
        </w:tabs>
        <w:spacing w:after="100"/>
        <w:jc w:val="both"/>
      </w:pPr>
      <w:bookmarkStart w:id="99" w:name="_Toc126335631"/>
      <w:bookmarkStart w:id="100" w:name="_Toc126660585"/>
      <w:r>
        <w:rPr>
          <w:lang w:val="pl"/>
        </w:rPr>
        <w:lastRenderedPageBreak/>
        <w:t xml:space="preserve">3.  </w:t>
      </w:r>
      <w:r w:rsidR="000425B4">
        <w:rPr>
          <w:lang w:val="pl"/>
        </w:rPr>
        <w:t>Ograniczenia w zastosowaniu zasady</w:t>
      </w:r>
      <w:bookmarkEnd w:id="99"/>
      <w:bookmarkEnd w:id="100"/>
    </w:p>
    <w:p w:rsidR="00B71A20" w:rsidRPr="000625F6" w:rsidRDefault="000425B4" w:rsidP="001E2850">
      <w:pPr>
        <w:pStyle w:val="Teksttreci0"/>
        <w:numPr>
          <w:ilvl w:val="0"/>
          <w:numId w:val="28"/>
        </w:numPr>
        <w:tabs>
          <w:tab w:val="left" w:pos="505"/>
        </w:tabs>
        <w:jc w:val="both"/>
        <w:rPr>
          <w:lang w:val="pl-PL"/>
        </w:rPr>
      </w:pPr>
      <w:r>
        <w:rPr>
          <w:lang w:val="pl"/>
        </w:rPr>
        <w:t xml:space="preserve">Zgodnie z „ogólnie uznanymi zasadami prawa międzynarodowego” mogą wystąpić szczególne okoliczności zwalniające skarżącego z obowiązku wykorzystania dostępnych krajowych środków odwoławczych </w:t>
      </w:r>
      <w:hyperlink r:id="rId689" w:history="1">
        <w:r>
          <w:rPr>
            <w:lang w:val="pl"/>
          </w:rPr>
          <w:t>(</w:t>
        </w:r>
        <w:r>
          <w:rPr>
            <w:i/>
            <w:iCs/>
            <w:color w:val="0072BC"/>
            <w:lang w:val="pl"/>
          </w:rPr>
          <w:t xml:space="preserve">Sejdovic p. Włochom </w:t>
        </w:r>
      </w:hyperlink>
      <w:r>
        <w:rPr>
          <w:lang w:val="pl"/>
        </w:rPr>
        <w:t>[WI], § 55) (patrz podpunkt 4 poniżej).</w:t>
      </w:r>
    </w:p>
    <w:p w:rsidR="00B71A20" w:rsidRPr="000625F6" w:rsidRDefault="000425B4">
      <w:pPr>
        <w:pStyle w:val="Teksttreci0"/>
        <w:jc w:val="both"/>
        <w:rPr>
          <w:lang w:val="pl-PL"/>
        </w:rPr>
      </w:pPr>
      <w:r>
        <w:rPr>
          <w:lang w:val="pl"/>
        </w:rPr>
        <w:t xml:space="preserve">Zasada ta nie ma zastosowania w przypadku wykazania stosowania „praktyki administracyjnej” polegającej na powtarzaniu czynności będących w sprzeczności z Konwencją i oficjalnym tolerowaniu tego stanu rzeczy przez władze państwa, w wyniku czego postępowanie staje się bezcelowe lub nieskuteczne </w:t>
      </w:r>
      <w:hyperlink r:id="rId690" w:history="1">
        <w:r>
          <w:rPr>
            <w:lang w:val="pl"/>
          </w:rPr>
          <w:t>(</w:t>
        </w:r>
        <w:r>
          <w:rPr>
            <w:i/>
            <w:iCs/>
            <w:color w:val="0072BC"/>
            <w:lang w:val="pl"/>
          </w:rPr>
          <w:t>Aksoy p. Turcji</w:t>
        </w:r>
        <w:r>
          <w:rPr>
            <w:lang w:val="pl"/>
          </w:rPr>
          <w:t>,</w:t>
        </w:r>
      </w:hyperlink>
      <w:r>
        <w:rPr>
          <w:lang w:val="pl"/>
        </w:rPr>
        <w:t xml:space="preserve"> § 52; </w:t>
      </w:r>
      <w:hyperlink r:id="rId691" w:history="1">
        <w:r>
          <w:rPr>
            <w:i/>
            <w:iCs/>
            <w:color w:val="0072BC"/>
            <w:lang w:val="pl"/>
          </w:rPr>
          <w:t xml:space="preserve">Gruzja p. Rosji (I) </w:t>
        </w:r>
      </w:hyperlink>
      <w:r>
        <w:rPr>
          <w:lang w:val="pl"/>
        </w:rPr>
        <w:t>[WI], §§ 125</w:t>
      </w:r>
      <w:r>
        <w:rPr>
          <w:lang w:val="pl"/>
        </w:rPr>
        <w:noBreakHyphen/>
        <w:t>159;</w:t>
      </w:r>
      <w:hyperlink r:id="rId692" w:history="1">
        <w:r>
          <w:rPr>
            <w:i/>
            <w:iCs/>
            <w:lang w:val="pl"/>
          </w:rPr>
          <w:t xml:space="preserve"> </w:t>
        </w:r>
        <w:r>
          <w:rPr>
            <w:i/>
            <w:iCs/>
            <w:color w:val="0072BC"/>
            <w:lang w:val="pl"/>
          </w:rPr>
          <w:t xml:space="preserve">Ukraina p. Rosji (dot. Krymu) </w:t>
        </w:r>
      </w:hyperlink>
      <w:r>
        <w:rPr>
          <w:lang w:val="pl"/>
        </w:rPr>
        <w:t>(dec.) [WI], §§ 260-263</w:t>
      </w:r>
      <w:r>
        <w:rPr>
          <w:sz w:val="24"/>
          <w:szCs w:val="24"/>
          <w:lang w:val="pl"/>
        </w:rPr>
        <w:t xml:space="preserve">, </w:t>
      </w:r>
      <w:r>
        <w:rPr>
          <w:lang w:val="pl"/>
        </w:rPr>
        <w:t xml:space="preserve">363-368; </w:t>
      </w:r>
      <w:hyperlink r:id="rId693" w:history="1">
        <w:r>
          <w:rPr>
            <w:i/>
            <w:iCs/>
            <w:color w:val="0072BC"/>
            <w:lang w:val="pl"/>
          </w:rPr>
          <w:t xml:space="preserve">Gruzja p. Rosji (II) </w:t>
        </w:r>
      </w:hyperlink>
      <w:r>
        <w:rPr>
          <w:lang w:val="pl"/>
        </w:rPr>
        <w:t>[WI], §§ 98-99 i 220-221). Niemniej jednak zasada wyczerpania krajowych środków odwoławczych wynikająca z art. 35 ust. 1 nie ma zastosowania tylko wówczas, gdy oba elementy składowe zarzucanej „praktyki administracyjnej” (tj. „powtarzanie czynności” i „oficjalne tolerowanie tego stanu rzeczy”) znajdują w</w:t>
      </w:r>
      <w:r w:rsidR="007A50B8">
        <w:rPr>
          <w:lang w:val="pl"/>
        </w:rPr>
        <w:t>ystarczające odzwierciedlenie w </w:t>
      </w:r>
      <w:r>
        <w:rPr>
          <w:lang w:val="pl"/>
        </w:rPr>
        <w:t xml:space="preserve">dowodach </w:t>
      </w:r>
      <w:r>
        <w:rPr>
          <w:i/>
          <w:iCs/>
          <w:lang w:val="pl"/>
        </w:rPr>
        <w:t xml:space="preserve">prima facie </w:t>
      </w:r>
      <w:hyperlink r:id="rId694" w:history="1">
        <w:r>
          <w:rPr>
            <w:lang w:val="pl"/>
          </w:rPr>
          <w:t>(</w:t>
        </w:r>
        <w:r>
          <w:rPr>
            <w:i/>
            <w:iCs/>
            <w:color w:val="0072BC"/>
            <w:lang w:val="pl"/>
          </w:rPr>
          <w:t xml:space="preserve">Ukraina p. Rosji (dot. Krymu) </w:t>
        </w:r>
      </w:hyperlink>
      <w:r>
        <w:rPr>
          <w:lang w:val="pl"/>
        </w:rPr>
        <w:t>(dec.) [WI], § 366).</w:t>
      </w:r>
    </w:p>
    <w:p w:rsidR="00B71A20" w:rsidRPr="000625F6" w:rsidRDefault="000425B4">
      <w:pPr>
        <w:pStyle w:val="Teksttreci0"/>
        <w:jc w:val="both"/>
        <w:rPr>
          <w:lang w:val="pl-PL"/>
        </w:rPr>
      </w:pPr>
      <w:r>
        <w:rPr>
          <w:lang w:val="pl"/>
        </w:rPr>
        <w:t>W przypadkach gdy wymóg skorzystania przez skarżącego z d</w:t>
      </w:r>
      <w:r w:rsidR="007A50B8">
        <w:rPr>
          <w:lang w:val="pl"/>
        </w:rPr>
        <w:t>anego środka byłby niemożliwy w </w:t>
      </w:r>
      <w:r>
        <w:rPr>
          <w:lang w:val="pl"/>
        </w:rPr>
        <w:t xml:space="preserve">praktyce i stanowiłby nieproporcjonalną przeszkodę dla skutecznego wykonywania prawa do skargi indywidualnej na podstawie art. 34 Konwencji, Trybunał uzna, że skarżący jest zwolniony z tego wymogu </w:t>
      </w:r>
      <w:hyperlink r:id="rId695" w:history="1">
        <w:r>
          <w:rPr>
            <w:lang w:val="pl"/>
          </w:rPr>
          <w:t>(</w:t>
        </w:r>
        <w:r>
          <w:rPr>
            <w:i/>
            <w:iCs/>
            <w:color w:val="0072BC"/>
            <w:lang w:val="pl"/>
          </w:rPr>
          <w:t>Veriter p. Francji</w:t>
        </w:r>
        <w:r>
          <w:rPr>
            <w:lang w:val="pl"/>
          </w:rPr>
          <w:t>,</w:t>
        </w:r>
      </w:hyperlink>
      <w:r>
        <w:rPr>
          <w:lang w:val="pl"/>
        </w:rPr>
        <w:t xml:space="preserve"> § 27;</w:t>
      </w:r>
      <w:hyperlink r:id="rId696" w:history="1">
        <w:r>
          <w:rPr>
            <w:i/>
            <w:iCs/>
            <w:lang w:val="pl"/>
          </w:rPr>
          <w:t xml:space="preserve"> </w:t>
        </w:r>
        <w:r>
          <w:rPr>
            <w:i/>
            <w:iCs/>
            <w:color w:val="0072BC"/>
            <w:lang w:val="pl"/>
          </w:rPr>
          <w:t>Gaglione i Inni p. Włochom</w:t>
        </w:r>
        <w:r>
          <w:rPr>
            <w:lang w:val="pl"/>
          </w:rPr>
          <w:t>,</w:t>
        </w:r>
      </w:hyperlink>
      <w:r>
        <w:rPr>
          <w:lang w:val="pl"/>
        </w:rPr>
        <w:t xml:space="preserve"> § 22;</w:t>
      </w:r>
      <w:hyperlink r:id="rId697" w:history="1">
        <w:r>
          <w:rPr>
            <w:i/>
            <w:iCs/>
            <w:lang w:val="pl"/>
          </w:rPr>
          <w:t xml:space="preserve"> </w:t>
        </w:r>
        <w:r>
          <w:rPr>
            <w:i/>
            <w:iCs/>
            <w:color w:val="0072BC"/>
            <w:lang w:val="pl"/>
          </w:rPr>
          <w:t>M.S. p. Chorwacji</w:t>
        </w:r>
      </w:hyperlink>
      <w:r>
        <w:rPr>
          <w:i/>
          <w:iCs/>
          <w:color w:val="0072BC"/>
          <w:lang w:val="pl"/>
        </w:rPr>
        <w:t xml:space="preserve"> </w:t>
      </w:r>
      <w:hyperlink r:id="rId698" w:history="1">
        <w:r>
          <w:rPr>
            <w:i/>
            <w:iCs/>
            <w:color w:val="0072BC"/>
            <w:lang w:val="pl"/>
          </w:rPr>
          <w:t>(nr 2)</w:t>
        </w:r>
        <w:r>
          <w:rPr>
            <w:lang w:val="pl"/>
          </w:rPr>
          <w:t>,</w:t>
        </w:r>
      </w:hyperlink>
      <w:r>
        <w:rPr>
          <w:lang w:val="pl"/>
        </w:rPr>
        <w:t xml:space="preserve"> §§ 123-125).</w:t>
      </w:r>
    </w:p>
    <w:p w:rsidR="00B71A20" w:rsidRPr="000625F6" w:rsidRDefault="000425B4">
      <w:pPr>
        <w:pStyle w:val="Teksttreci0"/>
        <w:jc w:val="both"/>
        <w:rPr>
          <w:lang w:val="pl-PL"/>
        </w:rPr>
      </w:pPr>
      <w:r>
        <w:rPr>
          <w:lang w:val="pl"/>
        </w:rPr>
        <w:t xml:space="preserve">Nałożenie grzywny w związku z wynikiem postępowania odwoławczego w przypadku braku stwierdzenia naruszenia wyklucza taki środek odwoławczy z grupy środków, które należy wykorzystać </w:t>
      </w:r>
      <w:hyperlink r:id="rId699" w:history="1">
        <w:r>
          <w:rPr>
            <w:lang w:val="pl"/>
          </w:rPr>
          <w:t>(</w:t>
        </w:r>
        <w:r>
          <w:rPr>
            <w:i/>
            <w:iCs/>
            <w:color w:val="0072BC"/>
            <w:lang w:val="pl"/>
          </w:rPr>
          <w:t>Prencipe p. Monako</w:t>
        </w:r>
        <w:r>
          <w:rPr>
            <w:lang w:val="pl"/>
          </w:rPr>
          <w:t>,</w:t>
        </w:r>
      </w:hyperlink>
      <w:r>
        <w:rPr>
          <w:lang w:val="pl"/>
        </w:rPr>
        <w:t xml:space="preserve"> §§ 95-97).</w:t>
      </w:r>
    </w:p>
    <w:p w:rsidR="00B71A20" w:rsidRPr="000625F6" w:rsidRDefault="000425B4">
      <w:pPr>
        <w:pStyle w:val="Teksttreci0"/>
        <w:jc w:val="both"/>
        <w:rPr>
          <w:lang w:val="pl-PL"/>
        </w:rPr>
      </w:pPr>
      <w:r>
        <w:rPr>
          <w:lang w:val="pl"/>
        </w:rPr>
        <w:t xml:space="preserve">W sytuacjach budzących uprawnione wątpliwości co do bezstronności sędziego w świetle art. 6 Konwencji może być tak, że to nie skarżący ma wystąpić o wyłączenie sędziego, lecz sędzia ma zostać odsunięty od sprawy, ponieważ wymagają tego przepisy krajowe </w:t>
      </w:r>
      <w:hyperlink r:id="rId700" w:history="1">
        <w:r>
          <w:rPr>
            <w:lang w:val="pl"/>
          </w:rPr>
          <w:t>(</w:t>
        </w:r>
        <w:r>
          <w:rPr>
            <w:i/>
            <w:iCs/>
            <w:color w:val="0072BC"/>
            <w:lang w:val="pl"/>
          </w:rPr>
          <w:t>Škrlj p. Chorwacji</w:t>
        </w:r>
        <w:r>
          <w:rPr>
            <w:lang w:val="pl"/>
          </w:rPr>
          <w:t>,</w:t>
        </w:r>
      </w:hyperlink>
      <w:r w:rsidR="007A50B8">
        <w:rPr>
          <w:lang w:val="pl"/>
        </w:rPr>
        <w:t xml:space="preserve"> §§ 43</w:t>
      </w:r>
      <w:r w:rsidR="007A50B8">
        <w:rPr>
          <w:lang w:val="pl"/>
        </w:rPr>
        <w:noBreakHyphen/>
        <w:t>45 i </w:t>
      </w:r>
      <w:r>
        <w:rPr>
          <w:lang w:val="pl"/>
        </w:rPr>
        <w:t xml:space="preserve">cytowane tam odniesienia). Jeśli nie jest dostępny dalszy środek odwoławczy, ponieważ skarżący zarzuca naruszenie art. 6 ust. 1 Konwencji z powodu braku bezstronności organu sądowego ostatniej instancji w krajowym systemie prawnym, zgodnie z zasadą subsydiarności od skarżących może być wymagana szczególna staranność w spełnieniu wymogu wyczerpania krajowych środków odwoławczych (np. polegająca na wystąpieniu o wyłączenie danego sędziego). Oczywiście są to względy mające zastosowanie wyłącznie do sytuacji, w której skarżący znał albo mógł poznać dany skład orzekający </w:t>
      </w:r>
      <w:hyperlink r:id="rId701" w:history="1">
        <w:r>
          <w:rPr>
            <w:lang w:val="pl"/>
          </w:rPr>
          <w:t>(</w:t>
        </w:r>
        <w:r>
          <w:rPr>
            <w:i/>
            <w:iCs/>
            <w:color w:val="0072BC"/>
            <w:lang w:val="pl"/>
          </w:rPr>
          <w:t>Croatian Golf Federation p. Chorwacji</w:t>
        </w:r>
        <w:r>
          <w:rPr>
            <w:lang w:val="pl"/>
          </w:rPr>
          <w:t>,</w:t>
        </w:r>
      </w:hyperlink>
      <w:r>
        <w:rPr>
          <w:lang w:val="pl"/>
        </w:rPr>
        <w:t xml:space="preserve"> §§ 110-120, i cytowane tam odniesienia).</w:t>
      </w:r>
    </w:p>
    <w:p w:rsidR="00B71A20" w:rsidRPr="000625F6" w:rsidRDefault="000425B4">
      <w:pPr>
        <w:pStyle w:val="Teksttreci0"/>
        <w:spacing w:after="220"/>
        <w:jc w:val="both"/>
        <w:rPr>
          <w:lang w:val="pl-PL"/>
        </w:rPr>
      </w:pPr>
      <w:bookmarkStart w:id="101" w:name="bookmark100"/>
      <w:r>
        <w:rPr>
          <w:lang w:val="pl"/>
        </w:rPr>
        <w:t>Co do zasady wymóg wyczerpania krajowych środków odwoławczych, w tym możliwości wznowienia postępowania, nie ma zastosowania do roszczeń o słuszne zadośćuczyni</w:t>
      </w:r>
      <w:r w:rsidR="007A50B8">
        <w:rPr>
          <w:lang w:val="pl"/>
        </w:rPr>
        <w:t>enie wniesionych w świetle art. </w:t>
      </w:r>
      <w:r>
        <w:rPr>
          <w:lang w:val="pl"/>
        </w:rPr>
        <w:t xml:space="preserve">41 Konwencji </w:t>
      </w:r>
      <w:hyperlink r:id="rId702" w:history="1">
        <w:r>
          <w:rPr>
            <w:lang w:val="pl"/>
          </w:rPr>
          <w:t>(</w:t>
        </w:r>
        <w:r>
          <w:rPr>
            <w:i/>
            <w:iCs/>
            <w:color w:val="0072BC"/>
            <w:lang w:val="pl"/>
          </w:rPr>
          <w:t xml:space="preserve">Jalloh p. Niemcom </w:t>
        </w:r>
      </w:hyperlink>
      <w:r>
        <w:rPr>
          <w:lang w:val="pl"/>
        </w:rPr>
        <w:t>[WI], § 129;</w:t>
      </w:r>
      <w:hyperlink r:id="rId703" w:history="1">
        <w:r>
          <w:rPr>
            <w:i/>
            <w:iCs/>
            <w:lang w:val="pl"/>
          </w:rPr>
          <w:t xml:space="preserve"> </w:t>
        </w:r>
        <w:r>
          <w:rPr>
            <w:i/>
            <w:iCs/>
            <w:color w:val="0072BC"/>
            <w:lang w:val="pl"/>
          </w:rPr>
          <w:t xml:space="preserve">S.L. i J.L. p. Chorwacji </w:t>
        </w:r>
      </w:hyperlink>
      <w:r>
        <w:rPr>
          <w:lang w:val="pl"/>
        </w:rPr>
        <w:t>(słuszne zadośćuczynienie), § 15).</w:t>
      </w:r>
      <w:bookmarkEnd w:id="101"/>
    </w:p>
    <w:p w:rsidR="00B71A20" w:rsidRDefault="001E2850" w:rsidP="001E2850">
      <w:pPr>
        <w:pStyle w:val="Nagwek31"/>
        <w:keepNext/>
        <w:keepLines/>
        <w:tabs>
          <w:tab w:val="left" w:pos="340"/>
        </w:tabs>
        <w:spacing w:after="100"/>
        <w:jc w:val="both"/>
      </w:pPr>
      <w:bookmarkStart w:id="102" w:name="_Toc126335632"/>
      <w:bookmarkStart w:id="103" w:name="_Toc126660586"/>
      <w:r>
        <w:rPr>
          <w:lang w:val="pl"/>
        </w:rPr>
        <w:t xml:space="preserve">4.  </w:t>
      </w:r>
      <w:r w:rsidR="000425B4">
        <w:rPr>
          <w:lang w:val="pl"/>
        </w:rPr>
        <w:t>Rozłożenie ciężaru dowodu</w:t>
      </w:r>
      <w:bookmarkEnd w:id="102"/>
      <w:bookmarkEnd w:id="103"/>
    </w:p>
    <w:p w:rsidR="00B71A20" w:rsidRPr="000625F6" w:rsidRDefault="000425B4" w:rsidP="00115011">
      <w:pPr>
        <w:pStyle w:val="Teksttreci0"/>
        <w:numPr>
          <w:ilvl w:val="0"/>
          <w:numId w:val="28"/>
        </w:numPr>
        <w:tabs>
          <w:tab w:val="left" w:pos="514"/>
        </w:tabs>
        <w:spacing w:after="120"/>
        <w:jc w:val="both"/>
        <w:rPr>
          <w:lang w:val="pl-PL"/>
        </w:rPr>
      </w:pPr>
      <w:r>
        <w:rPr>
          <w:lang w:val="pl"/>
        </w:rPr>
        <w:t>Jeżeli rząd podnosi zarzut niewyczerpania krajowych środków odwoławczych, ponosi on ciężar udowodnienia, że skarżący nie wykorzystał środka odwoławczego, któ</w:t>
      </w:r>
      <w:r w:rsidR="007A50B8">
        <w:rPr>
          <w:lang w:val="pl"/>
        </w:rPr>
        <w:t>ry był jednocześnie skuteczny i </w:t>
      </w:r>
      <w:r>
        <w:rPr>
          <w:lang w:val="pl"/>
        </w:rPr>
        <w:t xml:space="preserve">dostępny </w:t>
      </w:r>
      <w:hyperlink r:id="rId704" w:history="1">
        <w:r>
          <w:rPr>
            <w:lang w:val="pl"/>
          </w:rPr>
          <w:t>(</w:t>
        </w:r>
        <w:r>
          <w:rPr>
            <w:i/>
            <w:iCs/>
            <w:color w:val="0072BC"/>
            <w:lang w:val="pl"/>
          </w:rPr>
          <w:t>Molla Sali</w:t>
        </w:r>
      </w:hyperlink>
      <w:r>
        <w:rPr>
          <w:i/>
          <w:iCs/>
          <w:color w:val="0072BC"/>
          <w:lang w:val="pl"/>
        </w:rPr>
        <w:t xml:space="preserve"> </w:t>
      </w:r>
      <w:hyperlink r:id="rId705" w:history="1">
        <w:r>
          <w:rPr>
            <w:i/>
            <w:iCs/>
            <w:color w:val="0072BC"/>
            <w:lang w:val="pl"/>
          </w:rPr>
          <w:t xml:space="preserve">p. Grecji </w:t>
        </w:r>
      </w:hyperlink>
      <w:r>
        <w:rPr>
          <w:lang w:val="pl"/>
        </w:rPr>
        <w:t>[WI], § 89;</w:t>
      </w:r>
      <w:hyperlink r:id="rId706" w:history="1">
        <w:r>
          <w:rPr>
            <w:i/>
            <w:iCs/>
            <w:lang w:val="pl"/>
          </w:rPr>
          <w:t xml:space="preserve"> </w:t>
        </w:r>
        <w:r>
          <w:rPr>
            <w:i/>
            <w:iCs/>
            <w:color w:val="0072BC"/>
            <w:lang w:val="pl"/>
          </w:rPr>
          <w:t xml:space="preserve">Mocanu i Inni p. Rumunii </w:t>
        </w:r>
      </w:hyperlink>
      <w:r>
        <w:rPr>
          <w:lang w:val="pl"/>
        </w:rPr>
        <w:t>[WI], § 225;</w:t>
      </w:r>
      <w:hyperlink r:id="rId707" w:history="1">
        <w:r>
          <w:rPr>
            <w:i/>
            <w:iCs/>
            <w:lang w:val="pl"/>
          </w:rPr>
          <w:t xml:space="preserve"> </w:t>
        </w:r>
        <w:r>
          <w:rPr>
            <w:i/>
            <w:iCs/>
            <w:color w:val="0072BC"/>
            <w:lang w:val="pl"/>
          </w:rPr>
          <w:t>Dalia p. Francji</w:t>
        </w:r>
        <w:r>
          <w:rPr>
            <w:lang w:val="pl"/>
          </w:rPr>
          <w:t>,</w:t>
        </w:r>
      </w:hyperlink>
      <w:r>
        <w:rPr>
          <w:lang w:val="pl"/>
        </w:rPr>
        <w:t xml:space="preserve"> § 38;</w:t>
      </w:r>
      <w:hyperlink r:id="rId708" w:history="1">
        <w:r>
          <w:rPr>
            <w:i/>
            <w:iCs/>
            <w:lang w:val="pl"/>
          </w:rPr>
          <w:t xml:space="preserve"> </w:t>
        </w:r>
        <w:r>
          <w:rPr>
            <w:i/>
            <w:iCs/>
            <w:color w:val="0072BC"/>
            <w:lang w:val="pl"/>
          </w:rPr>
          <w:t>McFarlane</w:t>
        </w:r>
      </w:hyperlink>
      <w:r>
        <w:rPr>
          <w:i/>
          <w:iCs/>
          <w:color w:val="0072BC"/>
          <w:lang w:val="pl"/>
        </w:rPr>
        <w:t xml:space="preserve"> </w:t>
      </w:r>
      <w:hyperlink r:id="rId709" w:history="1">
        <w:r>
          <w:rPr>
            <w:i/>
            <w:iCs/>
            <w:color w:val="0072BC"/>
            <w:lang w:val="pl"/>
          </w:rPr>
          <w:t xml:space="preserve">p. Irlandii </w:t>
        </w:r>
      </w:hyperlink>
      <w:r>
        <w:rPr>
          <w:lang w:val="pl"/>
        </w:rPr>
        <w:t>[WI], § 107;</w:t>
      </w:r>
      <w:hyperlink r:id="rId710" w:history="1">
        <w:r>
          <w:rPr>
            <w:i/>
            <w:iCs/>
            <w:lang w:val="pl"/>
          </w:rPr>
          <w:t xml:space="preserve"> </w:t>
        </w:r>
        <w:r>
          <w:rPr>
            <w:i/>
            <w:iCs/>
            <w:color w:val="0072BC"/>
            <w:lang w:val="pl"/>
          </w:rPr>
          <w:t xml:space="preserve">Vučković i Inni p. Serbii </w:t>
        </w:r>
      </w:hyperlink>
      <w:r>
        <w:rPr>
          <w:lang w:val="pl"/>
        </w:rPr>
        <w:t xml:space="preserve">(zastrzeżenie wstępne) [WI], § 77). Dostępność takiego środka musi być wystarczająco pewna w prawie i w praktyce </w:t>
      </w:r>
      <w:hyperlink r:id="rId711" w:history="1">
        <w:r>
          <w:rPr>
            <w:lang w:val="pl"/>
          </w:rPr>
          <w:t>(</w:t>
        </w:r>
        <w:r>
          <w:rPr>
            <w:i/>
            <w:iCs/>
            <w:color w:val="0072BC"/>
            <w:lang w:val="pl"/>
          </w:rPr>
          <w:t>Vernillo p. Francji</w:t>
        </w:r>
        <w:r>
          <w:rPr>
            <w:lang w:val="pl"/>
          </w:rPr>
          <w:t>)</w:t>
        </w:r>
      </w:hyperlink>
      <w:r>
        <w:rPr>
          <w:i/>
          <w:iCs/>
          <w:lang w:val="pl"/>
        </w:rPr>
        <w:t>.</w:t>
      </w:r>
      <w:r>
        <w:rPr>
          <w:lang w:val="pl"/>
        </w:rPr>
        <w:t xml:space="preserve"> Podstawa prawna środka odwoławczego określona w prawie krajowym musi być zatem wyraźna </w:t>
      </w:r>
      <w:hyperlink r:id="rId712" w:history="1">
        <w:r>
          <w:rPr>
            <w:lang w:val="pl"/>
          </w:rPr>
          <w:t>(</w:t>
        </w:r>
        <w:r>
          <w:rPr>
            <w:i/>
            <w:iCs/>
            <w:color w:val="0072BC"/>
            <w:lang w:val="pl"/>
          </w:rPr>
          <w:t>Scavuzzo-Hager i Inni</w:t>
        </w:r>
      </w:hyperlink>
      <w:r>
        <w:rPr>
          <w:i/>
          <w:iCs/>
          <w:color w:val="0072BC"/>
          <w:lang w:val="pl"/>
        </w:rPr>
        <w:t xml:space="preserve"> </w:t>
      </w:r>
      <w:hyperlink r:id="rId713" w:history="1">
        <w:r>
          <w:rPr>
            <w:i/>
            <w:iCs/>
            <w:color w:val="0072BC"/>
            <w:lang w:val="pl"/>
          </w:rPr>
          <w:t xml:space="preserve">p. Szwajcarii </w:t>
        </w:r>
      </w:hyperlink>
      <w:r>
        <w:rPr>
          <w:lang w:val="pl"/>
        </w:rPr>
        <w:t>(dec.);</w:t>
      </w:r>
      <w:hyperlink r:id="rId714" w:history="1">
        <w:r>
          <w:rPr>
            <w:lang w:val="pl"/>
          </w:rPr>
          <w:t xml:space="preserve"> </w:t>
        </w:r>
        <w:r>
          <w:rPr>
            <w:i/>
            <w:iCs/>
            <w:color w:val="0072BC"/>
            <w:lang w:val="pl"/>
          </w:rPr>
          <w:t>Norbert Sikorski p. Polsce</w:t>
        </w:r>
        <w:r>
          <w:rPr>
            <w:lang w:val="pl"/>
          </w:rPr>
          <w:t>,</w:t>
        </w:r>
      </w:hyperlink>
      <w:r>
        <w:rPr>
          <w:lang w:val="pl"/>
        </w:rPr>
        <w:t xml:space="preserve"> § 117;</w:t>
      </w:r>
      <w:hyperlink r:id="rId715" w:history="1">
        <w:r>
          <w:rPr>
            <w:lang w:val="pl"/>
          </w:rPr>
          <w:t xml:space="preserve"> </w:t>
        </w:r>
        <w:r>
          <w:rPr>
            <w:i/>
            <w:iCs/>
            <w:color w:val="0072BC"/>
            <w:lang w:val="pl"/>
          </w:rPr>
          <w:t xml:space="preserve">Sürmeli p. Niemcom </w:t>
        </w:r>
      </w:hyperlink>
      <w:r>
        <w:rPr>
          <w:lang w:val="pl"/>
        </w:rPr>
        <w:t>[WI], §§ 110-112). Środek odwoławczy musi umożliwiać zapewnienie zadośćuczynienia w odniesieniu do zarzutów podniesionych przez skarżącego i dawać zasadne szanse powodzenia</w:t>
      </w:r>
      <w:r>
        <w:rPr>
          <w:i/>
          <w:iCs/>
          <w:lang w:val="pl"/>
        </w:rPr>
        <w:t xml:space="preserve"> </w:t>
      </w:r>
      <w:hyperlink r:id="rId716" w:history="1">
        <w:r>
          <w:rPr>
            <w:lang w:val="pl"/>
          </w:rPr>
          <w:t>(</w:t>
        </w:r>
        <w:r>
          <w:rPr>
            <w:i/>
            <w:iCs/>
            <w:color w:val="0072BC"/>
            <w:lang w:val="pl"/>
          </w:rPr>
          <w:t xml:space="preserve">Scoppola p. Włochom (nr 2) </w:t>
        </w:r>
      </w:hyperlink>
      <w:r>
        <w:rPr>
          <w:lang w:val="pl"/>
        </w:rPr>
        <w:t>[WI], § 71;</w:t>
      </w:r>
      <w:hyperlink r:id="rId717" w:history="1">
        <w:r>
          <w:rPr>
            <w:lang w:val="pl"/>
          </w:rPr>
          <w:t xml:space="preserve"> </w:t>
        </w:r>
        <w:r>
          <w:rPr>
            <w:i/>
            <w:iCs/>
            <w:color w:val="0072BC"/>
            <w:lang w:val="pl"/>
          </w:rPr>
          <w:t>Magyar Keresztény Mennonita</w:t>
        </w:r>
      </w:hyperlink>
      <w:r>
        <w:rPr>
          <w:i/>
          <w:iCs/>
          <w:color w:val="0072BC"/>
          <w:lang w:val="pl"/>
        </w:rPr>
        <w:t xml:space="preserve"> </w:t>
      </w:r>
      <w:hyperlink r:id="rId718" w:history="1">
        <w:r>
          <w:rPr>
            <w:i/>
            <w:iCs/>
            <w:color w:val="0072BC"/>
            <w:lang w:val="pl"/>
          </w:rPr>
          <w:t>Egyház i Inni p. Węgrom</w:t>
        </w:r>
        <w:r>
          <w:rPr>
            <w:lang w:val="pl"/>
          </w:rPr>
          <w:t>,</w:t>
        </w:r>
      </w:hyperlink>
      <w:r>
        <w:rPr>
          <w:lang w:val="pl"/>
        </w:rPr>
        <w:t xml:space="preserve"> § 50;</w:t>
      </w:r>
      <w:hyperlink r:id="rId719" w:history="1">
        <w:r>
          <w:rPr>
            <w:lang w:val="pl"/>
          </w:rPr>
          <w:t xml:space="preserve"> </w:t>
        </w:r>
        <w:r>
          <w:rPr>
            <w:i/>
            <w:iCs/>
            <w:color w:val="0072BC"/>
            <w:lang w:val="pl"/>
          </w:rPr>
          <w:t xml:space="preserve">Karácsony i Inni p. Węgrom </w:t>
        </w:r>
      </w:hyperlink>
      <w:r>
        <w:rPr>
          <w:lang w:val="pl"/>
        </w:rPr>
        <w:t>[WI], §§ 75-82;</w:t>
      </w:r>
      <w:hyperlink r:id="rId720" w:history="1">
        <w:r>
          <w:rPr>
            <w:lang w:val="pl"/>
          </w:rPr>
          <w:t xml:space="preserve"> </w:t>
        </w:r>
        <w:r>
          <w:rPr>
            <w:i/>
            <w:iCs/>
            <w:color w:val="0072BC"/>
            <w:lang w:val="pl"/>
          </w:rPr>
          <w:t>Selahattin</w:t>
        </w:r>
      </w:hyperlink>
      <w:r>
        <w:rPr>
          <w:i/>
          <w:iCs/>
          <w:color w:val="0072BC"/>
          <w:lang w:val="pl"/>
        </w:rPr>
        <w:t xml:space="preserve"> </w:t>
      </w:r>
      <w:hyperlink r:id="rId721" w:history="1">
        <w:r>
          <w:rPr>
            <w:i/>
            <w:iCs/>
            <w:color w:val="0072BC"/>
            <w:lang w:val="pl"/>
          </w:rPr>
          <w:t xml:space="preserve">Demirtaş p. Turcji (nr 2) </w:t>
        </w:r>
      </w:hyperlink>
      <w:r>
        <w:rPr>
          <w:lang w:val="pl"/>
        </w:rPr>
        <w:t xml:space="preserve">[WI], § 205). Odnosząc się do przykładu bezprawnego użycia siły przez funkcjonariuszy państwowych, pozew prowadzący wyłącznie do przyznania </w:t>
      </w:r>
      <w:r>
        <w:rPr>
          <w:lang w:val="pl"/>
        </w:rPr>
        <w:lastRenderedPageBreak/>
        <w:t xml:space="preserve">odszkodowania nie jest skutecznym środkiem odwoławczym w kontekście skarg opartych na aspekcie materialnym lub proceduralnym art. 2 i 3 Konwencji </w:t>
      </w:r>
      <w:hyperlink r:id="rId722" w:history="1">
        <w:r>
          <w:rPr>
            <w:lang w:val="pl"/>
          </w:rPr>
          <w:t>(</w:t>
        </w:r>
        <w:r>
          <w:rPr>
            <w:i/>
            <w:iCs/>
            <w:color w:val="0072BC"/>
            <w:lang w:val="pl"/>
          </w:rPr>
          <w:t xml:space="preserve">Mocanu i Inni p. Rumunii </w:t>
        </w:r>
      </w:hyperlink>
      <w:r>
        <w:rPr>
          <w:lang w:val="pl"/>
        </w:rPr>
        <w:t>[WI], §§ 227 i 234;</w:t>
      </w:r>
      <w:hyperlink r:id="rId723" w:history="1">
        <w:r>
          <w:rPr>
            <w:lang w:val="pl"/>
          </w:rPr>
          <w:t xml:space="preserve"> </w:t>
        </w:r>
        <w:r>
          <w:rPr>
            <w:i/>
            <w:iCs/>
            <w:color w:val="0072BC"/>
            <w:lang w:val="pl"/>
          </w:rPr>
          <w:t xml:space="preserve">Jørgensen i Inni p. Danii </w:t>
        </w:r>
      </w:hyperlink>
      <w:r>
        <w:rPr>
          <w:lang w:val="pl"/>
        </w:rPr>
        <w:t>(dec.), §§ 52</w:t>
      </w:r>
      <w:r>
        <w:rPr>
          <w:lang w:val="pl"/>
        </w:rPr>
        <w:noBreakHyphen/>
        <w:t>53; patrz z kolei sprawy dotycz</w:t>
      </w:r>
      <w:r w:rsidR="007A50B8">
        <w:rPr>
          <w:lang w:val="pl"/>
        </w:rPr>
        <w:t>ące błędu w sztuce medycznej, w </w:t>
      </w:r>
      <w:r>
        <w:rPr>
          <w:lang w:val="pl"/>
        </w:rPr>
        <w:t>których Trybunał dopuszcza albo wymaga, by skarżący wstąpili na drogę cywilną lub administracyjną w celu uzyskania rekompensaty,</w:t>
      </w:r>
      <w:hyperlink r:id="rId724" w:history="1">
        <w:r>
          <w:rPr>
            <w:lang w:val="pl"/>
          </w:rPr>
          <w:t xml:space="preserve"> </w:t>
        </w:r>
        <w:r>
          <w:rPr>
            <w:i/>
            <w:iCs/>
            <w:color w:val="0072BC"/>
            <w:lang w:val="pl"/>
          </w:rPr>
          <w:t>Lopes de Sousa Fernandes</w:t>
        </w:r>
      </w:hyperlink>
      <w:r>
        <w:rPr>
          <w:i/>
          <w:iCs/>
          <w:color w:val="0072BC"/>
          <w:lang w:val="pl"/>
        </w:rPr>
        <w:t xml:space="preserve"> </w:t>
      </w:r>
      <w:hyperlink r:id="rId725" w:history="1">
        <w:r>
          <w:rPr>
            <w:i/>
            <w:iCs/>
            <w:color w:val="0072BC"/>
            <w:lang w:val="pl"/>
          </w:rPr>
          <w:t xml:space="preserve">p. Portugalii </w:t>
        </w:r>
      </w:hyperlink>
      <w:r>
        <w:rPr>
          <w:lang w:val="pl"/>
        </w:rPr>
        <w:t>[WI], §§ 137</w:t>
      </w:r>
      <w:r>
        <w:rPr>
          <w:lang w:val="pl"/>
        </w:rPr>
        <w:noBreakHyphen/>
        <w:t>138;</w:t>
      </w:r>
      <w:hyperlink r:id="rId726" w:history="1">
        <w:r>
          <w:rPr>
            <w:lang w:val="pl"/>
          </w:rPr>
          <w:t xml:space="preserve"> </w:t>
        </w:r>
        <w:r>
          <w:rPr>
            <w:i/>
            <w:iCs/>
            <w:color w:val="0072BC"/>
            <w:lang w:val="pl"/>
          </w:rPr>
          <w:t xml:space="preserve">V.P. p. Estonii </w:t>
        </w:r>
      </w:hyperlink>
      <w:r>
        <w:rPr>
          <w:lang w:val="pl"/>
        </w:rPr>
        <w:t>(dec.), §§ 52</w:t>
      </w:r>
      <w:r>
        <w:rPr>
          <w:lang w:val="pl"/>
        </w:rPr>
        <w:noBreakHyphen/>
        <w:t>61;</w:t>
      </w:r>
      <w:hyperlink r:id="rId727" w:history="1">
        <w:r>
          <w:rPr>
            <w:lang w:val="pl"/>
          </w:rPr>
          <w:t xml:space="preserve"> </w:t>
        </w:r>
        <w:r>
          <w:rPr>
            <w:i/>
            <w:iCs/>
            <w:color w:val="0072BC"/>
            <w:lang w:val="pl"/>
          </w:rPr>
          <w:t xml:space="preserve">Dumpe p. Łotwie </w:t>
        </w:r>
      </w:hyperlink>
      <w:r>
        <w:rPr>
          <w:lang w:val="pl"/>
        </w:rPr>
        <w:t>(dec.), §§ 55</w:t>
      </w:r>
      <w:r>
        <w:rPr>
          <w:lang w:val="pl"/>
        </w:rPr>
        <w:noBreakHyphen/>
        <w:t>76; patrz też z kolei sprawy dotyczące zarzucanego niezapewnienia ochrony własności przez państwo w kontekście niebezpiecznej działalności przemysłowej, np. sprawa dotycząca wybuchu w rafinerii ropy naftowej, który spowodował uszkodzenie mienia,</w:t>
      </w:r>
      <w:hyperlink r:id="rId728" w:history="1">
        <w:r>
          <w:rPr>
            <w:lang w:val="pl"/>
          </w:rPr>
          <w:t xml:space="preserve"> </w:t>
        </w:r>
        <w:r>
          <w:rPr>
            <w:i/>
            <w:iCs/>
            <w:color w:val="0072BC"/>
            <w:lang w:val="pl"/>
          </w:rPr>
          <w:t>Kurşun p. Turcji</w:t>
        </w:r>
        <w:r>
          <w:rPr>
            <w:lang w:val="pl"/>
          </w:rPr>
          <w:t>,</w:t>
        </w:r>
      </w:hyperlink>
      <w:r>
        <w:rPr>
          <w:lang w:val="pl"/>
        </w:rPr>
        <w:t xml:space="preserve"> §§ 118</w:t>
      </w:r>
      <w:r>
        <w:rPr>
          <w:lang w:val="pl"/>
        </w:rPr>
        <w:noBreakHyphen/>
        <w:t xml:space="preserve">132). Rozwój i dostępność przypuszczalnie istniejącego środka odwoławczego, w tym jego zakres i zastosowanie, muszą być jasno określone i potwierdzone lub uzupełnione przez praktykę lub orzecznictwo </w:t>
      </w:r>
      <w:hyperlink r:id="rId729" w:history="1">
        <w:r>
          <w:rPr>
            <w:lang w:val="pl"/>
          </w:rPr>
          <w:t>(</w:t>
        </w:r>
        <w:r>
          <w:rPr>
            <w:i/>
            <w:iCs/>
            <w:color w:val="0072BC"/>
            <w:lang w:val="pl"/>
          </w:rPr>
          <w:t>Mikolajová p. Słowacji</w:t>
        </w:r>
        <w:r>
          <w:rPr>
            <w:lang w:val="pl"/>
          </w:rPr>
          <w:t xml:space="preserve">, </w:t>
        </w:r>
      </w:hyperlink>
      <w:r>
        <w:rPr>
          <w:lang w:val="pl"/>
        </w:rPr>
        <w:t xml:space="preserve">§ 34). Ma to też zastosowanie w kontekście systemu prawa ze spisaną konstytucją, z elementami inspirowanymi systemem prawa </w:t>
      </w:r>
      <w:r>
        <w:rPr>
          <w:i/>
          <w:iCs/>
          <w:lang w:val="pl"/>
        </w:rPr>
        <w:t>commom law</w:t>
      </w:r>
      <w:r>
        <w:rPr>
          <w:lang w:val="pl"/>
        </w:rPr>
        <w:t>, bezpośrednio zapewniającego prawo, na które powoływał się skarżący</w:t>
      </w:r>
      <w:r>
        <w:rPr>
          <w:i/>
          <w:iCs/>
          <w:lang w:val="pl"/>
        </w:rPr>
        <w:t xml:space="preserve"> </w:t>
      </w:r>
      <w:hyperlink r:id="rId730" w:history="1">
        <w:r>
          <w:rPr>
            <w:lang w:val="pl"/>
          </w:rPr>
          <w:t>(</w:t>
        </w:r>
        <w:r w:rsidR="007A50B8">
          <w:rPr>
            <w:i/>
            <w:iCs/>
            <w:color w:val="0072BC"/>
            <w:lang w:val="pl"/>
          </w:rPr>
          <w:t>McFarlane p. </w:t>
        </w:r>
        <w:r>
          <w:rPr>
            <w:i/>
            <w:iCs/>
            <w:color w:val="0072BC"/>
            <w:lang w:val="pl"/>
          </w:rPr>
          <w:t xml:space="preserve">Irlandii </w:t>
        </w:r>
      </w:hyperlink>
      <w:r>
        <w:rPr>
          <w:lang w:val="pl"/>
        </w:rPr>
        <w:t>[WI], § 117, odnośnie do środka odwoławczego, który był dostępny w teorii przez niemal dwadzieścia pięć lat, ale nigdy nie został wykorzystany).</w:t>
      </w:r>
    </w:p>
    <w:p w:rsidR="00B71A20" w:rsidRPr="000625F6" w:rsidRDefault="000425B4">
      <w:pPr>
        <w:pStyle w:val="Teksttreci0"/>
        <w:spacing w:after="120"/>
        <w:jc w:val="both"/>
        <w:rPr>
          <w:lang w:val="pl-PL"/>
        </w:rPr>
      </w:pPr>
      <w:r>
        <w:rPr>
          <w:lang w:val="pl"/>
        </w:rPr>
        <w:t>Argumenty rządu będą z pewnością mieć większą wagę, jeśli zo</w:t>
      </w:r>
      <w:r w:rsidR="007A50B8">
        <w:rPr>
          <w:lang w:val="pl"/>
        </w:rPr>
        <w:t>staną przedstawione przykłady z </w:t>
      </w:r>
      <w:r>
        <w:rPr>
          <w:lang w:val="pl"/>
        </w:rPr>
        <w:t xml:space="preserve">krajowego orzecznictwa </w:t>
      </w:r>
      <w:hyperlink r:id="rId731" w:history="1">
        <w:r>
          <w:rPr>
            <w:lang w:val="pl"/>
          </w:rPr>
          <w:t>(</w:t>
        </w:r>
        <w:r>
          <w:rPr>
            <w:i/>
            <w:iCs/>
            <w:color w:val="0072BC"/>
            <w:lang w:val="pl"/>
          </w:rPr>
          <w:t xml:space="preserve">Andrášik i Inni p. Słowacji </w:t>
        </w:r>
      </w:hyperlink>
      <w:r>
        <w:rPr>
          <w:lang w:val="pl"/>
        </w:rPr>
        <w:t>(dec.);</w:t>
      </w:r>
      <w:hyperlink r:id="rId732" w:history="1">
        <w:r>
          <w:rPr>
            <w:i/>
            <w:iCs/>
            <w:lang w:val="pl"/>
          </w:rPr>
          <w:t xml:space="preserve"> </w:t>
        </w:r>
        <w:r>
          <w:rPr>
            <w:i/>
            <w:iCs/>
            <w:color w:val="0072BC"/>
            <w:lang w:val="pl"/>
          </w:rPr>
          <w:t xml:space="preserve">Di Sante p. Włochom </w:t>
        </w:r>
      </w:hyperlink>
      <w:r>
        <w:rPr>
          <w:lang w:val="pl"/>
        </w:rPr>
        <w:t>(dec.);</w:t>
      </w:r>
      <w:hyperlink r:id="rId733" w:history="1">
        <w:r>
          <w:rPr>
            <w:i/>
            <w:iCs/>
            <w:lang w:val="pl"/>
          </w:rPr>
          <w:t xml:space="preserve"> </w:t>
        </w:r>
        <w:r w:rsidR="007A50B8">
          <w:rPr>
            <w:i/>
            <w:iCs/>
            <w:color w:val="0072BC"/>
            <w:lang w:val="pl"/>
          </w:rPr>
          <w:t>Giummarra i </w:t>
        </w:r>
        <w:r>
          <w:rPr>
            <w:i/>
            <w:iCs/>
            <w:color w:val="0072BC"/>
            <w:lang w:val="pl"/>
          </w:rPr>
          <w:t>Inni</w:t>
        </w:r>
      </w:hyperlink>
      <w:r>
        <w:rPr>
          <w:i/>
          <w:iCs/>
          <w:color w:val="0072BC"/>
          <w:lang w:val="pl"/>
        </w:rPr>
        <w:t xml:space="preserve"> </w:t>
      </w:r>
      <w:hyperlink r:id="rId734" w:history="1">
        <w:r>
          <w:rPr>
            <w:i/>
            <w:iCs/>
            <w:color w:val="0072BC"/>
            <w:lang w:val="pl"/>
          </w:rPr>
          <w:t xml:space="preserve">p. Francji </w:t>
        </w:r>
      </w:hyperlink>
      <w:r>
        <w:rPr>
          <w:lang w:val="pl"/>
        </w:rPr>
        <w:t>(dec.);</w:t>
      </w:r>
      <w:hyperlink r:id="rId735" w:history="1">
        <w:r>
          <w:rPr>
            <w:i/>
            <w:iCs/>
            <w:lang w:val="pl"/>
          </w:rPr>
          <w:t xml:space="preserve"> </w:t>
        </w:r>
        <w:r>
          <w:rPr>
            <w:i/>
            <w:iCs/>
            <w:color w:val="0072BC"/>
            <w:lang w:val="pl"/>
          </w:rPr>
          <w:t xml:space="preserve">Paulino Tomás p. Portugalii </w:t>
        </w:r>
      </w:hyperlink>
      <w:r>
        <w:rPr>
          <w:lang w:val="pl"/>
        </w:rPr>
        <w:t>(dec.);</w:t>
      </w:r>
      <w:hyperlink r:id="rId736" w:history="1">
        <w:r>
          <w:rPr>
            <w:i/>
            <w:iCs/>
            <w:lang w:val="pl"/>
          </w:rPr>
          <w:t xml:space="preserve"> </w:t>
        </w:r>
        <w:r>
          <w:rPr>
            <w:i/>
            <w:iCs/>
            <w:color w:val="0072BC"/>
            <w:lang w:val="pl"/>
          </w:rPr>
          <w:t xml:space="preserve">Johtti Sapmelaccat Ry i Inni p. Finlandii </w:t>
        </w:r>
      </w:hyperlink>
      <w:r>
        <w:rPr>
          <w:lang w:val="pl"/>
        </w:rPr>
        <w:t xml:space="preserve">(dec); </w:t>
      </w:r>
      <w:hyperlink r:id="rId737" w:history="1">
        <w:r>
          <w:rPr>
            <w:i/>
            <w:iCs/>
            <w:color w:val="0072BC"/>
            <w:lang w:val="pl"/>
          </w:rPr>
          <w:t xml:space="preserve">Parrillo p. Włochom </w:t>
        </w:r>
      </w:hyperlink>
      <w:r>
        <w:rPr>
          <w:lang w:val="pl"/>
        </w:rPr>
        <w:t>[WI], §§ 87</w:t>
      </w:r>
      <w:r>
        <w:rPr>
          <w:lang w:val="pl"/>
        </w:rPr>
        <w:noBreakHyphen/>
        <w:t>105;</w:t>
      </w:r>
      <w:hyperlink r:id="rId738" w:history="1">
        <w:r>
          <w:rPr>
            <w:i/>
            <w:iCs/>
            <w:lang w:val="pl"/>
          </w:rPr>
          <w:t xml:space="preserve"> </w:t>
        </w:r>
        <w:r>
          <w:rPr>
            <w:i/>
            <w:iCs/>
            <w:color w:val="0072BC"/>
            <w:lang w:val="pl"/>
          </w:rPr>
          <w:t xml:space="preserve">P. p. Ukrainie </w:t>
        </w:r>
      </w:hyperlink>
      <w:r>
        <w:rPr>
          <w:lang w:val="pl"/>
        </w:rPr>
        <w:t xml:space="preserve">(dec.), § 53). Mimo że rząd zwykle powinien móc zilustrować praktyczną skuteczność danego środka odwoławczego przykładami z krajowego orzecznictwa, Trybunał dopuszcza, że może to być trudniejsze w mniejszych jurysdykcjach, w których liczba spraw szczególnego rodzaju może być mniejsza niż w większych jurysdykcjach </w:t>
      </w:r>
      <w:hyperlink r:id="rId739" w:history="1">
        <w:r>
          <w:rPr>
            <w:lang w:val="pl"/>
          </w:rPr>
          <w:t>(</w:t>
        </w:r>
        <w:r>
          <w:rPr>
            <w:i/>
            <w:iCs/>
            <w:color w:val="0072BC"/>
            <w:lang w:val="pl"/>
          </w:rPr>
          <w:t>Aden Ahmed p. Malcie</w:t>
        </w:r>
        <w:r>
          <w:rPr>
            <w:lang w:val="pl"/>
          </w:rPr>
          <w:t>,</w:t>
        </w:r>
      </w:hyperlink>
      <w:r>
        <w:rPr>
          <w:lang w:val="pl"/>
        </w:rPr>
        <w:t xml:space="preserve"> § 63;</w:t>
      </w:r>
      <w:hyperlink r:id="rId740" w:history="1">
        <w:r>
          <w:rPr>
            <w:i/>
            <w:iCs/>
            <w:lang w:val="pl"/>
          </w:rPr>
          <w:t xml:space="preserve"> </w:t>
        </w:r>
        <w:r>
          <w:rPr>
            <w:i/>
            <w:iCs/>
            <w:color w:val="0072BC"/>
            <w:lang w:val="pl"/>
          </w:rPr>
          <w:t>M.N.</w:t>
        </w:r>
      </w:hyperlink>
      <w:r>
        <w:rPr>
          <w:i/>
          <w:iCs/>
          <w:color w:val="0072BC"/>
          <w:lang w:val="pl"/>
        </w:rPr>
        <w:t xml:space="preserve"> </w:t>
      </w:r>
      <w:hyperlink r:id="rId741" w:history="1">
        <w:r>
          <w:rPr>
            <w:i/>
            <w:iCs/>
            <w:color w:val="0072BC"/>
            <w:lang w:val="pl"/>
          </w:rPr>
          <w:t>i Inni p. San Marino</w:t>
        </w:r>
        <w:r>
          <w:rPr>
            <w:lang w:val="pl"/>
          </w:rPr>
          <w:t>,</w:t>
        </w:r>
      </w:hyperlink>
      <w:r>
        <w:rPr>
          <w:lang w:val="pl"/>
        </w:rPr>
        <w:t xml:space="preserve"> § 81).</w:t>
      </w:r>
    </w:p>
    <w:p w:rsidR="00B71A20" w:rsidRPr="000625F6" w:rsidRDefault="000425B4">
      <w:pPr>
        <w:pStyle w:val="Teksttreci0"/>
        <w:spacing w:after="120"/>
        <w:jc w:val="both"/>
        <w:rPr>
          <w:lang w:val="pl-PL"/>
        </w:rPr>
      </w:pPr>
      <w:r>
        <w:rPr>
          <w:lang w:val="pl"/>
        </w:rPr>
        <w:t xml:space="preserve">Cytowane orzeczenia powinny, co do zasady, zostać wydane przed wniesieniem skargi </w:t>
      </w:r>
      <w:hyperlink r:id="rId742" w:history="1">
        <w:r>
          <w:rPr>
            <w:lang w:val="pl"/>
          </w:rPr>
          <w:t>(</w:t>
        </w:r>
        <w:r>
          <w:rPr>
            <w:i/>
            <w:iCs/>
            <w:color w:val="0072BC"/>
            <w:lang w:val="pl"/>
          </w:rPr>
          <w:t>Norbert Sikorski p. Polsce</w:t>
        </w:r>
        <w:r>
          <w:rPr>
            <w:lang w:val="pl"/>
          </w:rPr>
          <w:t xml:space="preserve">, </w:t>
        </w:r>
      </w:hyperlink>
      <w:r>
        <w:rPr>
          <w:lang w:val="pl"/>
        </w:rPr>
        <w:t>§ 115,</w:t>
      </w:r>
      <w:hyperlink r:id="rId743" w:history="1">
        <w:r>
          <w:rPr>
            <w:i/>
            <w:iCs/>
            <w:lang w:val="pl"/>
          </w:rPr>
          <w:t xml:space="preserve"> </w:t>
        </w:r>
        <w:r>
          <w:rPr>
            <w:i/>
            <w:iCs/>
            <w:color w:val="0072BC"/>
            <w:lang w:val="pl"/>
          </w:rPr>
          <w:t>Dimitar Yanakiev p. Bułgarii (nr 2)</w:t>
        </w:r>
        <w:r>
          <w:rPr>
            <w:lang w:val="pl"/>
          </w:rPr>
          <w:t>,</w:t>
        </w:r>
      </w:hyperlink>
      <w:r>
        <w:rPr>
          <w:lang w:val="pl"/>
        </w:rPr>
        <w:t xml:space="preserve"> §§ 53 i 61) i mieć związek z przedmiotową sprawą </w:t>
      </w:r>
      <w:hyperlink r:id="rId744" w:history="1">
        <w:r>
          <w:rPr>
            <w:lang w:val="pl"/>
          </w:rPr>
          <w:t>(</w:t>
        </w:r>
        <w:r>
          <w:rPr>
            <w:i/>
            <w:iCs/>
            <w:color w:val="0072BC"/>
            <w:lang w:val="pl"/>
          </w:rPr>
          <w:t xml:space="preserve">Sakhnovskiy p. Rosji </w:t>
        </w:r>
      </w:hyperlink>
      <w:r>
        <w:rPr>
          <w:lang w:val="pl"/>
        </w:rPr>
        <w:t>[WI], §§ 43-44); patrz jednak zasady (o których mowa poniżej) dotyczące utworzenia nowego środka odwoławczego w trakcie postępowania przez Trybunałem.</w:t>
      </w:r>
    </w:p>
    <w:p w:rsidR="00B71A20" w:rsidRPr="000625F6" w:rsidRDefault="000425B4" w:rsidP="00115011">
      <w:pPr>
        <w:pStyle w:val="Teksttreci0"/>
        <w:numPr>
          <w:ilvl w:val="0"/>
          <w:numId w:val="28"/>
        </w:numPr>
        <w:tabs>
          <w:tab w:val="left" w:pos="505"/>
        </w:tabs>
        <w:spacing w:after="120"/>
        <w:jc w:val="both"/>
        <w:rPr>
          <w:lang w:val="pl-PL"/>
        </w:rPr>
      </w:pPr>
      <w:r>
        <w:rPr>
          <w:lang w:val="pl"/>
        </w:rPr>
        <w:t xml:space="preserve">Jeżeli rząd twierdzi, że skarżący mógł powołać się przed sądami krajowymi bezpośrednio na postanowienia Konwencji, stopień pewności takiego środka odwoławczego musi być podparty konkretnymi przykładami </w:t>
      </w:r>
      <w:hyperlink r:id="rId745" w:history="1">
        <w:r>
          <w:rPr>
            <w:lang w:val="pl"/>
          </w:rPr>
          <w:t>(</w:t>
        </w:r>
        <w:r>
          <w:rPr>
            <w:i/>
            <w:iCs/>
            <w:color w:val="0072BC"/>
            <w:lang w:val="pl"/>
          </w:rPr>
          <w:t xml:space="preserve">Slavgorodski p. Estonii </w:t>
        </w:r>
      </w:hyperlink>
      <w:r>
        <w:rPr>
          <w:lang w:val="pl"/>
        </w:rPr>
        <w:t xml:space="preserve">(dec.)). Ta sama zasada odnosi się do rzekomego środka odwoławczego wynikającego bezpośrednio z określonych ogólnych postanowień krajowej konstytucji </w:t>
      </w:r>
      <w:hyperlink r:id="rId746" w:history="1">
        <w:r>
          <w:rPr>
            <w:lang w:val="pl"/>
          </w:rPr>
          <w:t>(</w:t>
        </w:r>
        <w:r>
          <w:rPr>
            <w:i/>
            <w:iCs/>
            <w:color w:val="0072BC"/>
            <w:lang w:val="pl"/>
          </w:rPr>
          <w:t>Kornakovs p. Łotwie</w:t>
        </w:r>
        <w:r>
          <w:rPr>
            <w:lang w:val="pl"/>
          </w:rPr>
          <w:t>,</w:t>
        </w:r>
      </w:hyperlink>
      <w:r>
        <w:rPr>
          <w:lang w:val="pl"/>
        </w:rPr>
        <w:t xml:space="preserve"> § 84).</w:t>
      </w:r>
    </w:p>
    <w:p w:rsidR="00B71A20" w:rsidRPr="000625F6" w:rsidRDefault="000425B4" w:rsidP="00115011">
      <w:pPr>
        <w:pStyle w:val="Teksttreci0"/>
        <w:numPr>
          <w:ilvl w:val="0"/>
          <w:numId w:val="28"/>
        </w:numPr>
        <w:tabs>
          <w:tab w:val="left" w:pos="505"/>
        </w:tabs>
        <w:spacing w:after="120"/>
        <w:jc w:val="both"/>
        <w:rPr>
          <w:lang w:val="pl-PL"/>
        </w:rPr>
      </w:pPr>
      <w:r>
        <w:rPr>
          <w:lang w:val="pl"/>
        </w:rPr>
        <w:t xml:space="preserve">Trybunał jest bardziej skłonny przyjąć te argumenty w sytuacji, gdy krajowa władza ustawodawcza uchwaliła określony środek odwoławczy przeciwko przewlekłości postępowania sądowego </w:t>
      </w:r>
      <w:hyperlink r:id="rId747" w:history="1">
        <w:r>
          <w:rPr>
            <w:lang w:val="pl"/>
          </w:rPr>
          <w:t>(</w:t>
        </w:r>
        <w:r>
          <w:rPr>
            <w:i/>
            <w:iCs/>
            <w:color w:val="0072BC"/>
            <w:lang w:val="pl"/>
          </w:rPr>
          <w:t>Brusco p. Włochom</w:t>
        </w:r>
      </w:hyperlink>
      <w:r>
        <w:rPr>
          <w:color w:val="0072BC"/>
          <w:lang w:val="pl"/>
        </w:rPr>
        <w:t xml:space="preserve"> </w:t>
      </w:r>
      <w:r>
        <w:rPr>
          <w:lang w:val="pl"/>
        </w:rPr>
        <w:t>(dec.);</w:t>
      </w:r>
      <w:hyperlink r:id="rId748" w:history="1">
        <w:r>
          <w:rPr>
            <w:i/>
            <w:iCs/>
            <w:lang w:val="pl"/>
          </w:rPr>
          <w:t xml:space="preserve"> </w:t>
        </w:r>
        <w:r>
          <w:rPr>
            <w:i/>
            <w:iCs/>
            <w:color w:val="0072BC"/>
            <w:lang w:val="pl"/>
          </w:rPr>
          <w:t xml:space="preserve">Slaviček p. Chorwacji </w:t>
        </w:r>
      </w:hyperlink>
      <w:r>
        <w:rPr>
          <w:lang w:val="pl"/>
        </w:rPr>
        <w:t>(dec.)). Patrz również</w:t>
      </w:r>
      <w:hyperlink r:id="rId749" w:history="1">
        <w:r>
          <w:rPr>
            <w:lang w:val="pl"/>
          </w:rPr>
          <w:t xml:space="preserve"> </w:t>
        </w:r>
        <w:r>
          <w:rPr>
            <w:i/>
            <w:iCs/>
            <w:color w:val="0072BC"/>
            <w:lang w:val="pl"/>
          </w:rPr>
          <w:t xml:space="preserve">Scordino p. Włochom (nr 1) </w:t>
        </w:r>
      </w:hyperlink>
      <w:r>
        <w:rPr>
          <w:lang w:val="pl"/>
        </w:rPr>
        <w:t xml:space="preserve">[WI], §§ 136-148. Inaczej niż w sprawie </w:t>
      </w:r>
      <w:hyperlink r:id="rId750" w:history="1">
        <w:r>
          <w:rPr>
            <w:i/>
            <w:iCs/>
            <w:color w:val="0072BC"/>
            <w:lang w:val="pl"/>
          </w:rPr>
          <w:t>Merit p. Ukrainie</w:t>
        </w:r>
        <w:r>
          <w:rPr>
            <w:lang w:val="pl"/>
          </w:rPr>
          <w:t>,</w:t>
        </w:r>
      </w:hyperlink>
      <w:r>
        <w:rPr>
          <w:lang w:val="pl"/>
        </w:rPr>
        <w:t xml:space="preserve"> § 65.</w:t>
      </w:r>
    </w:p>
    <w:p w:rsidR="00B71A20" w:rsidRPr="000625F6" w:rsidRDefault="000425B4" w:rsidP="00115011">
      <w:pPr>
        <w:pStyle w:val="Teksttreci0"/>
        <w:numPr>
          <w:ilvl w:val="0"/>
          <w:numId w:val="28"/>
        </w:numPr>
        <w:tabs>
          <w:tab w:val="left" w:pos="505"/>
        </w:tabs>
        <w:spacing w:after="120"/>
        <w:jc w:val="both"/>
        <w:rPr>
          <w:lang w:val="pl-PL"/>
        </w:rPr>
      </w:pPr>
      <w:r>
        <w:rPr>
          <w:lang w:val="pl"/>
        </w:rPr>
        <w:t>Po spełnieniu przez rząd obowiązku udowodnienia, że skarż</w:t>
      </w:r>
      <w:r w:rsidR="007A50B8">
        <w:rPr>
          <w:lang w:val="pl"/>
        </w:rPr>
        <w:t>ącemu przysługiwał odpowiedni i </w:t>
      </w:r>
      <w:r>
        <w:rPr>
          <w:lang w:val="pl"/>
        </w:rPr>
        <w:t>skuteczny środek prawny, skarżący musi wykazać, że:</w:t>
      </w:r>
    </w:p>
    <w:p w:rsidR="00B71A20" w:rsidRPr="000625F6" w:rsidRDefault="000425B4" w:rsidP="00115011">
      <w:pPr>
        <w:pStyle w:val="Teksttreci0"/>
        <w:numPr>
          <w:ilvl w:val="0"/>
          <w:numId w:val="29"/>
        </w:numPr>
        <w:tabs>
          <w:tab w:val="left" w:pos="849"/>
        </w:tabs>
        <w:spacing w:after="60" w:line="276" w:lineRule="auto"/>
        <w:ind w:firstLine="580"/>
        <w:jc w:val="both"/>
        <w:rPr>
          <w:lang w:val="pl-PL"/>
        </w:rPr>
      </w:pPr>
      <w:r>
        <w:rPr>
          <w:lang w:val="pl"/>
        </w:rPr>
        <w:t xml:space="preserve">dany środek odwoławczy został rzeczywiście wyczerpany </w:t>
      </w:r>
      <w:hyperlink r:id="rId751" w:history="1">
        <w:r>
          <w:rPr>
            <w:lang w:val="pl"/>
          </w:rPr>
          <w:t>(</w:t>
        </w:r>
        <w:r>
          <w:rPr>
            <w:i/>
            <w:iCs/>
            <w:color w:val="0072BC"/>
            <w:lang w:val="pl"/>
          </w:rPr>
          <w:t xml:space="preserve">Grässer p. Niemcom </w:t>
        </w:r>
      </w:hyperlink>
      <w:r>
        <w:rPr>
          <w:lang w:val="pl"/>
        </w:rPr>
        <w:t>(dec.)); lub</w:t>
      </w:r>
    </w:p>
    <w:p w:rsidR="00B71A20" w:rsidRDefault="000425B4" w:rsidP="00115011">
      <w:pPr>
        <w:pStyle w:val="Teksttreci0"/>
        <w:numPr>
          <w:ilvl w:val="0"/>
          <w:numId w:val="29"/>
        </w:numPr>
        <w:tabs>
          <w:tab w:val="left" w:pos="849"/>
        </w:tabs>
        <w:spacing w:after="60"/>
        <w:ind w:left="880" w:hanging="300"/>
        <w:jc w:val="both"/>
      </w:pPr>
      <w:r>
        <w:rPr>
          <w:lang w:val="pl"/>
        </w:rPr>
        <w:t xml:space="preserve">ten środek był z jakiegoś powodu niewłaściwy i nieskuteczny w danych okolicznościach sprawy </w:t>
      </w:r>
      <w:hyperlink r:id="rId752" w:history="1">
        <w:r>
          <w:rPr>
            <w:lang w:val="pl"/>
          </w:rPr>
          <w:t>(</w:t>
        </w:r>
        <w:r>
          <w:rPr>
            <w:i/>
            <w:iCs/>
            <w:color w:val="0072BC"/>
            <w:lang w:val="pl"/>
          </w:rPr>
          <w:t xml:space="preserve">Selmouni p. Francji </w:t>
        </w:r>
      </w:hyperlink>
      <w:r>
        <w:rPr>
          <w:lang w:val="pl"/>
        </w:rPr>
        <w:t>[WI], § 76;</w:t>
      </w:r>
      <w:hyperlink r:id="rId753" w:history="1">
        <w:r>
          <w:rPr>
            <w:lang w:val="pl"/>
          </w:rPr>
          <w:t xml:space="preserve"> </w:t>
        </w:r>
        <w:r>
          <w:rPr>
            <w:i/>
            <w:iCs/>
            <w:color w:val="0072BC"/>
            <w:lang w:val="pl"/>
          </w:rPr>
          <w:t>Vučković i Inni p. Serbii</w:t>
        </w:r>
      </w:hyperlink>
      <w:r>
        <w:rPr>
          <w:color w:val="0072BC"/>
          <w:lang w:val="pl"/>
        </w:rPr>
        <w:t xml:space="preserve"> </w:t>
      </w:r>
      <w:r w:rsidR="007A50B8">
        <w:rPr>
          <w:lang w:val="pl"/>
        </w:rPr>
        <w:t>(zastrzeżenie wstępne) [WI], § </w:t>
      </w:r>
      <w:r>
        <w:rPr>
          <w:lang w:val="pl"/>
        </w:rPr>
        <w:t>77;</w:t>
      </w:r>
      <w:hyperlink r:id="rId754" w:history="1">
        <w:r>
          <w:rPr>
            <w:lang w:val="pl"/>
          </w:rPr>
          <w:t xml:space="preserve"> </w:t>
        </w:r>
        <w:r>
          <w:rPr>
            <w:i/>
            <w:iCs/>
            <w:color w:val="0072BC"/>
            <w:lang w:val="pl"/>
          </w:rPr>
          <w:t xml:space="preserve">Gherghina p. Rumunii </w:t>
        </w:r>
      </w:hyperlink>
      <w:r>
        <w:rPr>
          <w:lang w:val="pl"/>
        </w:rPr>
        <w:t>(dec.) [WI], § 89;</w:t>
      </w:r>
      <w:hyperlink r:id="rId755" w:history="1">
        <w:r>
          <w:rPr>
            <w:lang w:val="pl"/>
          </w:rPr>
          <w:t xml:space="preserve"> </w:t>
        </w:r>
        <w:r>
          <w:rPr>
            <w:i/>
            <w:iCs/>
            <w:color w:val="0072BC"/>
            <w:lang w:val="pl"/>
          </w:rPr>
          <w:t>Joannou</w:t>
        </w:r>
      </w:hyperlink>
      <w:r>
        <w:rPr>
          <w:i/>
          <w:iCs/>
          <w:color w:val="0072BC"/>
          <w:lang w:val="pl"/>
        </w:rPr>
        <w:t xml:space="preserve"> </w:t>
      </w:r>
      <w:hyperlink r:id="rId756" w:history="1">
        <w:r>
          <w:rPr>
            <w:i/>
            <w:iCs/>
            <w:color w:val="0072BC"/>
            <w:lang w:val="pl"/>
          </w:rPr>
          <w:t>p. Turcji</w:t>
        </w:r>
        <w:r>
          <w:rPr>
            <w:lang w:val="pl"/>
          </w:rPr>
          <w:t>,</w:t>
        </w:r>
      </w:hyperlink>
      <w:r w:rsidR="007A50B8">
        <w:rPr>
          <w:lang w:val="pl"/>
        </w:rPr>
        <w:t xml:space="preserve"> §§ 86</w:t>
      </w:r>
      <w:r w:rsidR="007A50B8">
        <w:rPr>
          <w:lang w:val="pl"/>
        </w:rPr>
        <w:noBreakHyphen/>
        <w:t>87 i §§ 94</w:t>
      </w:r>
      <w:r w:rsidR="007A50B8">
        <w:rPr>
          <w:lang w:val="pl"/>
        </w:rPr>
        <w:noBreakHyphen/>
        <w:t>106) – np. w </w:t>
      </w:r>
      <w:r>
        <w:rPr>
          <w:lang w:val="pl"/>
        </w:rPr>
        <w:t xml:space="preserve">sprawie dotyczącej nadmiernego opóźnienia w prowadzeniu śledztwa </w:t>
      </w:r>
      <w:hyperlink r:id="rId757" w:history="1">
        <w:r>
          <w:rPr>
            <w:lang w:val="pl"/>
          </w:rPr>
          <w:t>(</w:t>
        </w:r>
        <w:r>
          <w:rPr>
            <w:i/>
            <w:iCs/>
            <w:color w:val="0072BC"/>
            <w:lang w:val="pl"/>
          </w:rPr>
          <w:t xml:space="preserve">Radio France i Inni p. Francji </w:t>
        </w:r>
      </w:hyperlink>
      <w:r>
        <w:rPr>
          <w:lang w:val="pl"/>
        </w:rPr>
        <w:t xml:space="preserve">(dec.), § 34), lub środek, który jest zwykle dostępny, np. podniesienie zarzutu naruszenia przepisów, ale który, w świetle podejścia przyjętego w innych podobnych sprawach, byłby nieskuteczny w okolicznościach danej sprawy </w:t>
      </w:r>
      <w:hyperlink r:id="rId758" w:history="1">
        <w:r>
          <w:rPr>
            <w:lang w:val="pl"/>
          </w:rPr>
          <w:t>(</w:t>
        </w:r>
        <w:r>
          <w:rPr>
            <w:i/>
            <w:iCs/>
            <w:color w:val="0072BC"/>
            <w:lang w:val="pl"/>
          </w:rPr>
          <w:t>Scordino</w:t>
        </w:r>
      </w:hyperlink>
      <w:r>
        <w:rPr>
          <w:i/>
          <w:iCs/>
          <w:color w:val="0072BC"/>
          <w:lang w:val="pl"/>
        </w:rPr>
        <w:t xml:space="preserve"> </w:t>
      </w:r>
      <w:hyperlink r:id="rId759" w:history="1">
        <w:r>
          <w:rPr>
            <w:i/>
            <w:iCs/>
            <w:color w:val="0072BC"/>
            <w:lang w:val="pl"/>
          </w:rPr>
          <w:t xml:space="preserve">p. Włochom </w:t>
        </w:r>
      </w:hyperlink>
      <w:r>
        <w:rPr>
          <w:lang w:val="pl"/>
        </w:rPr>
        <w:t>(dec.);</w:t>
      </w:r>
      <w:hyperlink r:id="rId760" w:history="1">
        <w:r>
          <w:rPr>
            <w:lang w:val="pl"/>
          </w:rPr>
          <w:t xml:space="preserve"> </w:t>
        </w:r>
        <w:r>
          <w:rPr>
            <w:i/>
            <w:iCs/>
            <w:color w:val="0072BC"/>
            <w:lang w:val="pl"/>
          </w:rPr>
          <w:t>Pressos Compania Naviera S.A. i Inni p. Belgii</w:t>
        </w:r>
        <w:r>
          <w:rPr>
            <w:lang w:val="pl"/>
          </w:rPr>
          <w:t>,</w:t>
        </w:r>
      </w:hyperlink>
      <w:r>
        <w:rPr>
          <w:lang w:val="pl"/>
        </w:rPr>
        <w:t xml:space="preserve"> §§ 26-27), nawet jeśli przedmiotowe orzeczenia zostały wydane niedawno</w:t>
      </w:r>
      <w:r>
        <w:rPr>
          <w:i/>
          <w:iCs/>
          <w:lang w:val="pl"/>
        </w:rPr>
        <w:t xml:space="preserve"> </w:t>
      </w:r>
      <w:hyperlink r:id="rId761" w:history="1">
        <w:r>
          <w:rPr>
            <w:lang w:val="pl"/>
          </w:rPr>
          <w:t>(</w:t>
        </w:r>
        <w:r>
          <w:rPr>
            <w:i/>
            <w:iCs/>
            <w:color w:val="0072BC"/>
            <w:lang w:val="pl"/>
          </w:rPr>
          <w:t xml:space="preserve">Gas i Dubois p. Francji </w:t>
        </w:r>
      </w:hyperlink>
      <w:r>
        <w:rPr>
          <w:lang w:val="pl"/>
        </w:rPr>
        <w:t xml:space="preserve">(dec.)). Dotyczy to również sytuacji, gdy skarżący nie mógł bezpośrednio zwrócić się do danego sądu </w:t>
      </w:r>
      <w:hyperlink r:id="rId762" w:history="1">
        <w:r>
          <w:rPr>
            <w:lang w:val="pl"/>
          </w:rPr>
          <w:t>(</w:t>
        </w:r>
        <w:r>
          <w:rPr>
            <w:i/>
            <w:iCs/>
            <w:color w:val="0072BC"/>
            <w:lang w:val="pl"/>
          </w:rPr>
          <w:t xml:space="preserve">Tănase p. Mołdawii </w:t>
        </w:r>
      </w:hyperlink>
      <w:r>
        <w:rPr>
          <w:lang w:val="pl"/>
        </w:rPr>
        <w:t xml:space="preserve">[WI], § 122). </w:t>
      </w:r>
      <w:r>
        <w:rPr>
          <w:lang w:val="pl"/>
        </w:rPr>
        <w:lastRenderedPageBreak/>
        <w:t>W pewnych szczególnych okolicznościach może być wiel</w:t>
      </w:r>
      <w:r w:rsidR="00DC2406">
        <w:rPr>
          <w:lang w:val="pl"/>
        </w:rPr>
        <w:t>u skarżących znajdujących się w </w:t>
      </w:r>
      <w:r>
        <w:rPr>
          <w:lang w:val="pl"/>
        </w:rPr>
        <w:t xml:space="preserve">podobnej sytuacji, w tym kilkoro takich, którzy nie złożyli odwołania do sądu, do którego odniósł się rząd, gdyż zostali z tego obowiązku zwolnieni z uwagi na fakt, iż zastosowany przez innych środek krajowy okazał się nieskuteczny w praktyce, co mogłoby mieć miejsce również w ich sprawie </w:t>
      </w:r>
      <w:hyperlink r:id="rId763" w:history="1">
        <w:r>
          <w:rPr>
            <w:lang w:val="pl"/>
          </w:rPr>
          <w:t>(</w:t>
        </w:r>
        <w:r>
          <w:rPr>
            <w:i/>
            <w:iCs/>
            <w:color w:val="0072BC"/>
            <w:lang w:val="pl"/>
          </w:rPr>
          <w:t>Vasilkoski i Inni p.</w:t>
        </w:r>
      </w:hyperlink>
      <w:r>
        <w:rPr>
          <w:i/>
          <w:iCs/>
          <w:color w:val="0072BC"/>
          <w:lang w:val="pl"/>
        </w:rPr>
        <w:t xml:space="preserve"> </w:t>
      </w:r>
      <w:hyperlink r:id="rId764" w:history="1">
        <w:r>
          <w:rPr>
            <w:i/>
            <w:iCs/>
            <w:color w:val="0072BC"/>
            <w:lang w:val="pl"/>
          </w:rPr>
          <w:t>Byłej Jugosłowiańskiej Republice Macedonii</w:t>
        </w:r>
        <w:r>
          <w:rPr>
            <w:lang w:val="pl"/>
          </w:rPr>
          <w:t>,</w:t>
        </w:r>
      </w:hyperlink>
      <w:r>
        <w:rPr>
          <w:lang w:val="pl"/>
        </w:rPr>
        <w:t xml:space="preserve"> §§ 45-46;</w:t>
      </w:r>
      <w:hyperlink r:id="rId765" w:history="1">
        <w:r>
          <w:rPr>
            <w:lang w:val="pl"/>
          </w:rPr>
          <w:t xml:space="preserve"> </w:t>
        </w:r>
        <w:r>
          <w:rPr>
            <w:i/>
            <w:iCs/>
            <w:color w:val="0072BC"/>
            <w:lang w:val="pl"/>
          </w:rPr>
          <w:t>Laska i Lika p. Albanii</w:t>
        </w:r>
        <w:r>
          <w:rPr>
            <w:lang w:val="pl"/>
          </w:rPr>
          <w:t>,</w:t>
        </w:r>
      </w:hyperlink>
      <w:r>
        <w:rPr>
          <w:lang w:val="pl"/>
        </w:rPr>
        <w:t xml:space="preserve"> §§ 45-48). Dotyczy to jednak bardzo szczególnych spraw (por.</w:t>
      </w:r>
      <w:hyperlink r:id="rId766" w:history="1">
        <w:r>
          <w:rPr>
            <w:i/>
            <w:iCs/>
            <w:lang w:val="pl"/>
          </w:rPr>
          <w:t xml:space="preserve"> </w:t>
        </w:r>
        <w:r w:rsidR="00DC2406">
          <w:rPr>
            <w:i/>
            <w:iCs/>
            <w:color w:val="0072BC"/>
            <w:lang w:val="pl"/>
          </w:rPr>
          <w:t>Saghinadze i </w:t>
        </w:r>
        <w:r>
          <w:rPr>
            <w:i/>
            <w:iCs/>
            <w:color w:val="0072BC"/>
            <w:lang w:val="pl"/>
          </w:rPr>
          <w:t>Inni p. Gruzji</w:t>
        </w:r>
        <w:r>
          <w:rPr>
            <w:lang w:val="pl"/>
          </w:rPr>
          <w:t>,</w:t>
        </w:r>
      </w:hyperlink>
      <w:r>
        <w:rPr>
          <w:lang w:val="pl"/>
        </w:rPr>
        <w:t xml:space="preserve"> §§ 81-83); lub</w:t>
      </w:r>
    </w:p>
    <w:p w:rsidR="00B71A20" w:rsidRPr="000625F6" w:rsidRDefault="000425B4" w:rsidP="00115011">
      <w:pPr>
        <w:pStyle w:val="Teksttreci0"/>
        <w:numPr>
          <w:ilvl w:val="0"/>
          <w:numId w:val="29"/>
        </w:numPr>
        <w:tabs>
          <w:tab w:val="left" w:pos="869"/>
        </w:tabs>
        <w:ind w:left="880" w:hanging="280"/>
        <w:jc w:val="both"/>
        <w:rPr>
          <w:lang w:val="pl-PL"/>
        </w:rPr>
      </w:pPr>
      <w:r>
        <w:rPr>
          <w:lang w:val="pl"/>
        </w:rPr>
        <w:t xml:space="preserve">istniały szczególne okoliczności zwalniające skarżącego z tego obowiązku </w:t>
      </w:r>
      <w:hyperlink r:id="rId767" w:history="1">
        <w:r>
          <w:rPr>
            <w:lang w:val="pl"/>
          </w:rPr>
          <w:t>(</w:t>
        </w:r>
        <w:r>
          <w:rPr>
            <w:i/>
            <w:iCs/>
            <w:color w:val="0072BC"/>
            <w:lang w:val="pl"/>
          </w:rPr>
          <w:t>Akdivar</w:t>
        </w:r>
      </w:hyperlink>
      <w:r>
        <w:rPr>
          <w:i/>
          <w:iCs/>
          <w:color w:val="0072BC"/>
          <w:lang w:val="pl"/>
        </w:rPr>
        <w:t xml:space="preserve"> </w:t>
      </w:r>
      <w:hyperlink r:id="rId768" w:history="1">
        <w:r w:rsidR="00DC2406">
          <w:rPr>
            <w:i/>
            <w:iCs/>
            <w:color w:val="0072BC"/>
            <w:lang w:val="pl"/>
          </w:rPr>
          <w:t>i Inni p. </w:t>
        </w:r>
        <w:r>
          <w:rPr>
            <w:i/>
            <w:iCs/>
            <w:color w:val="0072BC"/>
            <w:lang w:val="pl"/>
          </w:rPr>
          <w:t>Turcji</w:t>
        </w:r>
        <w:r>
          <w:rPr>
            <w:lang w:val="pl"/>
          </w:rPr>
          <w:t>,</w:t>
        </w:r>
      </w:hyperlink>
      <w:r>
        <w:rPr>
          <w:lang w:val="pl"/>
        </w:rPr>
        <w:t xml:space="preserve"> §§ 68-75;</w:t>
      </w:r>
      <w:hyperlink r:id="rId769" w:history="1">
        <w:r>
          <w:rPr>
            <w:lang w:val="pl"/>
          </w:rPr>
          <w:t xml:space="preserve"> </w:t>
        </w:r>
        <w:r>
          <w:rPr>
            <w:i/>
            <w:iCs/>
            <w:color w:val="0072BC"/>
            <w:lang w:val="pl"/>
          </w:rPr>
          <w:t xml:space="preserve">Sejdovic p. Włochom </w:t>
        </w:r>
      </w:hyperlink>
      <w:r>
        <w:rPr>
          <w:lang w:val="pl"/>
        </w:rPr>
        <w:t>[WI], § 55;</w:t>
      </w:r>
      <w:hyperlink r:id="rId770" w:history="1">
        <w:r>
          <w:rPr>
            <w:lang w:val="pl"/>
          </w:rPr>
          <w:t xml:space="preserve"> </w:t>
        </w:r>
        <w:r>
          <w:rPr>
            <w:i/>
            <w:iCs/>
            <w:color w:val="0072BC"/>
            <w:lang w:val="pl"/>
          </w:rPr>
          <w:t>Veriter p. Francji</w:t>
        </w:r>
        <w:r>
          <w:rPr>
            <w:lang w:val="pl"/>
          </w:rPr>
          <w:t>,</w:t>
        </w:r>
      </w:hyperlink>
      <w:r>
        <w:rPr>
          <w:lang w:val="pl"/>
        </w:rPr>
        <w:t xml:space="preserve"> § 60).</w:t>
      </w:r>
    </w:p>
    <w:p w:rsidR="00B71A20" w:rsidRDefault="000425B4" w:rsidP="00115011">
      <w:pPr>
        <w:pStyle w:val="Teksttreci0"/>
        <w:numPr>
          <w:ilvl w:val="0"/>
          <w:numId w:val="28"/>
        </w:numPr>
        <w:tabs>
          <w:tab w:val="left" w:pos="514"/>
        </w:tabs>
        <w:jc w:val="both"/>
      </w:pPr>
      <w:r>
        <w:rPr>
          <w:lang w:val="pl"/>
        </w:rPr>
        <w:t xml:space="preserve">Jednym z takich czynników może być całkowita bierność władz krajowych w obliczu poważnych zarzutów uchybienia lub wyrządzenia szkody przez funkcjonariuszy państwowych, np. gdy nie wszczęli dochodzenia lub nie zaoferowali pomocy. W takiej sytuacji można powiedzieć, że ciężar dowodu po raz kolejny ulega przesunięciu, tak więc to na pozwanym rządzie ciąży obowiązek wykazania, jakie działania przedsięwziął w odpowiedzi na skalę i powagę postawionych zarzutów </w:t>
      </w:r>
      <w:hyperlink r:id="rId771" w:history="1">
        <w:r>
          <w:rPr>
            <w:lang w:val="pl"/>
          </w:rPr>
          <w:t>(</w:t>
        </w:r>
        <w:r>
          <w:rPr>
            <w:i/>
            <w:iCs/>
            <w:color w:val="0072BC"/>
            <w:lang w:val="pl"/>
          </w:rPr>
          <w:t xml:space="preserve">Demopoulos i Inni p. Turcji </w:t>
        </w:r>
      </w:hyperlink>
      <w:r>
        <w:rPr>
          <w:lang w:val="pl"/>
        </w:rPr>
        <w:t>(dec.) [WI], § 70).</w:t>
      </w:r>
    </w:p>
    <w:p w:rsidR="00B71A20" w:rsidRPr="000625F6" w:rsidRDefault="000425B4" w:rsidP="00115011">
      <w:pPr>
        <w:pStyle w:val="Teksttreci0"/>
        <w:numPr>
          <w:ilvl w:val="0"/>
          <w:numId w:val="28"/>
        </w:numPr>
        <w:tabs>
          <w:tab w:val="left" w:pos="514"/>
        </w:tabs>
        <w:spacing w:after="220"/>
        <w:jc w:val="both"/>
        <w:rPr>
          <w:lang w:val="pl-PL"/>
        </w:rPr>
      </w:pPr>
      <w:bookmarkStart w:id="104" w:name="bookmark103"/>
      <w:r>
        <w:rPr>
          <w:lang w:val="pl"/>
        </w:rPr>
        <w:t xml:space="preserve">Sama wątpliwość ze strony skarżącego co do skuteczności danego środka odwoławczego nie zwalnia go z obowiązku jego wykorzystania </w:t>
      </w:r>
      <w:hyperlink r:id="rId772" w:history="1">
        <w:r>
          <w:rPr>
            <w:lang w:val="pl"/>
          </w:rPr>
          <w:t>(</w:t>
        </w:r>
        <w:r>
          <w:rPr>
            <w:i/>
            <w:iCs/>
            <w:color w:val="0072BC"/>
            <w:lang w:val="pl"/>
          </w:rPr>
          <w:t xml:space="preserve">Epözdemir p. Turcji </w:t>
        </w:r>
      </w:hyperlink>
      <w:r>
        <w:rPr>
          <w:lang w:val="pl"/>
        </w:rPr>
        <w:t>(dec.);</w:t>
      </w:r>
      <w:hyperlink r:id="rId773" w:history="1">
        <w:r>
          <w:rPr>
            <w:lang w:val="pl"/>
          </w:rPr>
          <w:t xml:space="preserve"> </w:t>
        </w:r>
        <w:r>
          <w:rPr>
            <w:i/>
            <w:iCs/>
            <w:color w:val="0072BC"/>
            <w:lang w:val="pl"/>
          </w:rPr>
          <w:t>Milošević p.</w:t>
        </w:r>
      </w:hyperlink>
      <w:r>
        <w:rPr>
          <w:i/>
          <w:iCs/>
          <w:color w:val="0072BC"/>
          <w:lang w:val="pl"/>
        </w:rPr>
        <w:t xml:space="preserve"> </w:t>
      </w:r>
      <w:hyperlink r:id="rId774" w:history="1">
        <w:r>
          <w:rPr>
            <w:i/>
            <w:iCs/>
            <w:color w:val="0072BC"/>
            <w:lang w:val="pl"/>
          </w:rPr>
          <w:t xml:space="preserve">Holandii </w:t>
        </w:r>
      </w:hyperlink>
      <w:r>
        <w:rPr>
          <w:lang w:val="pl"/>
        </w:rPr>
        <w:t>(dec.);</w:t>
      </w:r>
      <w:hyperlink r:id="rId775" w:history="1">
        <w:r>
          <w:rPr>
            <w:lang w:val="pl"/>
          </w:rPr>
          <w:t xml:space="preserve"> </w:t>
        </w:r>
        <w:r>
          <w:rPr>
            <w:i/>
            <w:iCs/>
            <w:color w:val="0072BC"/>
            <w:lang w:val="pl"/>
          </w:rPr>
          <w:t xml:space="preserve">Pellegriti p. Włochom </w:t>
        </w:r>
      </w:hyperlink>
      <w:r>
        <w:rPr>
          <w:lang w:val="pl"/>
        </w:rPr>
        <w:t>(dec.);</w:t>
      </w:r>
      <w:hyperlink r:id="rId776" w:history="1">
        <w:r>
          <w:rPr>
            <w:lang w:val="pl"/>
          </w:rPr>
          <w:t xml:space="preserve"> </w:t>
        </w:r>
        <w:r>
          <w:rPr>
            <w:i/>
            <w:iCs/>
            <w:color w:val="0072BC"/>
            <w:lang w:val="pl"/>
          </w:rPr>
          <w:t xml:space="preserve">MPP Golub p. Ukrainie </w:t>
        </w:r>
      </w:hyperlink>
      <w:r>
        <w:rPr>
          <w:lang w:val="pl"/>
        </w:rPr>
        <w:t>(dec.);</w:t>
      </w:r>
      <w:hyperlink r:id="rId777" w:history="1">
        <w:r>
          <w:rPr>
            <w:lang w:val="pl"/>
          </w:rPr>
          <w:t xml:space="preserve"> </w:t>
        </w:r>
        <w:r>
          <w:rPr>
            <w:i/>
            <w:iCs/>
            <w:color w:val="0072BC"/>
            <w:lang w:val="pl"/>
          </w:rPr>
          <w:t>Vučković i Inni</w:t>
        </w:r>
      </w:hyperlink>
      <w:r>
        <w:rPr>
          <w:i/>
          <w:iCs/>
          <w:color w:val="0072BC"/>
          <w:lang w:val="pl"/>
        </w:rPr>
        <w:t xml:space="preserve"> </w:t>
      </w:r>
      <w:hyperlink r:id="rId778" w:history="1">
        <w:r>
          <w:rPr>
            <w:i/>
            <w:iCs/>
            <w:color w:val="0072BC"/>
            <w:lang w:val="pl"/>
          </w:rPr>
          <w:t xml:space="preserve">p. Serbii </w:t>
        </w:r>
      </w:hyperlink>
      <w:r>
        <w:rPr>
          <w:lang w:val="pl"/>
        </w:rPr>
        <w:t>(zastrzeżenie wstępne) [WI], §§ 74 i 84;</w:t>
      </w:r>
      <w:hyperlink r:id="rId779" w:history="1">
        <w:r>
          <w:rPr>
            <w:lang w:val="pl"/>
          </w:rPr>
          <w:t xml:space="preserve"> </w:t>
        </w:r>
        <w:r>
          <w:rPr>
            <w:i/>
            <w:iCs/>
            <w:color w:val="0072BC"/>
            <w:lang w:val="pl"/>
          </w:rPr>
          <w:t xml:space="preserve">Zihni p. Turcji </w:t>
        </w:r>
      </w:hyperlink>
      <w:r>
        <w:rPr>
          <w:lang w:val="pl"/>
        </w:rPr>
        <w:t xml:space="preserve">(dec.), §§ 23 i 29-30, w odniesieniu do obaw skarżącego co do bezstronności sędziów Trybunału Konstytucyjnego). Wręcz przeciwnie, w interesie skarżącego leży zwrócenie się do właściwego sądu z wnioskiem umożliwiającym mu pogłębienie istniejących praw na drodze przysługującego mu prawa do wykładni </w:t>
      </w:r>
      <w:hyperlink r:id="rId780" w:history="1">
        <w:r>
          <w:rPr>
            <w:lang w:val="pl"/>
          </w:rPr>
          <w:t>(</w:t>
        </w:r>
        <w:r>
          <w:rPr>
            <w:i/>
            <w:iCs/>
            <w:color w:val="0072BC"/>
            <w:lang w:val="pl"/>
          </w:rPr>
          <w:t>Ciupercescu p. Rumunii</w:t>
        </w:r>
        <w:r>
          <w:rPr>
            <w:lang w:val="pl"/>
          </w:rPr>
          <w:t>,</w:t>
        </w:r>
      </w:hyperlink>
      <w:r>
        <w:rPr>
          <w:lang w:val="pl"/>
        </w:rPr>
        <w:t xml:space="preserve"> § 169). W systemie prawnym zapewniającym konstytucyjną ochronę praw podstawowych to na osobie poszkodowanej spoczywa obowiązek sprawdzenia zakresu tej ochrony i umożliwienia sądom k</w:t>
      </w:r>
      <w:r w:rsidR="00DC2406">
        <w:rPr>
          <w:lang w:val="pl"/>
        </w:rPr>
        <w:t>rajowym pogłębienia tych praw w </w:t>
      </w:r>
      <w:r>
        <w:rPr>
          <w:lang w:val="pl"/>
        </w:rPr>
        <w:t xml:space="preserve">drodze wykładni </w:t>
      </w:r>
      <w:hyperlink r:id="rId781" w:history="1">
        <w:r>
          <w:rPr>
            <w:lang w:val="pl"/>
          </w:rPr>
          <w:t>(</w:t>
        </w:r>
        <w:r>
          <w:rPr>
            <w:i/>
            <w:iCs/>
            <w:color w:val="0072BC"/>
            <w:lang w:val="pl"/>
          </w:rPr>
          <w:t xml:space="preserve">A, B i C p. Irlandii </w:t>
        </w:r>
      </w:hyperlink>
      <w:r>
        <w:rPr>
          <w:lang w:val="pl"/>
        </w:rPr>
        <w:t>[WI], § 142;</w:t>
      </w:r>
      <w:hyperlink r:id="rId782" w:history="1">
        <w:r>
          <w:rPr>
            <w:lang w:val="pl"/>
          </w:rPr>
          <w:t xml:space="preserve"> </w:t>
        </w:r>
        <w:r>
          <w:rPr>
            <w:i/>
            <w:iCs/>
            <w:color w:val="0072BC"/>
            <w:lang w:val="pl"/>
          </w:rPr>
          <w:t>Vučković i Inni</w:t>
        </w:r>
      </w:hyperlink>
      <w:r>
        <w:rPr>
          <w:i/>
          <w:iCs/>
          <w:color w:val="0072BC"/>
          <w:lang w:val="pl"/>
        </w:rPr>
        <w:t xml:space="preserve"> </w:t>
      </w:r>
      <w:hyperlink r:id="rId783" w:history="1">
        <w:r>
          <w:rPr>
            <w:i/>
            <w:iCs/>
            <w:color w:val="0072BC"/>
            <w:lang w:val="pl"/>
          </w:rPr>
          <w:t xml:space="preserve">p. Serbii </w:t>
        </w:r>
      </w:hyperlink>
      <w:r>
        <w:rPr>
          <w:lang w:val="pl"/>
        </w:rPr>
        <w:t xml:space="preserve">(zastrzeżenie wstępne) [WI], § 84). Jednak jeśli sugerowany środek odwoławczy w rzeczywistości nie stwarzał uzasadnionych szans na powodzenie, np. w świetle utrwalonego orzecznictwa krajowego, fakt, że skarżący z niego nie skorzystał, nie stanowi przeszkody dla dopuszczalności </w:t>
      </w:r>
      <w:hyperlink r:id="rId784" w:history="1">
        <w:r>
          <w:rPr>
            <w:lang w:val="pl"/>
          </w:rPr>
          <w:t>(</w:t>
        </w:r>
        <w:r>
          <w:rPr>
            <w:i/>
            <w:iCs/>
            <w:color w:val="0072BC"/>
            <w:lang w:val="pl"/>
          </w:rPr>
          <w:t>Pressos Compania Naviera S.A. i Inni</w:t>
        </w:r>
      </w:hyperlink>
      <w:r>
        <w:rPr>
          <w:i/>
          <w:iCs/>
          <w:color w:val="0072BC"/>
          <w:lang w:val="pl"/>
        </w:rPr>
        <w:t xml:space="preserve"> </w:t>
      </w:r>
      <w:hyperlink r:id="rId785" w:history="1">
        <w:r>
          <w:rPr>
            <w:i/>
            <w:iCs/>
            <w:color w:val="0072BC"/>
            <w:lang w:val="pl"/>
          </w:rPr>
          <w:t>p. Belgii</w:t>
        </w:r>
        <w:r>
          <w:rPr>
            <w:lang w:val="pl"/>
          </w:rPr>
          <w:t>,</w:t>
        </w:r>
      </w:hyperlink>
      <w:r>
        <w:rPr>
          <w:lang w:val="pl"/>
        </w:rPr>
        <w:t xml:space="preserve"> § 27;</w:t>
      </w:r>
      <w:hyperlink r:id="rId786" w:history="1">
        <w:r>
          <w:rPr>
            <w:lang w:val="pl"/>
          </w:rPr>
          <w:t xml:space="preserve"> </w:t>
        </w:r>
        <w:r>
          <w:rPr>
            <w:i/>
            <w:iCs/>
            <w:color w:val="0072BC"/>
            <w:lang w:val="pl"/>
          </w:rPr>
          <w:t xml:space="preserve">Carson i Inni p. Wielkiej Brytanii </w:t>
        </w:r>
      </w:hyperlink>
      <w:r>
        <w:rPr>
          <w:lang w:val="pl"/>
        </w:rPr>
        <w:t>[WI], § 58).</w:t>
      </w:r>
      <w:bookmarkEnd w:id="104"/>
    </w:p>
    <w:p w:rsidR="00B71A20" w:rsidRDefault="001E2850" w:rsidP="001E2850">
      <w:pPr>
        <w:pStyle w:val="Nagwek31"/>
        <w:keepNext/>
        <w:keepLines/>
        <w:tabs>
          <w:tab w:val="left" w:pos="340"/>
        </w:tabs>
        <w:spacing w:after="100"/>
        <w:jc w:val="both"/>
      </w:pPr>
      <w:bookmarkStart w:id="105" w:name="_Toc126335633"/>
      <w:bookmarkStart w:id="106" w:name="_Toc126660587"/>
      <w:r>
        <w:rPr>
          <w:lang w:val="pl"/>
        </w:rPr>
        <w:t xml:space="preserve">5.  </w:t>
      </w:r>
      <w:r w:rsidR="000425B4">
        <w:rPr>
          <w:lang w:val="pl"/>
        </w:rPr>
        <w:t>Aspekty proceduralne</w:t>
      </w:r>
      <w:bookmarkEnd w:id="105"/>
      <w:bookmarkEnd w:id="106"/>
    </w:p>
    <w:p w:rsidR="00B71A20" w:rsidRPr="00DB41C9" w:rsidRDefault="000425B4" w:rsidP="00115011">
      <w:pPr>
        <w:pStyle w:val="Teksttreci0"/>
        <w:numPr>
          <w:ilvl w:val="0"/>
          <w:numId w:val="28"/>
        </w:numPr>
        <w:tabs>
          <w:tab w:val="left" w:pos="505"/>
          <w:tab w:val="left" w:pos="3998"/>
          <w:tab w:val="left" w:pos="6970"/>
        </w:tabs>
        <w:spacing w:after="0"/>
        <w:jc w:val="both"/>
        <w:rPr>
          <w:lang w:val="pl-PL"/>
        </w:rPr>
      </w:pPr>
      <w:r>
        <w:rPr>
          <w:lang w:val="pl"/>
        </w:rPr>
        <w:t xml:space="preserve">Wymóg, aby skarżący wyczerpał krajowe środki odwoławcze, określany jest zwykle w odniesieniu do dnia, w którym skarga została wniesiona do Trybunału </w:t>
      </w:r>
      <w:hyperlink r:id="rId787" w:history="1">
        <w:r>
          <w:rPr>
            <w:lang w:val="pl"/>
          </w:rPr>
          <w:t>(</w:t>
        </w:r>
        <w:r>
          <w:rPr>
            <w:i/>
            <w:iCs/>
            <w:color w:val="0072BC"/>
            <w:lang w:val="pl"/>
          </w:rPr>
          <w:t>Baumann p. Francji</w:t>
        </w:r>
        <w:r>
          <w:rPr>
            <w:lang w:val="pl"/>
          </w:rPr>
          <w:t>,</w:t>
        </w:r>
      </w:hyperlink>
      <w:r>
        <w:rPr>
          <w:lang w:val="pl"/>
        </w:rPr>
        <w:t xml:space="preserve"> § 47), z zastrzeżeniem wyjątków, które mogą być uzasadnione szczególnymi okolicznościami sprawy (patrz podpunkt 6 poniżej). Dotyczy to głównie wniosku o środki tymczasowe na podstawie Reguły 39 Regulaminu Trybunału, który można złożyć do Trybunału przed wniesieniem oficjalnej skargi </w:t>
      </w:r>
      <w:hyperlink r:id="rId788" w:history="1">
        <w:r>
          <w:rPr>
            <w:lang w:val="pl"/>
          </w:rPr>
          <w:t>(</w:t>
        </w:r>
        <w:r>
          <w:rPr>
            <w:i/>
            <w:iCs/>
            <w:color w:val="0072BC"/>
            <w:lang w:val="pl"/>
          </w:rPr>
          <w:t>A.M.</w:t>
        </w:r>
      </w:hyperlink>
      <w:r>
        <w:rPr>
          <w:i/>
          <w:iCs/>
          <w:color w:val="0072BC"/>
          <w:lang w:val="pl"/>
        </w:rPr>
        <w:t xml:space="preserve"> </w:t>
      </w:r>
      <w:hyperlink r:id="rId789" w:history="1">
        <w:r>
          <w:rPr>
            <w:i/>
            <w:iCs/>
            <w:color w:val="0072BC"/>
            <w:lang w:val="pl"/>
          </w:rPr>
          <w:t>p. Francji</w:t>
        </w:r>
        <w:r>
          <w:rPr>
            <w:lang w:val="pl"/>
          </w:rPr>
          <w:t>,</w:t>
        </w:r>
      </w:hyperlink>
      <w:r>
        <w:rPr>
          <w:lang w:val="pl"/>
        </w:rPr>
        <w:t xml:space="preserve"> §§ 65 i 68). Trybunał dopuszcza, by ostatni etap takich działań naprawczych nastąpił tuż po wniesieniu skargi, jednak przed tym, jak ustali, czy skarga jest dopuszczalna </w:t>
      </w:r>
      <w:hyperlink r:id="rId790" w:history="1">
        <w:r>
          <w:rPr>
            <w:lang w:val="pl"/>
          </w:rPr>
          <w:t>(</w:t>
        </w:r>
        <w:r>
          <w:rPr>
            <w:i/>
            <w:iCs/>
            <w:color w:val="0072BC"/>
            <w:lang w:val="pl"/>
          </w:rPr>
          <w:t xml:space="preserve">Molla Sali p. Grecji </w:t>
        </w:r>
      </w:hyperlink>
      <w:r>
        <w:rPr>
          <w:lang w:val="pl"/>
        </w:rPr>
        <w:t>[WI], § 90;</w:t>
      </w:r>
      <w:hyperlink r:id="rId791" w:history="1">
        <w:r>
          <w:rPr>
            <w:i/>
            <w:iCs/>
            <w:lang w:val="pl"/>
          </w:rPr>
          <w:t xml:space="preserve"> </w:t>
        </w:r>
        <w:r>
          <w:rPr>
            <w:i/>
            <w:iCs/>
            <w:color w:val="0072BC"/>
            <w:lang w:val="pl"/>
          </w:rPr>
          <w:t>Karoussiotis p. Portugalii</w:t>
        </w:r>
        <w:r>
          <w:rPr>
            <w:lang w:val="pl"/>
          </w:rPr>
          <w:t>,</w:t>
        </w:r>
      </w:hyperlink>
      <w:r>
        <w:rPr>
          <w:lang w:val="pl"/>
        </w:rPr>
        <w:t xml:space="preserve"> § 57;</w:t>
      </w:r>
      <w:hyperlink r:id="rId792" w:history="1">
        <w:r>
          <w:rPr>
            <w:lang w:val="pl"/>
          </w:rPr>
          <w:t xml:space="preserve"> </w:t>
        </w:r>
        <w:r>
          <w:rPr>
            <w:i/>
            <w:iCs/>
            <w:color w:val="0072BC"/>
            <w:lang w:val="pl"/>
          </w:rPr>
          <w:t>Cestaro p. Włochom</w:t>
        </w:r>
        <w:r>
          <w:rPr>
            <w:lang w:val="pl"/>
          </w:rPr>
          <w:t>,</w:t>
        </w:r>
      </w:hyperlink>
      <w:r>
        <w:rPr>
          <w:lang w:val="pl"/>
        </w:rPr>
        <w:t xml:space="preserve"> §§ 147</w:t>
      </w:r>
      <w:r>
        <w:rPr>
          <w:lang w:val="pl"/>
        </w:rPr>
        <w:noBreakHyphen/>
        <w:t>148, w której to sprawie skarżący wniósł skargę do Trybunału w świetle art. 3 Konwencji, nie czekając na wyrok sądu kasacyjnego, który zapadł rok i osiem miesięcy później;</w:t>
      </w:r>
      <w:hyperlink r:id="rId793" w:history="1">
        <w:r>
          <w:rPr>
            <w:lang w:val="pl"/>
          </w:rPr>
          <w:t xml:space="preserve"> </w:t>
        </w:r>
        <w:r>
          <w:rPr>
            <w:i/>
            <w:iCs/>
            <w:color w:val="0072BC"/>
            <w:lang w:val="pl"/>
          </w:rPr>
          <w:t>A.M. p. Francji</w:t>
        </w:r>
        <w:r>
          <w:rPr>
            <w:lang w:val="pl"/>
          </w:rPr>
          <w:t>,</w:t>
        </w:r>
      </w:hyperlink>
      <w:r>
        <w:rPr>
          <w:lang w:val="pl"/>
        </w:rPr>
        <w:t xml:space="preserve"> §§ 66 i 80, gdzie jedyny etap, na którym można było uzyskać środek o skutku zawieszającym – wniosek o azyl – nastąpił po wniesieniu skargi do Trybunału;</w:t>
      </w:r>
      <w:hyperlink r:id="rId794" w:history="1">
        <w:r>
          <w:rPr>
            <w:lang w:val="pl"/>
          </w:rPr>
          <w:t xml:space="preserve"> </w:t>
        </w:r>
        <w:r>
          <w:rPr>
            <w:i/>
            <w:iCs/>
            <w:color w:val="0072BC"/>
            <w:lang w:val="pl"/>
          </w:rPr>
          <w:t>Selahattin Demirtaş p. Turcji (nr 2)</w:t>
        </w:r>
        <w:r>
          <w:rPr>
            <w:color w:val="0072BC"/>
            <w:lang w:val="pl"/>
          </w:rPr>
          <w:t xml:space="preserve"> </w:t>
        </w:r>
      </w:hyperlink>
      <w:r>
        <w:rPr>
          <w:lang w:val="pl"/>
        </w:rPr>
        <w:t>[WI], §§ 193-194).</w:t>
      </w:r>
    </w:p>
    <w:p w:rsidR="00B71A20" w:rsidRPr="000625F6" w:rsidRDefault="000425B4" w:rsidP="00115011">
      <w:pPr>
        <w:pStyle w:val="Teksttreci0"/>
        <w:numPr>
          <w:ilvl w:val="0"/>
          <w:numId w:val="28"/>
        </w:numPr>
        <w:tabs>
          <w:tab w:val="left" w:pos="505"/>
        </w:tabs>
        <w:spacing w:before="120" w:after="120"/>
        <w:jc w:val="both"/>
        <w:rPr>
          <w:lang w:val="pl-PL"/>
        </w:rPr>
      </w:pPr>
      <w:r>
        <w:rPr>
          <w:lang w:val="pl"/>
        </w:rPr>
        <w:t>Jeżeli rząd zamierza podnieść zarzut niewyczerpania krajowych środków odwoławczych, musi to zrobić – o ile pozwalają na to charakter zarzutu i okoliczności – w swoich uwagach ustnych lub pisemnych dotyczących dopuszczalności, choć mogą istnieć wyjątkow</w:t>
      </w:r>
      <w:r w:rsidR="00DC2406">
        <w:rPr>
          <w:lang w:val="pl"/>
        </w:rPr>
        <w:t>e okoliczności zwalniające go z </w:t>
      </w:r>
      <w:r>
        <w:rPr>
          <w:lang w:val="pl"/>
        </w:rPr>
        <w:t xml:space="preserve">tego obowiązku </w:t>
      </w:r>
      <w:hyperlink r:id="rId795" w:history="1">
        <w:r>
          <w:rPr>
            <w:lang w:val="pl"/>
          </w:rPr>
          <w:t>(</w:t>
        </w:r>
        <w:r>
          <w:rPr>
            <w:i/>
            <w:iCs/>
            <w:color w:val="0072BC"/>
            <w:lang w:val="pl"/>
          </w:rPr>
          <w:t xml:space="preserve">López Ribalda p. Hiszpanii </w:t>
        </w:r>
      </w:hyperlink>
      <w:r>
        <w:rPr>
          <w:lang w:val="pl"/>
        </w:rPr>
        <w:t>[WI], § 83;</w:t>
      </w:r>
      <w:hyperlink r:id="rId796" w:history="1">
        <w:r>
          <w:rPr>
            <w:i/>
            <w:iCs/>
            <w:lang w:val="pl"/>
          </w:rPr>
          <w:t xml:space="preserve"> </w:t>
        </w:r>
        <w:r>
          <w:rPr>
            <w:i/>
            <w:iCs/>
            <w:color w:val="0072BC"/>
            <w:lang w:val="pl"/>
          </w:rPr>
          <w:t xml:space="preserve">Mooren p. Niemcom </w:t>
        </w:r>
      </w:hyperlink>
      <w:r>
        <w:rPr>
          <w:lang w:val="pl"/>
        </w:rPr>
        <w:t>[WI], § 57-59 oraz cytowane tam odniesienia;</w:t>
      </w:r>
      <w:hyperlink r:id="rId797" w:history="1">
        <w:r>
          <w:rPr>
            <w:i/>
            <w:iCs/>
            <w:lang w:val="pl"/>
          </w:rPr>
          <w:t xml:space="preserve"> </w:t>
        </w:r>
        <w:r>
          <w:rPr>
            <w:i/>
            <w:iCs/>
            <w:color w:val="0072BC"/>
            <w:lang w:val="pl"/>
          </w:rPr>
          <w:t xml:space="preserve">Svinarenko i Slydanev p. Rosji </w:t>
        </w:r>
      </w:hyperlink>
      <w:r>
        <w:rPr>
          <w:lang w:val="pl"/>
        </w:rPr>
        <w:t>[WI], §§ 79-83;</w:t>
      </w:r>
      <w:hyperlink r:id="rId798" w:history="1">
        <w:r>
          <w:rPr>
            <w:i/>
            <w:iCs/>
            <w:lang w:val="pl"/>
          </w:rPr>
          <w:t xml:space="preserve"> </w:t>
        </w:r>
        <w:r>
          <w:rPr>
            <w:i/>
            <w:iCs/>
            <w:color w:val="0072BC"/>
            <w:lang w:val="pl"/>
          </w:rPr>
          <w:t>Blokhin p. Rosji</w:t>
        </w:r>
      </w:hyperlink>
      <w:r>
        <w:rPr>
          <w:color w:val="0072BC"/>
          <w:lang w:val="pl"/>
        </w:rPr>
        <w:t xml:space="preserve"> </w:t>
      </w:r>
      <w:r>
        <w:rPr>
          <w:lang w:val="pl"/>
        </w:rPr>
        <w:t xml:space="preserve">[WI], §§ 96-98; patrz Reguła 55 Regulaminu Trybunału). Na tym etapie, gdy skarga została zakomunikowana pozwanemu rządowi i ów rząd nie podniósł kwestii niewyczerpania krajowych środków odwoławczych, </w:t>
      </w:r>
      <w:r>
        <w:rPr>
          <w:lang w:val="pl"/>
        </w:rPr>
        <w:lastRenderedPageBreak/>
        <w:t xml:space="preserve">Trybunał nie może przystąpić do zbadania tej kwestii z urzędu. Rząd musi wyraźnie podnieść zarzut niedopuszczalności skargi z powodu niewyczerpania krajowych środków odwoławczych </w:t>
      </w:r>
      <w:hyperlink r:id="rId799" w:history="1">
        <w:r>
          <w:rPr>
            <w:lang w:val="pl"/>
          </w:rPr>
          <w:t>(</w:t>
        </w:r>
        <w:r>
          <w:rPr>
            <w:i/>
            <w:iCs/>
            <w:color w:val="0072BC"/>
            <w:lang w:val="pl"/>
          </w:rPr>
          <w:t>Navalnyy</w:t>
        </w:r>
      </w:hyperlink>
      <w:r>
        <w:rPr>
          <w:i/>
          <w:iCs/>
          <w:color w:val="0072BC"/>
          <w:lang w:val="pl"/>
        </w:rPr>
        <w:t xml:space="preserve"> </w:t>
      </w:r>
      <w:hyperlink r:id="rId800" w:history="1">
        <w:r>
          <w:rPr>
            <w:i/>
            <w:iCs/>
            <w:color w:val="0072BC"/>
            <w:lang w:val="pl"/>
          </w:rPr>
          <w:t xml:space="preserve">p. Rosji </w:t>
        </w:r>
      </w:hyperlink>
      <w:r>
        <w:rPr>
          <w:lang w:val="pl"/>
        </w:rPr>
        <w:t>[WI], §§ 60</w:t>
      </w:r>
      <w:r>
        <w:rPr>
          <w:lang w:val="pl"/>
        </w:rPr>
        <w:noBreakHyphen/>
        <w:t>61, sprawa, w której pozwany rząd jedynie wspomniał, odnosząc się do przedmiotu skargi, że skarżący nie podważył zarzucanych działań w postępowaniu krajowym;</w:t>
      </w:r>
      <w:hyperlink r:id="rId801" w:history="1">
        <w:r>
          <w:rPr>
            <w:i/>
            <w:iCs/>
            <w:lang w:val="pl"/>
          </w:rPr>
          <w:t xml:space="preserve"> </w:t>
        </w:r>
        <w:r>
          <w:rPr>
            <w:i/>
            <w:iCs/>
            <w:color w:val="0072BC"/>
            <w:lang w:val="pl"/>
          </w:rPr>
          <w:t>Liblik i inni p. Estonii</w:t>
        </w:r>
        <w:r>
          <w:rPr>
            <w:lang w:val="pl"/>
          </w:rPr>
          <w:t>,</w:t>
        </w:r>
      </w:hyperlink>
      <w:r>
        <w:rPr>
          <w:lang w:val="pl"/>
        </w:rPr>
        <w:t xml:space="preserve"> § 114, gdzie rząd przedstawił w zarysie inne środki odwoławcze dostępne skarżącym, lecz nie podniósł zastrzeżenia co do niewyczerpania krajowych środków odwoławczych). W sprawie</w:t>
      </w:r>
      <w:hyperlink r:id="rId802" w:history="1">
        <w:r>
          <w:rPr>
            <w:i/>
            <w:iCs/>
            <w:lang w:val="pl"/>
          </w:rPr>
          <w:t xml:space="preserve"> </w:t>
        </w:r>
        <w:r>
          <w:rPr>
            <w:i/>
            <w:iCs/>
            <w:color w:val="0072BC"/>
            <w:lang w:val="pl"/>
          </w:rPr>
          <w:t>Strezovski i Inni p. Macedonii Północnej</w:t>
        </w:r>
      </w:hyperlink>
      <w:r>
        <w:rPr>
          <w:lang w:val="pl"/>
        </w:rPr>
        <w:t xml:space="preserve"> Trybunał uznał, że rząd może podnieść zastrzeżenie co do niewyczerpania krajowych środków odwoławczych, mimo że zrobił to już wcześniej w uwagach dodatkowych, ponieważ pozwalają na to szczególne okoliczności sprawy (przyjęcie opinii prawnej wydanej przez Sąd Najwyższy po tym, jak rząd przedstawił uwagi dodatkowe dotyczące dopuszczalności i przedmiotu skargi, §§ 33, 35; patrz z kolei</w:t>
      </w:r>
      <w:hyperlink r:id="rId803" w:history="1">
        <w:r>
          <w:rPr>
            <w:i/>
            <w:iCs/>
            <w:lang w:val="pl"/>
          </w:rPr>
          <w:t xml:space="preserve"> </w:t>
        </w:r>
        <w:r>
          <w:rPr>
            <w:i/>
            <w:iCs/>
            <w:color w:val="0072BC"/>
            <w:lang w:val="pl"/>
          </w:rPr>
          <w:t>Khlaifia</w:t>
        </w:r>
      </w:hyperlink>
      <w:r>
        <w:rPr>
          <w:i/>
          <w:iCs/>
          <w:color w:val="0072BC"/>
          <w:lang w:val="pl"/>
        </w:rPr>
        <w:t xml:space="preserve"> </w:t>
      </w:r>
      <w:hyperlink r:id="rId804" w:history="1">
        <w:r>
          <w:rPr>
            <w:i/>
            <w:iCs/>
            <w:color w:val="0072BC"/>
            <w:lang w:val="pl"/>
          </w:rPr>
          <w:t xml:space="preserve">i Inni p. Włochom </w:t>
        </w:r>
      </w:hyperlink>
      <w:r>
        <w:rPr>
          <w:lang w:val="pl"/>
        </w:rPr>
        <w:t xml:space="preserve">[WI], § 52). Trybunał może ponownie rozpatrzyć decyzję o uznaniu skargi za dopuszczalną, w tym nawet na etapie badania przedmiotu skargi i na podstawie Reguły 55 Regulaminu Trybunału </w:t>
      </w:r>
      <w:hyperlink r:id="rId805" w:history="1">
        <w:r>
          <w:rPr>
            <w:lang w:val="pl"/>
          </w:rPr>
          <w:t>(</w:t>
        </w:r>
        <w:r>
          <w:rPr>
            <w:i/>
            <w:iCs/>
            <w:color w:val="0072BC"/>
            <w:lang w:val="pl"/>
          </w:rPr>
          <w:t>O’Keeffe p. Irlandii</w:t>
        </w:r>
      </w:hyperlink>
      <w:r>
        <w:rPr>
          <w:color w:val="0072BC"/>
          <w:lang w:val="pl"/>
        </w:rPr>
        <w:t xml:space="preserve"> </w:t>
      </w:r>
      <w:r>
        <w:rPr>
          <w:lang w:val="pl"/>
        </w:rPr>
        <w:t>[WI], § 108;</w:t>
      </w:r>
      <w:hyperlink r:id="rId806" w:history="1">
        <w:r>
          <w:rPr>
            <w:i/>
            <w:iCs/>
            <w:lang w:val="pl"/>
          </w:rPr>
          <w:t xml:space="preserve"> </w:t>
        </w:r>
        <w:r>
          <w:rPr>
            <w:i/>
            <w:iCs/>
            <w:color w:val="0072BC"/>
            <w:lang w:val="pl"/>
          </w:rPr>
          <w:t xml:space="preserve">Muršić p. Chorwacji </w:t>
        </w:r>
      </w:hyperlink>
      <w:r>
        <w:rPr>
          <w:lang w:val="pl"/>
        </w:rPr>
        <w:t>[WI], § 69;</w:t>
      </w:r>
      <w:hyperlink r:id="rId807" w:history="1">
        <w:r>
          <w:rPr>
            <w:i/>
            <w:iCs/>
            <w:lang w:val="pl"/>
          </w:rPr>
          <w:t xml:space="preserve"> </w:t>
        </w:r>
        <w:r>
          <w:rPr>
            <w:i/>
            <w:iCs/>
            <w:color w:val="0072BC"/>
            <w:lang w:val="pl"/>
          </w:rPr>
          <w:t xml:space="preserve">Merabishvili p. Gruzji </w:t>
        </w:r>
      </w:hyperlink>
      <w:r>
        <w:rPr>
          <w:lang w:val="pl"/>
        </w:rPr>
        <w:t>[WI], § 214).</w:t>
      </w:r>
    </w:p>
    <w:p w:rsidR="00B71A20" w:rsidRPr="000625F6" w:rsidRDefault="000425B4" w:rsidP="00115011">
      <w:pPr>
        <w:pStyle w:val="Teksttreci0"/>
        <w:numPr>
          <w:ilvl w:val="0"/>
          <w:numId w:val="28"/>
        </w:numPr>
        <w:tabs>
          <w:tab w:val="left" w:pos="500"/>
        </w:tabs>
        <w:spacing w:after="120"/>
        <w:jc w:val="both"/>
        <w:rPr>
          <w:lang w:val="pl-PL"/>
        </w:rPr>
      </w:pPr>
      <w:r>
        <w:rPr>
          <w:lang w:val="pl"/>
        </w:rPr>
        <w:t xml:space="preserve">Często zdarza się, że zastrzeżenie oparte na niewyczerpaniu krajowych środków odwoławczych zostaje powiązane z przedmiotem skargi, w szczególności w sprawach dotyczących obowiązków lub gwarancji proceduralnych </w:t>
      </w:r>
      <w:hyperlink r:id="rId808" w:history="1">
        <w:r>
          <w:rPr>
            <w:lang w:val="pl"/>
          </w:rPr>
          <w:t>(</w:t>
        </w:r>
        <w:r>
          <w:rPr>
            <w:i/>
            <w:iCs/>
            <w:color w:val="0072BC"/>
            <w:lang w:val="pl"/>
          </w:rPr>
          <w:t>Nicolae Virgiliu Tănase</w:t>
        </w:r>
      </w:hyperlink>
      <w:r>
        <w:rPr>
          <w:i/>
          <w:iCs/>
          <w:color w:val="0072BC"/>
          <w:lang w:val="pl"/>
        </w:rPr>
        <w:t xml:space="preserve"> </w:t>
      </w:r>
      <w:hyperlink r:id="rId809" w:history="1">
        <w:r>
          <w:rPr>
            <w:i/>
            <w:iCs/>
            <w:color w:val="0072BC"/>
            <w:lang w:val="pl"/>
          </w:rPr>
          <w:t xml:space="preserve">p. Rumunii </w:t>
        </w:r>
      </w:hyperlink>
      <w:r>
        <w:rPr>
          <w:lang w:val="pl"/>
        </w:rPr>
        <w:t>[WI], § 103), np. w przypadku skarg dotyczących:</w:t>
      </w:r>
    </w:p>
    <w:p w:rsidR="00B71A20" w:rsidRPr="000625F6" w:rsidRDefault="000425B4" w:rsidP="00115011">
      <w:pPr>
        <w:pStyle w:val="Teksttreci0"/>
        <w:numPr>
          <w:ilvl w:val="0"/>
          <w:numId w:val="30"/>
        </w:numPr>
        <w:tabs>
          <w:tab w:val="left" w:pos="869"/>
        </w:tabs>
        <w:spacing w:after="60" w:line="257" w:lineRule="auto"/>
        <w:ind w:left="880" w:hanging="280"/>
        <w:jc w:val="both"/>
        <w:rPr>
          <w:lang w:val="pl-PL"/>
        </w:rPr>
      </w:pPr>
      <w:r>
        <w:rPr>
          <w:lang w:val="pl"/>
        </w:rPr>
        <w:t xml:space="preserve">aspektów proceduralnych na mocy art. 2 </w:t>
      </w:r>
      <w:hyperlink r:id="rId810" w:history="1">
        <w:r>
          <w:rPr>
            <w:lang w:val="pl"/>
          </w:rPr>
          <w:t>(</w:t>
        </w:r>
        <w:r>
          <w:rPr>
            <w:i/>
            <w:iCs/>
            <w:color w:val="0072BC"/>
            <w:lang w:val="pl"/>
          </w:rPr>
          <w:t>Dink p. Turcji</w:t>
        </w:r>
        <w:r>
          <w:rPr>
            <w:lang w:val="pl"/>
          </w:rPr>
          <w:t>,</w:t>
        </w:r>
      </w:hyperlink>
      <w:r>
        <w:rPr>
          <w:lang w:val="pl"/>
        </w:rPr>
        <w:t xml:space="preserve"> §§ 56-58;</w:t>
      </w:r>
      <w:hyperlink r:id="rId811" w:history="1">
        <w:r>
          <w:rPr>
            <w:i/>
            <w:iCs/>
            <w:lang w:val="pl"/>
          </w:rPr>
          <w:t xml:space="preserve"> </w:t>
        </w:r>
        <w:r>
          <w:rPr>
            <w:i/>
            <w:iCs/>
            <w:color w:val="0072BC"/>
            <w:lang w:val="pl"/>
          </w:rPr>
          <w:t>Oruk p. Turcji</w:t>
        </w:r>
        <w:r>
          <w:rPr>
            <w:lang w:val="pl"/>
          </w:rPr>
          <w:t>,</w:t>
        </w:r>
      </w:hyperlink>
      <w:r>
        <w:rPr>
          <w:lang w:val="pl"/>
        </w:rPr>
        <w:t xml:space="preserve"> § 35;</w:t>
      </w:r>
      <w:hyperlink r:id="rId812" w:history="1">
        <w:r>
          <w:rPr>
            <w:i/>
            <w:iCs/>
            <w:lang w:val="pl"/>
          </w:rPr>
          <w:t xml:space="preserve"> </w:t>
        </w:r>
        <w:r>
          <w:rPr>
            <w:i/>
            <w:iCs/>
            <w:color w:val="0072BC"/>
            <w:lang w:val="pl"/>
          </w:rPr>
          <w:t>Nicolae</w:t>
        </w:r>
      </w:hyperlink>
      <w:r>
        <w:rPr>
          <w:i/>
          <w:iCs/>
          <w:color w:val="0072BC"/>
          <w:lang w:val="pl"/>
        </w:rPr>
        <w:t xml:space="preserve"> </w:t>
      </w:r>
      <w:hyperlink r:id="rId813" w:history="1">
        <w:r>
          <w:rPr>
            <w:i/>
            <w:iCs/>
            <w:color w:val="0072BC"/>
            <w:lang w:val="pl"/>
          </w:rPr>
          <w:t xml:space="preserve">Virgiliu Tănase p. Rumunii </w:t>
        </w:r>
      </w:hyperlink>
      <w:r>
        <w:rPr>
          <w:lang w:val="pl"/>
        </w:rPr>
        <w:t>[WI], §§ 103-104;</w:t>
      </w:r>
      <w:hyperlink r:id="rId814" w:history="1">
        <w:r>
          <w:rPr>
            <w:i/>
            <w:iCs/>
            <w:lang w:val="pl"/>
          </w:rPr>
          <w:t xml:space="preserve"> </w:t>
        </w:r>
        <w:r>
          <w:rPr>
            <w:i/>
            <w:iCs/>
            <w:color w:val="0072BC"/>
            <w:lang w:val="pl"/>
          </w:rPr>
          <w:t>Vovk i Bogdanov p. Rosji</w:t>
        </w:r>
        <w:r>
          <w:rPr>
            <w:lang w:val="pl"/>
          </w:rPr>
          <w:t>,</w:t>
        </w:r>
      </w:hyperlink>
      <w:r>
        <w:rPr>
          <w:lang w:val="pl"/>
        </w:rPr>
        <w:t xml:space="preserve"> § 58);</w:t>
      </w:r>
    </w:p>
    <w:p w:rsidR="00B71A20" w:rsidRPr="000625F6" w:rsidRDefault="000425B4" w:rsidP="00115011">
      <w:pPr>
        <w:pStyle w:val="Teksttreci0"/>
        <w:numPr>
          <w:ilvl w:val="0"/>
          <w:numId w:val="30"/>
        </w:numPr>
        <w:tabs>
          <w:tab w:val="left" w:pos="869"/>
        </w:tabs>
        <w:spacing w:after="60" w:line="257" w:lineRule="auto"/>
        <w:ind w:left="880" w:hanging="280"/>
        <w:jc w:val="both"/>
        <w:rPr>
          <w:lang w:val="pl-PL"/>
        </w:rPr>
      </w:pPr>
      <w:r>
        <w:rPr>
          <w:lang w:val="pl"/>
        </w:rPr>
        <w:t xml:space="preserve">aspektów proceduralnych na mocy art. 3 </w:t>
      </w:r>
      <w:hyperlink r:id="rId815" w:history="1">
        <w:r>
          <w:rPr>
            <w:lang w:val="pl"/>
          </w:rPr>
          <w:t>(</w:t>
        </w:r>
        <w:r>
          <w:rPr>
            <w:i/>
            <w:iCs/>
            <w:color w:val="0072BC"/>
            <w:lang w:val="pl"/>
          </w:rPr>
          <w:t>Husayn (Abu Zubaydah) p. Polsce</w:t>
        </w:r>
        <w:r>
          <w:rPr>
            <w:lang w:val="pl"/>
          </w:rPr>
          <w:t>,</w:t>
        </w:r>
      </w:hyperlink>
      <w:r>
        <w:rPr>
          <w:lang w:val="pl"/>
        </w:rPr>
        <w:t xml:space="preserve"> § 337;</w:t>
      </w:r>
      <w:hyperlink r:id="rId816" w:history="1">
        <w:r>
          <w:rPr>
            <w:i/>
            <w:iCs/>
            <w:lang w:val="pl"/>
          </w:rPr>
          <w:t xml:space="preserve"> </w:t>
        </w:r>
        <w:r>
          <w:rPr>
            <w:i/>
            <w:iCs/>
            <w:color w:val="0072BC"/>
            <w:lang w:val="pl"/>
          </w:rPr>
          <w:t>Al Nashiri</w:t>
        </w:r>
      </w:hyperlink>
      <w:r>
        <w:rPr>
          <w:i/>
          <w:iCs/>
          <w:color w:val="0072BC"/>
          <w:lang w:val="pl"/>
        </w:rPr>
        <w:t xml:space="preserve"> </w:t>
      </w:r>
      <w:hyperlink r:id="rId817" w:history="1">
        <w:r>
          <w:rPr>
            <w:i/>
            <w:iCs/>
            <w:color w:val="0072BC"/>
            <w:lang w:val="pl"/>
          </w:rPr>
          <w:t>p. Polsce</w:t>
        </w:r>
        <w:r>
          <w:rPr>
            <w:lang w:val="pl"/>
          </w:rPr>
          <w:t>,</w:t>
        </w:r>
      </w:hyperlink>
      <w:r>
        <w:rPr>
          <w:lang w:val="pl"/>
        </w:rPr>
        <w:t xml:space="preserve"> § 343);</w:t>
      </w:r>
    </w:p>
    <w:p w:rsidR="00B71A20" w:rsidRDefault="000425B4" w:rsidP="00115011">
      <w:pPr>
        <w:pStyle w:val="Teksttreci0"/>
        <w:numPr>
          <w:ilvl w:val="0"/>
          <w:numId w:val="30"/>
        </w:numPr>
        <w:tabs>
          <w:tab w:val="left" w:pos="869"/>
        </w:tabs>
        <w:spacing w:after="60" w:line="276" w:lineRule="auto"/>
        <w:ind w:firstLine="600"/>
        <w:jc w:val="both"/>
      </w:pPr>
      <w:r>
        <w:rPr>
          <w:lang w:val="pl"/>
        </w:rPr>
        <w:t xml:space="preserve">art. 5 </w:t>
      </w:r>
      <w:hyperlink r:id="rId818" w:history="1">
        <w:r>
          <w:rPr>
            <w:lang w:val="pl"/>
          </w:rPr>
          <w:t>(</w:t>
        </w:r>
        <w:r>
          <w:rPr>
            <w:i/>
            <w:iCs/>
            <w:color w:val="0072BC"/>
            <w:lang w:val="pl"/>
          </w:rPr>
          <w:t>Margaretić p. Chorwacji</w:t>
        </w:r>
        <w:r>
          <w:rPr>
            <w:lang w:val="pl"/>
          </w:rPr>
          <w:t>,</w:t>
        </w:r>
      </w:hyperlink>
      <w:r>
        <w:rPr>
          <w:lang w:val="pl"/>
        </w:rPr>
        <w:t xml:space="preserve"> § 83);</w:t>
      </w:r>
    </w:p>
    <w:p w:rsidR="00B71A20" w:rsidRPr="000625F6" w:rsidRDefault="000425B4" w:rsidP="00115011">
      <w:pPr>
        <w:pStyle w:val="Teksttreci0"/>
        <w:numPr>
          <w:ilvl w:val="0"/>
          <w:numId w:val="30"/>
        </w:numPr>
        <w:tabs>
          <w:tab w:val="left" w:pos="869"/>
        </w:tabs>
        <w:spacing w:after="60" w:line="276" w:lineRule="auto"/>
        <w:ind w:firstLine="600"/>
        <w:jc w:val="both"/>
        <w:rPr>
          <w:lang w:val="pl-PL"/>
        </w:rPr>
      </w:pPr>
      <w:r>
        <w:rPr>
          <w:lang w:val="pl"/>
        </w:rPr>
        <w:t xml:space="preserve">art. 6 </w:t>
      </w:r>
      <w:hyperlink r:id="rId819" w:history="1">
        <w:r>
          <w:rPr>
            <w:lang w:val="pl"/>
          </w:rPr>
          <w:t>(</w:t>
        </w:r>
        <w:r>
          <w:rPr>
            <w:i/>
            <w:iCs/>
            <w:color w:val="0072BC"/>
            <w:lang w:val="pl"/>
          </w:rPr>
          <w:t xml:space="preserve">Scoppola p. Włochom (nr 2) </w:t>
        </w:r>
      </w:hyperlink>
      <w:r>
        <w:rPr>
          <w:lang w:val="pl"/>
        </w:rPr>
        <w:t>[WI], § 126);</w:t>
      </w:r>
    </w:p>
    <w:p w:rsidR="00B71A20" w:rsidRDefault="000425B4" w:rsidP="00115011">
      <w:pPr>
        <w:pStyle w:val="Teksttreci0"/>
        <w:numPr>
          <w:ilvl w:val="0"/>
          <w:numId w:val="30"/>
        </w:numPr>
        <w:tabs>
          <w:tab w:val="left" w:pos="869"/>
        </w:tabs>
        <w:spacing w:after="60" w:line="276" w:lineRule="auto"/>
        <w:ind w:firstLine="600"/>
        <w:jc w:val="both"/>
      </w:pPr>
      <w:r>
        <w:rPr>
          <w:lang w:val="pl"/>
        </w:rPr>
        <w:t xml:space="preserve">art. 8 </w:t>
      </w:r>
      <w:hyperlink r:id="rId820" w:history="1">
        <w:r>
          <w:rPr>
            <w:lang w:val="pl"/>
          </w:rPr>
          <w:t>(</w:t>
        </w:r>
        <w:r>
          <w:rPr>
            <w:i/>
            <w:iCs/>
            <w:color w:val="0072BC"/>
            <w:lang w:val="pl"/>
          </w:rPr>
          <w:t xml:space="preserve">A, B i C p. Irlandii </w:t>
        </w:r>
      </w:hyperlink>
      <w:r>
        <w:rPr>
          <w:lang w:val="pl"/>
        </w:rPr>
        <w:t>[WI], § 155;</w:t>
      </w:r>
      <w:hyperlink r:id="rId821" w:history="1">
        <w:r>
          <w:rPr>
            <w:i/>
            <w:iCs/>
            <w:lang w:val="pl"/>
          </w:rPr>
          <w:t xml:space="preserve"> </w:t>
        </w:r>
        <w:r>
          <w:rPr>
            <w:i/>
            <w:iCs/>
            <w:color w:val="0072BC"/>
            <w:lang w:val="pl"/>
          </w:rPr>
          <w:t>Konstantinidis p. Grecji</w:t>
        </w:r>
        <w:r>
          <w:rPr>
            <w:lang w:val="pl"/>
          </w:rPr>
          <w:t>,</w:t>
        </w:r>
      </w:hyperlink>
      <w:r>
        <w:rPr>
          <w:lang w:val="pl"/>
        </w:rPr>
        <w:t xml:space="preserve"> § 31);</w:t>
      </w:r>
    </w:p>
    <w:p w:rsidR="00B71A20" w:rsidRDefault="000425B4" w:rsidP="00115011">
      <w:pPr>
        <w:pStyle w:val="Teksttreci0"/>
        <w:numPr>
          <w:ilvl w:val="0"/>
          <w:numId w:val="30"/>
        </w:numPr>
        <w:tabs>
          <w:tab w:val="left" w:pos="869"/>
        </w:tabs>
        <w:spacing w:after="60" w:line="257" w:lineRule="auto"/>
        <w:ind w:left="880" w:hanging="280"/>
        <w:jc w:val="both"/>
      </w:pPr>
      <w:r>
        <w:rPr>
          <w:lang w:val="pl"/>
        </w:rPr>
        <w:t xml:space="preserve">art. 13 </w:t>
      </w:r>
      <w:hyperlink r:id="rId822" w:history="1">
        <w:r>
          <w:rPr>
            <w:lang w:val="pl"/>
          </w:rPr>
          <w:t>(</w:t>
        </w:r>
        <w:r>
          <w:rPr>
            <w:i/>
            <w:iCs/>
            <w:color w:val="0072BC"/>
            <w:lang w:val="pl"/>
          </w:rPr>
          <w:t xml:space="preserve">Sürmeli p. Niemcom </w:t>
        </w:r>
      </w:hyperlink>
      <w:r>
        <w:rPr>
          <w:lang w:val="pl"/>
        </w:rPr>
        <w:t>[WI], § 78;</w:t>
      </w:r>
      <w:hyperlink r:id="rId823" w:history="1">
        <w:r>
          <w:rPr>
            <w:i/>
            <w:iCs/>
            <w:lang w:val="pl"/>
          </w:rPr>
          <w:t xml:space="preserve"> </w:t>
        </w:r>
        <w:r>
          <w:rPr>
            <w:i/>
            <w:iCs/>
            <w:color w:val="0072BC"/>
            <w:lang w:val="pl"/>
          </w:rPr>
          <w:t xml:space="preserve">M.S.S. p. Belgii i Grecji </w:t>
        </w:r>
      </w:hyperlink>
      <w:r>
        <w:rPr>
          <w:lang w:val="pl"/>
        </w:rPr>
        <w:t>[WI], § 336;</w:t>
      </w:r>
      <w:hyperlink r:id="rId824" w:history="1">
        <w:r>
          <w:rPr>
            <w:i/>
            <w:iCs/>
            <w:lang w:val="pl"/>
          </w:rPr>
          <w:t xml:space="preserve"> </w:t>
        </w:r>
        <w:r>
          <w:rPr>
            <w:i/>
            <w:iCs/>
            <w:color w:val="0072BC"/>
            <w:lang w:val="pl"/>
          </w:rPr>
          <w:t>J.M.B.</w:t>
        </w:r>
      </w:hyperlink>
      <w:r>
        <w:rPr>
          <w:i/>
          <w:iCs/>
          <w:color w:val="0072BC"/>
          <w:lang w:val="pl"/>
        </w:rPr>
        <w:t xml:space="preserve"> </w:t>
      </w:r>
      <w:hyperlink r:id="rId825" w:history="1">
        <w:r>
          <w:rPr>
            <w:i/>
            <w:iCs/>
            <w:color w:val="0072BC"/>
            <w:lang w:val="pl"/>
          </w:rPr>
          <w:t>i Inni p. Francji</w:t>
        </w:r>
        <w:r>
          <w:rPr>
            <w:lang w:val="pl"/>
          </w:rPr>
          <w:t>,</w:t>
        </w:r>
      </w:hyperlink>
      <w:r>
        <w:rPr>
          <w:lang w:val="pl"/>
        </w:rPr>
        <w:t xml:space="preserve"> § 176);</w:t>
      </w:r>
    </w:p>
    <w:p w:rsidR="00B71A20" w:rsidRPr="000625F6" w:rsidRDefault="000425B4" w:rsidP="00115011">
      <w:pPr>
        <w:pStyle w:val="Teksttreci0"/>
        <w:numPr>
          <w:ilvl w:val="0"/>
          <w:numId w:val="30"/>
        </w:numPr>
        <w:tabs>
          <w:tab w:val="left" w:pos="869"/>
        </w:tabs>
        <w:spacing w:after="200" w:line="276" w:lineRule="auto"/>
        <w:ind w:firstLine="600"/>
        <w:jc w:val="both"/>
        <w:rPr>
          <w:lang w:val="pl-PL"/>
        </w:rPr>
      </w:pPr>
      <w:r>
        <w:rPr>
          <w:lang w:val="pl"/>
        </w:rPr>
        <w:t xml:space="preserve">art. 1 Protokołu nr 1 </w:t>
      </w:r>
      <w:hyperlink r:id="rId826" w:history="1">
        <w:r>
          <w:rPr>
            <w:lang w:val="pl"/>
          </w:rPr>
          <w:t>(</w:t>
        </w:r>
        <w:r>
          <w:rPr>
            <w:i/>
            <w:iCs/>
            <w:color w:val="0072BC"/>
            <w:lang w:val="pl"/>
          </w:rPr>
          <w:t>S.L. i J.L. p. Chorwacji</w:t>
        </w:r>
        <w:r>
          <w:rPr>
            <w:lang w:val="pl"/>
          </w:rPr>
          <w:t>,</w:t>
        </w:r>
      </w:hyperlink>
      <w:r>
        <w:rPr>
          <w:lang w:val="pl"/>
        </w:rPr>
        <w:t xml:space="preserve"> § 53;</w:t>
      </w:r>
      <w:hyperlink r:id="rId827" w:history="1">
        <w:r>
          <w:rPr>
            <w:i/>
            <w:iCs/>
            <w:lang w:val="pl"/>
          </w:rPr>
          <w:t xml:space="preserve"> </w:t>
        </w:r>
        <w:r>
          <w:rPr>
            <w:i/>
            <w:iCs/>
            <w:color w:val="0072BC"/>
            <w:lang w:val="pl"/>
          </w:rPr>
          <w:t>Joannou p. Turcji</w:t>
        </w:r>
        <w:r>
          <w:rPr>
            <w:lang w:val="pl"/>
          </w:rPr>
          <w:t>,</w:t>
        </w:r>
      </w:hyperlink>
      <w:r>
        <w:rPr>
          <w:i/>
          <w:iCs/>
          <w:lang w:val="pl"/>
        </w:rPr>
        <w:t xml:space="preserve"> </w:t>
      </w:r>
      <w:r>
        <w:rPr>
          <w:color w:val="0072BC"/>
          <w:lang w:val="pl"/>
        </w:rPr>
        <w:t>§ 63</w:t>
      </w:r>
      <w:r>
        <w:rPr>
          <w:lang w:val="pl"/>
        </w:rPr>
        <w:t>).</w:t>
      </w:r>
    </w:p>
    <w:p w:rsidR="00B71A20" w:rsidRDefault="001E2850" w:rsidP="001E2850">
      <w:pPr>
        <w:pStyle w:val="Nagwek31"/>
        <w:keepNext/>
        <w:keepLines/>
        <w:tabs>
          <w:tab w:val="left" w:pos="340"/>
        </w:tabs>
        <w:spacing w:after="120"/>
        <w:jc w:val="both"/>
      </w:pPr>
      <w:bookmarkStart w:id="107" w:name="bookmark106"/>
      <w:bookmarkStart w:id="108" w:name="_Toc126335634"/>
      <w:bookmarkStart w:id="109" w:name="_Toc126660588"/>
      <w:r>
        <w:rPr>
          <w:lang w:val="pl"/>
        </w:rPr>
        <w:t xml:space="preserve">6.  </w:t>
      </w:r>
      <w:r w:rsidR="000425B4">
        <w:rPr>
          <w:lang w:val="pl"/>
        </w:rPr>
        <w:t>Tworzenie nowych środków odwoławczych</w:t>
      </w:r>
      <w:bookmarkEnd w:id="107"/>
      <w:bookmarkEnd w:id="108"/>
      <w:bookmarkEnd w:id="109"/>
    </w:p>
    <w:p w:rsidR="00B71A20" w:rsidRPr="000625F6" w:rsidRDefault="000425B4" w:rsidP="00115011">
      <w:pPr>
        <w:pStyle w:val="Teksttreci0"/>
        <w:numPr>
          <w:ilvl w:val="0"/>
          <w:numId w:val="28"/>
        </w:numPr>
        <w:tabs>
          <w:tab w:val="left" w:pos="514"/>
        </w:tabs>
        <w:spacing w:after="60"/>
        <w:jc w:val="both"/>
        <w:rPr>
          <w:lang w:val="pl-PL"/>
        </w:rPr>
      </w:pPr>
      <w:r>
        <w:rPr>
          <w:lang w:val="pl"/>
        </w:rPr>
        <w:t>Ocena tego, czy krajowe środki odwoławcze zostały wyczerpan</w:t>
      </w:r>
      <w:r w:rsidR="00DC2406">
        <w:rPr>
          <w:lang w:val="pl"/>
        </w:rPr>
        <w:t>e, jest przeprowadzana zwykle w </w:t>
      </w:r>
      <w:r>
        <w:rPr>
          <w:lang w:val="pl"/>
        </w:rPr>
        <w:t xml:space="preserve">odniesieniu do stanu postępowania w dniu złożenia skargi do Trybunału. Od tej zasady istnieją jednak wyjątki po utworzeniu nowych środków odwoławczych </w:t>
      </w:r>
      <w:hyperlink r:id="rId828" w:history="1">
        <w:r>
          <w:rPr>
            <w:lang w:val="pl"/>
          </w:rPr>
          <w:t>(</w:t>
        </w:r>
        <w:r>
          <w:rPr>
            <w:i/>
            <w:iCs/>
            <w:color w:val="0072BC"/>
            <w:lang w:val="pl"/>
          </w:rPr>
          <w:t>İçyer</w:t>
        </w:r>
      </w:hyperlink>
      <w:r>
        <w:rPr>
          <w:i/>
          <w:iCs/>
          <w:color w:val="0072BC"/>
          <w:lang w:val="pl"/>
        </w:rPr>
        <w:t xml:space="preserve"> </w:t>
      </w:r>
      <w:hyperlink r:id="rId829" w:history="1">
        <w:r>
          <w:rPr>
            <w:i/>
            <w:iCs/>
            <w:color w:val="0072BC"/>
            <w:lang w:val="pl"/>
          </w:rPr>
          <w:t xml:space="preserve">p. Turcji </w:t>
        </w:r>
      </w:hyperlink>
      <w:r>
        <w:rPr>
          <w:lang w:val="pl"/>
        </w:rPr>
        <w:t xml:space="preserve">(dec.), §§ 72 i nast.). Trybunał odchodzi od tej zasady w szczególności w sprawach dotyczących przewlekłości postępowania </w:t>
      </w:r>
      <w:hyperlink r:id="rId830" w:history="1">
        <w:r>
          <w:rPr>
            <w:lang w:val="pl"/>
          </w:rPr>
          <w:t>(</w:t>
        </w:r>
        <w:r>
          <w:rPr>
            <w:i/>
            <w:iCs/>
            <w:color w:val="0072BC"/>
            <w:lang w:val="pl"/>
          </w:rPr>
          <w:t xml:space="preserve">Predil Anstalt p. Włochom </w:t>
        </w:r>
      </w:hyperlink>
      <w:r>
        <w:rPr>
          <w:lang w:val="pl"/>
        </w:rPr>
        <w:t>(dec.);</w:t>
      </w:r>
      <w:hyperlink r:id="rId831" w:history="1">
        <w:r>
          <w:rPr>
            <w:lang w:val="pl"/>
          </w:rPr>
          <w:t xml:space="preserve"> </w:t>
        </w:r>
        <w:r>
          <w:rPr>
            <w:i/>
            <w:iCs/>
            <w:color w:val="0072BC"/>
            <w:lang w:val="pl"/>
          </w:rPr>
          <w:t xml:space="preserve">Bottaro p. Włochom </w:t>
        </w:r>
      </w:hyperlink>
      <w:r>
        <w:rPr>
          <w:lang w:val="pl"/>
        </w:rPr>
        <w:t>(dec.);</w:t>
      </w:r>
      <w:hyperlink r:id="rId832" w:history="1">
        <w:r>
          <w:rPr>
            <w:lang w:val="pl"/>
          </w:rPr>
          <w:t xml:space="preserve"> </w:t>
        </w:r>
        <w:r>
          <w:rPr>
            <w:i/>
            <w:iCs/>
            <w:color w:val="0072BC"/>
            <w:lang w:val="pl"/>
          </w:rPr>
          <w:t>Andrášik</w:t>
        </w:r>
      </w:hyperlink>
      <w:r>
        <w:rPr>
          <w:i/>
          <w:iCs/>
          <w:color w:val="0072BC"/>
          <w:lang w:val="pl"/>
        </w:rPr>
        <w:t xml:space="preserve"> </w:t>
      </w:r>
      <w:hyperlink r:id="rId833" w:history="1">
        <w:r>
          <w:rPr>
            <w:i/>
            <w:iCs/>
            <w:color w:val="0072BC"/>
            <w:lang w:val="pl"/>
          </w:rPr>
          <w:t xml:space="preserve">i Inni p. Słowacji </w:t>
        </w:r>
      </w:hyperlink>
      <w:r>
        <w:rPr>
          <w:lang w:val="pl"/>
        </w:rPr>
        <w:t>(dec.);</w:t>
      </w:r>
      <w:hyperlink r:id="rId834" w:history="1">
        <w:r>
          <w:rPr>
            <w:lang w:val="pl"/>
          </w:rPr>
          <w:t xml:space="preserve"> </w:t>
        </w:r>
        <w:r>
          <w:rPr>
            <w:i/>
            <w:iCs/>
            <w:color w:val="0072BC"/>
            <w:lang w:val="pl"/>
          </w:rPr>
          <w:t xml:space="preserve">Nogolica p. Chorwacji </w:t>
        </w:r>
      </w:hyperlink>
      <w:r>
        <w:rPr>
          <w:lang w:val="pl"/>
        </w:rPr>
        <w:t>(dec.);</w:t>
      </w:r>
      <w:hyperlink r:id="rId835" w:history="1">
        <w:r>
          <w:rPr>
            <w:lang w:val="pl"/>
          </w:rPr>
          <w:t xml:space="preserve"> </w:t>
        </w:r>
        <w:r>
          <w:rPr>
            <w:i/>
            <w:iCs/>
            <w:color w:val="0072BC"/>
            <w:lang w:val="pl"/>
          </w:rPr>
          <w:t xml:space="preserve">Brusco p. Włochom </w:t>
        </w:r>
      </w:hyperlink>
      <w:r>
        <w:rPr>
          <w:lang w:val="pl"/>
        </w:rPr>
        <w:t>(dec.);</w:t>
      </w:r>
      <w:hyperlink r:id="rId836" w:history="1">
        <w:r>
          <w:rPr>
            <w:lang w:val="pl"/>
          </w:rPr>
          <w:t xml:space="preserve"> </w:t>
        </w:r>
        <w:r>
          <w:rPr>
            <w:i/>
            <w:iCs/>
            <w:color w:val="0072BC"/>
            <w:lang w:val="pl"/>
          </w:rPr>
          <w:t>Korenjak p. Słowenii</w:t>
        </w:r>
      </w:hyperlink>
      <w:r>
        <w:rPr>
          <w:color w:val="0072BC"/>
          <w:lang w:val="pl"/>
        </w:rPr>
        <w:t xml:space="preserve"> </w:t>
      </w:r>
      <w:r>
        <w:rPr>
          <w:lang w:val="pl"/>
        </w:rPr>
        <w:t>(dec.), §§ 66-71;</w:t>
      </w:r>
      <w:hyperlink r:id="rId837" w:history="1">
        <w:r>
          <w:rPr>
            <w:lang w:val="pl"/>
          </w:rPr>
          <w:t xml:space="preserve"> </w:t>
        </w:r>
        <w:r>
          <w:rPr>
            <w:i/>
            <w:iCs/>
            <w:color w:val="0072BC"/>
            <w:lang w:val="pl"/>
          </w:rPr>
          <w:t xml:space="preserve">Techniki Olympiaki A.E. p. Grecji </w:t>
        </w:r>
      </w:hyperlink>
      <w:r>
        <w:rPr>
          <w:lang w:val="pl"/>
        </w:rPr>
        <w:t xml:space="preserve">(dec.)) czy też w sprawach dotyczących nowego środka odwoławczego stanowiącego odszkodowanie za ingerencję w prawo własności </w:t>
      </w:r>
      <w:hyperlink r:id="rId838" w:history="1">
        <w:r>
          <w:rPr>
            <w:lang w:val="pl"/>
          </w:rPr>
          <w:t>(</w:t>
        </w:r>
        <w:r>
          <w:rPr>
            <w:i/>
            <w:iCs/>
            <w:color w:val="0072BC"/>
            <w:lang w:val="pl"/>
          </w:rPr>
          <w:t xml:space="preserve">Charzyński p. Polsce </w:t>
        </w:r>
      </w:hyperlink>
      <w:r>
        <w:rPr>
          <w:lang w:val="pl"/>
        </w:rPr>
        <w:t>(dec.);</w:t>
      </w:r>
      <w:hyperlink r:id="rId839" w:history="1">
        <w:r>
          <w:rPr>
            <w:lang w:val="pl"/>
          </w:rPr>
          <w:t xml:space="preserve"> </w:t>
        </w:r>
        <w:r>
          <w:rPr>
            <w:i/>
            <w:iCs/>
            <w:color w:val="0072BC"/>
            <w:lang w:val="pl"/>
          </w:rPr>
          <w:t>Michalak p. Polsce</w:t>
        </w:r>
      </w:hyperlink>
      <w:r>
        <w:rPr>
          <w:color w:val="0072BC"/>
          <w:lang w:val="pl"/>
        </w:rPr>
        <w:t xml:space="preserve"> </w:t>
      </w:r>
      <w:r>
        <w:rPr>
          <w:lang w:val="pl"/>
        </w:rPr>
        <w:t>(dec.);</w:t>
      </w:r>
      <w:hyperlink r:id="rId840" w:history="1">
        <w:r>
          <w:rPr>
            <w:lang w:val="pl"/>
          </w:rPr>
          <w:t xml:space="preserve"> </w:t>
        </w:r>
        <w:r>
          <w:rPr>
            <w:i/>
            <w:iCs/>
            <w:color w:val="0072BC"/>
            <w:lang w:val="pl"/>
          </w:rPr>
          <w:t xml:space="preserve">Demopoulos i Inni p. Turcji </w:t>
        </w:r>
      </w:hyperlink>
      <w:r>
        <w:rPr>
          <w:lang w:val="pl"/>
        </w:rPr>
        <w:t>(dec.) [WI];</w:t>
      </w:r>
      <w:hyperlink r:id="rId841" w:history="1">
        <w:r>
          <w:rPr>
            <w:lang w:val="pl"/>
          </w:rPr>
          <w:t xml:space="preserve"> </w:t>
        </w:r>
        <w:r>
          <w:rPr>
            <w:i/>
            <w:iCs/>
            <w:color w:val="0072BC"/>
            <w:lang w:val="pl"/>
          </w:rPr>
          <w:t xml:space="preserve">Beshiri i Inni p. Albanii </w:t>
        </w:r>
      </w:hyperlink>
      <w:r>
        <w:rPr>
          <w:lang w:val="pl"/>
        </w:rPr>
        <w:t>(dec.), § 177 i §§ 216-218);</w:t>
      </w:r>
      <w:hyperlink r:id="rId842" w:history="1">
        <w:r>
          <w:rPr>
            <w:lang w:val="pl"/>
          </w:rPr>
          <w:t xml:space="preserve"> </w:t>
        </w:r>
        <w:r>
          <w:rPr>
            <w:i/>
            <w:iCs/>
            <w:color w:val="0072BC"/>
            <w:lang w:val="pl"/>
          </w:rPr>
          <w:t xml:space="preserve">Olkhovik i Inni p. Rosji </w:t>
        </w:r>
      </w:hyperlink>
      <w:r>
        <w:rPr>
          <w:lang w:val="pl"/>
        </w:rPr>
        <w:t xml:space="preserve">(dec.), §§ 34-41); lub niewykonania wyroków sądów krajowych </w:t>
      </w:r>
      <w:hyperlink r:id="rId843" w:history="1">
        <w:r>
          <w:rPr>
            <w:lang w:val="pl"/>
          </w:rPr>
          <w:t>(</w:t>
        </w:r>
        <w:r>
          <w:rPr>
            <w:i/>
            <w:iCs/>
            <w:color w:val="0072BC"/>
            <w:lang w:val="pl"/>
          </w:rPr>
          <w:t xml:space="preserve">Nagovitsyn i Nalgiyev p. Rosji </w:t>
        </w:r>
      </w:hyperlink>
      <w:r>
        <w:rPr>
          <w:lang w:val="pl"/>
        </w:rPr>
        <w:t>(dec.), §§ 36-40;</w:t>
      </w:r>
      <w:hyperlink r:id="rId844" w:history="1">
        <w:r>
          <w:rPr>
            <w:lang w:val="pl"/>
          </w:rPr>
          <w:t xml:space="preserve"> </w:t>
        </w:r>
        <w:r>
          <w:rPr>
            <w:i/>
            <w:iCs/>
            <w:color w:val="0072BC"/>
            <w:lang w:val="pl"/>
          </w:rPr>
          <w:t xml:space="preserve">Balan p. Mołdawii </w:t>
        </w:r>
      </w:hyperlink>
      <w:r>
        <w:rPr>
          <w:lang w:val="pl"/>
        </w:rPr>
        <w:t xml:space="preserve">(dec.)); lub przeludnienia w zakładach karnych </w:t>
      </w:r>
      <w:hyperlink r:id="rId845" w:history="1">
        <w:r>
          <w:rPr>
            <w:lang w:val="pl"/>
          </w:rPr>
          <w:t>(</w:t>
        </w:r>
        <w:r>
          <w:rPr>
            <w:i/>
            <w:iCs/>
            <w:color w:val="0072BC"/>
            <w:lang w:val="pl"/>
          </w:rPr>
          <w:t xml:space="preserve">Łatak p. Polsce </w:t>
        </w:r>
      </w:hyperlink>
      <w:r>
        <w:rPr>
          <w:lang w:val="pl"/>
        </w:rPr>
        <w:t>(dec.);</w:t>
      </w:r>
      <w:hyperlink r:id="rId846" w:history="1">
        <w:r>
          <w:rPr>
            <w:lang w:val="pl"/>
          </w:rPr>
          <w:t xml:space="preserve"> </w:t>
        </w:r>
        <w:r>
          <w:rPr>
            <w:i/>
            <w:iCs/>
            <w:color w:val="0072BC"/>
            <w:lang w:val="pl"/>
          </w:rPr>
          <w:t xml:space="preserve">Stella i Inni p. Włochom </w:t>
        </w:r>
      </w:hyperlink>
      <w:r>
        <w:rPr>
          <w:lang w:val="pl"/>
        </w:rPr>
        <w:t>(dec.), §§ 42</w:t>
      </w:r>
      <w:r>
        <w:rPr>
          <w:lang w:val="pl"/>
        </w:rPr>
        <w:noBreakHyphen/>
        <w:t xml:space="preserve">45); lub niewłaściwych warunków pozbawienia wolności </w:t>
      </w:r>
      <w:hyperlink r:id="rId847" w:history="1">
        <w:r>
          <w:rPr>
            <w:lang w:val="pl"/>
          </w:rPr>
          <w:t>(</w:t>
        </w:r>
        <w:r>
          <w:rPr>
            <w:i/>
            <w:iCs/>
            <w:color w:val="0072BC"/>
            <w:lang w:val="pl"/>
          </w:rPr>
          <w:t xml:space="preserve">Shmelev i Inni p. Rosji </w:t>
        </w:r>
      </w:hyperlink>
      <w:r>
        <w:rPr>
          <w:lang w:val="pl"/>
        </w:rPr>
        <w:t>(dec.), §§ 123-131).</w:t>
      </w:r>
    </w:p>
    <w:p w:rsidR="00B71A20" w:rsidRPr="000625F6" w:rsidRDefault="000425B4">
      <w:pPr>
        <w:pStyle w:val="Teksttreci0"/>
        <w:jc w:val="both"/>
        <w:rPr>
          <w:lang w:val="pl-PL"/>
        </w:rPr>
      </w:pPr>
      <w:r>
        <w:rPr>
          <w:lang w:val="pl"/>
        </w:rPr>
        <w:t xml:space="preserve">Trybunał bierze pod uwagę efektywność i dostępność nowowprowadzonych środków odwoławczych </w:t>
      </w:r>
      <w:hyperlink r:id="rId848" w:history="1">
        <w:r>
          <w:rPr>
            <w:lang w:val="pl"/>
          </w:rPr>
          <w:t>(</w:t>
        </w:r>
        <w:r>
          <w:rPr>
            <w:i/>
            <w:iCs/>
            <w:color w:val="0072BC"/>
            <w:lang w:val="pl"/>
          </w:rPr>
          <w:t xml:space="preserve">Demopoulos i Inni p. Turcji </w:t>
        </w:r>
      </w:hyperlink>
      <w:r>
        <w:rPr>
          <w:lang w:val="pl"/>
        </w:rPr>
        <w:t>(dec.) [WI], § 88). Odnośnie do sprawy, w której nowy środek odwoławczy nie jest skuteczny, patrz</w:t>
      </w:r>
      <w:hyperlink r:id="rId849" w:history="1">
        <w:r>
          <w:rPr>
            <w:lang w:val="pl"/>
          </w:rPr>
          <w:t xml:space="preserve"> </w:t>
        </w:r>
        <w:r>
          <w:rPr>
            <w:i/>
            <w:iCs/>
            <w:color w:val="0072BC"/>
            <w:lang w:val="pl"/>
          </w:rPr>
          <w:t>Parizov p. Byłej Jugosłowiańskiej Republice Macedonii</w:t>
        </w:r>
        <w:r>
          <w:rPr>
            <w:lang w:val="pl"/>
          </w:rPr>
          <w:t>,</w:t>
        </w:r>
      </w:hyperlink>
      <w:r>
        <w:rPr>
          <w:lang w:val="pl"/>
        </w:rPr>
        <w:t xml:space="preserve"> §§ 41-47; odnośnie do sprawy, w której nowy konstytucyjny środek odwoławczy jest skuteczny, patrz</w:t>
      </w:r>
      <w:hyperlink r:id="rId850" w:history="1">
        <w:r>
          <w:rPr>
            <w:lang w:val="pl"/>
          </w:rPr>
          <w:t xml:space="preserve"> </w:t>
        </w:r>
        <w:r>
          <w:rPr>
            <w:i/>
            <w:iCs/>
            <w:color w:val="0072BC"/>
            <w:lang w:val="pl"/>
          </w:rPr>
          <w:t>Cvetković p. Serbii</w:t>
        </w:r>
        <w:r>
          <w:rPr>
            <w:lang w:val="pl"/>
          </w:rPr>
          <w:t>,</w:t>
        </w:r>
      </w:hyperlink>
      <w:r>
        <w:rPr>
          <w:lang w:val="pl"/>
        </w:rPr>
        <w:t xml:space="preserve"> § 41.</w:t>
      </w:r>
    </w:p>
    <w:p w:rsidR="00B71A20" w:rsidRPr="000625F6" w:rsidRDefault="000425B4">
      <w:pPr>
        <w:pStyle w:val="Teksttreci0"/>
        <w:jc w:val="both"/>
        <w:rPr>
          <w:lang w:val="pl-PL"/>
        </w:rPr>
      </w:pPr>
      <w:r>
        <w:rPr>
          <w:lang w:val="pl"/>
        </w:rPr>
        <w:lastRenderedPageBreak/>
        <w:t xml:space="preserve">Odnośnie do terminu, od którego można wymagać, by skarżący wykorzystał nowy środek odwoławczy wprowadzony do systemu prawnego kraju po zmianie orzecznictwa, Trybunał orzekł, że nie byłoby to sprawiedliwe, gdyby od skarżącego wymagano wykorzystania takiego środka odwoławczego, nie dając mu rozsądnego terminu na zapoznanie się z danym orzeczeniem sądu </w:t>
      </w:r>
      <w:hyperlink r:id="rId851" w:history="1">
        <w:r>
          <w:rPr>
            <w:lang w:val="pl"/>
          </w:rPr>
          <w:t>(</w:t>
        </w:r>
        <w:r>
          <w:rPr>
            <w:i/>
            <w:iCs/>
            <w:color w:val="0072BC"/>
            <w:lang w:val="pl"/>
          </w:rPr>
          <w:t>Broca i Texier-Micault p. Francji</w:t>
        </w:r>
        <w:r>
          <w:rPr>
            <w:lang w:val="pl"/>
          </w:rPr>
          <w:t>,</w:t>
        </w:r>
      </w:hyperlink>
      <w:r>
        <w:rPr>
          <w:lang w:val="pl"/>
        </w:rPr>
        <w:t xml:space="preserve"> § 20). Zakres „rozsądnego terminu” zależy każdorazowo od okoliczności, ale Trybunał przyjął, że ogólnie jest to około sześciu miesięcy </w:t>
      </w:r>
      <w:hyperlink r:id="rId852" w:history="1">
        <w:r>
          <w:rPr>
            <w:lang w:val="pl"/>
          </w:rPr>
          <w:t>(</w:t>
        </w:r>
        <w:r>
          <w:rPr>
            <w:i/>
            <w:iCs/>
            <w:color w:val="0072BC"/>
            <w:lang w:val="pl"/>
          </w:rPr>
          <w:t>ibid.</w:t>
        </w:r>
        <w:r>
          <w:rPr>
            <w:lang w:val="pl"/>
          </w:rPr>
          <w:t>;</w:t>
        </w:r>
      </w:hyperlink>
      <w:hyperlink r:id="rId853" w:history="1">
        <w:r>
          <w:rPr>
            <w:lang w:val="pl"/>
          </w:rPr>
          <w:t xml:space="preserve"> </w:t>
        </w:r>
        <w:r>
          <w:rPr>
            <w:i/>
            <w:iCs/>
            <w:color w:val="0072BC"/>
            <w:lang w:val="pl"/>
          </w:rPr>
          <w:t xml:space="preserve">Depauw p. Belgii </w:t>
        </w:r>
      </w:hyperlink>
      <w:r>
        <w:rPr>
          <w:lang w:val="pl"/>
        </w:rPr>
        <w:t>(dec.);</w:t>
      </w:r>
      <w:hyperlink r:id="rId854" w:history="1">
        <w:r>
          <w:rPr>
            <w:lang w:val="pl"/>
          </w:rPr>
          <w:t xml:space="preserve"> </w:t>
        </w:r>
        <w:r>
          <w:rPr>
            <w:i/>
            <w:iCs/>
            <w:color w:val="0072BC"/>
            <w:lang w:val="pl"/>
          </w:rPr>
          <w:t>Yavuz Selim Güler p. Turcji</w:t>
        </w:r>
        <w:r>
          <w:rPr>
            <w:lang w:val="pl"/>
          </w:rPr>
          <w:t>,</w:t>
        </w:r>
      </w:hyperlink>
      <w:r>
        <w:rPr>
          <w:lang w:val="pl"/>
        </w:rPr>
        <w:t xml:space="preserve"> § 26). Na przykład w sprawie</w:t>
      </w:r>
      <w:hyperlink r:id="rId855" w:history="1">
        <w:r>
          <w:rPr>
            <w:lang w:val="pl"/>
          </w:rPr>
          <w:t xml:space="preserve"> </w:t>
        </w:r>
        <w:r>
          <w:rPr>
            <w:i/>
            <w:iCs/>
            <w:color w:val="0072BC"/>
            <w:lang w:val="pl"/>
          </w:rPr>
          <w:t>Leandro Da Silva p. Luksemburgowi</w:t>
        </w:r>
        <w:r>
          <w:rPr>
            <w:lang w:val="pl"/>
          </w:rPr>
          <w:t>,</w:t>
        </w:r>
      </w:hyperlink>
      <w:r>
        <w:rPr>
          <w:lang w:val="pl"/>
        </w:rPr>
        <w:t xml:space="preserve"> § 50, okres ten wynosił osiem miesięcy od daty uchwalenia odnośnej decyzji krajowej oraz trzy i pół miesiąca od jej ogłoszenia. Patrz również</w:t>
      </w:r>
      <w:hyperlink r:id="rId856" w:history="1">
        <w:r>
          <w:rPr>
            <w:lang w:val="pl"/>
          </w:rPr>
          <w:t xml:space="preserve"> </w:t>
        </w:r>
        <w:r>
          <w:rPr>
            <w:i/>
            <w:iCs/>
            <w:color w:val="0072BC"/>
            <w:lang w:val="pl"/>
          </w:rPr>
          <w:t xml:space="preserve">McFarlane p. Irlandii </w:t>
        </w:r>
      </w:hyperlink>
      <w:r>
        <w:rPr>
          <w:lang w:val="pl"/>
        </w:rPr>
        <w:t xml:space="preserve">[WI], § 117; odnośnie do nowego środka odwoławczego wprowadzonego po wyroku pilotażowym, patrz </w:t>
      </w:r>
      <w:hyperlink r:id="rId857" w:history="1">
        <w:r>
          <w:rPr>
            <w:i/>
            <w:iCs/>
            <w:color w:val="0072BC"/>
            <w:lang w:val="pl"/>
          </w:rPr>
          <w:t xml:space="preserve">Fakhretdinov i Inni p. Rosji </w:t>
        </w:r>
      </w:hyperlink>
      <w:r>
        <w:rPr>
          <w:lang w:val="pl"/>
        </w:rPr>
        <w:t>(dec.), §§ 36-44; odnośnie do odejścia od orzecznictwa krajowego, patrz</w:t>
      </w:r>
      <w:hyperlink r:id="rId858" w:history="1">
        <w:r>
          <w:rPr>
            <w:lang w:val="pl"/>
          </w:rPr>
          <w:t xml:space="preserve"> </w:t>
        </w:r>
        <w:r>
          <w:rPr>
            <w:i/>
            <w:iCs/>
            <w:color w:val="0072BC"/>
            <w:lang w:val="pl"/>
          </w:rPr>
          <w:t xml:space="preserve">Scordino p. Włochom (nr 1) </w:t>
        </w:r>
      </w:hyperlink>
      <w:r>
        <w:rPr>
          <w:lang w:val="pl"/>
        </w:rPr>
        <w:t>[WI], § 147.</w:t>
      </w:r>
    </w:p>
    <w:p w:rsidR="00B71A20" w:rsidRPr="000625F6" w:rsidRDefault="000425B4">
      <w:pPr>
        <w:pStyle w:val="Teksttreci0"/>
        <w:jc w:val="both"/>
        <w:rPr>
          <w:lang w:val="pl-PL"/>
        </w:rPr>
      </w:pPr>
      <w:r>
        <w:rPr>
          <w:lang w:val="pl"/>
        </w:rPr>
        <w:t>W sprawie</w:t>
      </w:r>
      <w:hyperlink r:id="rId859" w:history="1">
        <w:r>
          <w:rPr>
            <w:i/>
            <w:iCs/>
            <w:lang w:val="pl"/>
          </w:rPr>
          <w:t xml:space="preserve"> </w:t>
        </w:r>
        <w:r>
          <w:rPr>
            <w:i/>
            <w:iCs/>
            <w:color w:val="0072BC"/>
            <w:lang w:val="pl"/>
          </w:rPr>
          <w:t xml:space="preserve">Scordino p. Włochom (nr 1) </w:t>
        </w:r>
      </w:hyperlink>
      <w:r>
        <w:rPr>
          <w:lang w:val="pl"/>
        </w:rPr>
        <w:t>[WI] oraz</w:t>
      </w:r>
      <w:hyperlink r:id="rId860" w:history="1">
        <w:r>
          <w:rPr>
            <w:i/>
            <w:iCs/>
            <w:lang w:val="pl"/>
          </w:rPr>
          <w:t xml:space="preserve"> </w:t>
        </w:r>
        <w:r>
          <w:rPr>
            <w:i/>
            <w:iCs/>
            <w:color w:val="0072BC"/>
            <w:lang w:val="pl"/>
          </w:rPr>
          <w:t xml:space="preserve">Cocchiarella p. Włochom </w:t>
        </w:r>
      </w:hyperlink>
      <w:r>
        <w:rPr>
          <w:lang w:val="pl"/>
        </w:rPr>
        <w:t>[WI] Trybunał przedstawił wskazówki dotyczące niezbędnych cech krajowych środków odwoławczych zapewniających im skuteczność w przypadku spraw dotyczących długości postępowania (patrz również</w:t>
      </w:r>
      <w:hyperlink r:id="rId861" w:history="1">
        <w:r>
          <w:rPr>
            <w:i/>
            <w:iCs/>
            <w:lang w:val="pl"/>
          </w:rPr>
          <w:t xml:space="preserve"> </w:t>
        </w:r>
        <w:r>
          <w:rPr>
            <w:i/>
            <w:iCs/>
            <w:color w:val="0072BC"/>
            <w:lang w:val="pl"/>
          </w:rPr>
          <w:t>Vassilios Athanasiou i Inni p. Grecji</w:t>
        </w:r>
        <w:r>
          <w:rPr>
            <w:lang w:val="pl"/>
          </w:rPr>
          <w:t>,</w:t>
        </w:r>
      </w:hyperlink>
      <w:r>
        <w:rPr>
          <w:lang w:val="pl"/>
        </w:rPr>
        <w:t xml:space="preserve"> §§ 54-56). Co do zasady, środek odwoławczy bez prewencyjnego lub wyrównawczego charakteru w odniesieniu do długości postępowania nie musi być stosowany </w:t>
      </w:r>
      <w:hyperlink r:id="rId862" w:history="1">
        <w:r>
          <w:rPr>
            <w:lang w:val="pl"/>
          </w:rPr>
          <w:t>(</w:t>
        </w:r>
        <w:r>
          <w:rPr>
            <w:i/>
            <w:iCs/>
            <w:color w:val="0072BC"/>
            <w:lang w:val="pl"/>
          </w:rPr>
          <w:t>Puchstein p. Austrii</w:t>
        </w:r>
        <w:r>
          <w:rPr>
            <w:lang w:val="pl"/>
          </w:rPr>
          <w:t>,</w:t>
        </w:r>
      </w:hyperlink>
      <w:r>
        <w:rPr>
          <w:lang w:val="pl"/>
        </w:rPr>
        <w:t xml:space="preserve"> § 31). Środek odwoławczy w odniesieniu do długości postępowania musi w szczególności działać bez nadmiernych opóźnień i zapewniać odpowiedni poziom rekompensaty </w:t>
      </w:r>
      <w:hyperlink r:id="rId863" w:history="1">
        <w:r>
          <w:rPr>
            <w:lang w:val="pl"/>
          </w:rPr>
          <w:t>(</w:t>
        </w:r>
        <w:r>
          <w:rPr>
            <w:i/>
            <w:iCs/>
            <w:color w:val="0072BC"/>
            <w:lang w:val="pl"/>
          </w:rPr>
          <w:t>Scordino p. Włochom</w:t>
        </w:r>
      </w:hyperlink>
      <w:r>
        <w:rPr>
          <w:i/>
          <w:iCs/>
          <w:color w:val="0072BC"/>
          <w:lang w:val="pl"/>
        </w:rPr>
        <w:t xml:space="preserve"> </w:t>
      </w:r>
      <w:hyperlink r:id="rId864" w:history="1">
        <w:r>
          <w:rPr>
            <w:i/>
            <w:iCs/>
            <w:color w:val="0072BC"/>
            <w:lang w:val="pl"/>
          </w:rPr>
          <w:t xml:space="preserve">(nr 1) </w:t>
        </w:r>
      </w:hyperlink>
      <w:r>
        <w:rPr>
          <w:lang w:val="pl"/>
        </w:rPr>
        <w:t>[WI], §§ 195 i 204-207).</w:t>
      </w:r>
    </w:p>
    <w:p w:rsidR="00B71A20" w:rsidRPr="000625F6" w:rsidRDefault="000425B4" w:rsidP="00115011">
      <w:pPr>
        <w:pStyle w:val="Teksttreci0"/>
        <w:numPr>
          <w:ilvl w:val="0"/>
          <w:numId w:val="28"/>
        </w:numPr>
        <w:tabs>
          <w:tab w:val="left" w:pos="519"/>
        </w:tabs>
        <w:jc w:val="both"/>
        <w:rPr>
          <w:lang w:val="pl-PL"/>
        </w:rPr>
      </w:pPr>
      <w:r>
        <w:rPr>
          <w:lang w:val="pl"/>
        </w:rPr>
        <w:t>W przypadku gdy Trybunał stwierdził wady prawa krajowego lub praktyki krajowej o charakterze ogólnym lub systemowym, może zwrócić się do państwa o zbadanie syt</w:t>
      </w:r>
      <w:r w:rsidR="00DC2406">
        <w:rPr>
          <w:lang w:val="pl"/>
        </w:rPr>
        <w:t>uacji oraz, w razie potrzeby, o </w:t>
      </w:r>
      <w:r>
        <w:rPr>
          <w:lang w:val="pl"/>
        </w:rPr>
        <w:t xml:space="preserve">podjęcie skutecznych środków, aby zapobiec wnoszeniu tego rodzaju spraw do Trybunału </w:t>
      </w:r>
      <w:hyperlink r:id="rId865" w:history="1">
        <w:r>
          <w:rPr>
            <w:lang w:val="pl"/>
          </w:rPr>
          <w:t>(</w:t>
        </w:r>
        <w:r>
          <w:rPr>
            <w:i/>
            <w:iCs/>
            <w:color w:val="0072BC"/>
            <w:lang w:val="pl"/>
          </w:rPr>
          <w:t>Lukenda p. Słowenii</w:t>
        </w:r>
        <w:r>
          <w:rPr>
            <w:lang w:val="pl"/>
          </w:rPr>
          <w:t>,</w:t>
        </w:r>
      </w:hyperlink>
      <w:r>
        <w:rPr>
          <w:lang w:val="pl"/>
        </w:rPr>
        <w:t xml:space="preserve"> § 98). Może uznać, że państwo powinno albo znowelizować istniejący katalog środków odwoławczych, albo dodać nowe środki, tak aby zapewnić prawdziwie skuteczne dochodzenie roszczeń w przypadku naruszenia praw zawartych w Konwencji (patrz np. wyroki pilotażowe w sprawach</w:t>
      </w:r>
      <w:hyperlink r:id="rId866" w:history="1">
        <w:r>
          <w:rPr>
            <w:i/>
            <w:iCs/>
            <w:lang w:val="pl"/>
          </w:rPr>
          <w:t xml:space="preserve"> </w:t>
        </w:r>
        <w:r>
          <w:rPr>
            <w:i/>
            <w:iCs/>
            <w:color w:val="0072BC"/>
            <w:lang w:val="pl"/>
          </w:rPr>
          <w:t>Xenides-Arestis p. Turcji</w:t>
        </w:r>
        <w:r>
          <w:rPr>
            <w:lang w:val="pl"/>
          </w:rPr>
          <w:t>,</w:t>
        </w:r>
      </w:hyperlink>
      <w:r>
        <w:rPr>
          <w:lang w:val="pl"/>
        </w:rPr>
        <w:t xml:space="preserve"> § 40; i</w:t>
      </w:r>
      <w:hyperlink r:id="rId867" w:history="1">
        <w:r>
          <w:rPr>
            <w:i/>
            <w:iCs/>
            <w:lang w:val="pl"/>
          </w:rPr>
          <w:t xml:space="preserve"> </w:t>
        </w:r>
        <w:r>
          <w:rPr>
            <w:i/>
            <w:iCs/>
            <w:color w:val="0072BC"/>
            <w:lang w:val="pl"/>
          </w:rPr>
          <w:t>Burdov p. Rosji (nr 2)</w:t>
        </w:r>
        <w:r>
          <w:rPr>
            <w:lang w:val="pl"/>
          </w:rPr>
          <w:t>,</w:t>
        </w:r>
      </w:hyperlink>
      <w:r>
        <w:rPr>
          <w:lang w:val="pl"/>
        </w:rPr>
        <w:t xml:space="preserve"> §§ 42, 129 i nast. oraz 140). Należy zwrócić szczególną uwagę na konieczność zapewnienia skutecznych krajowych środków odwoławczych (patrz wyrok pilotażowy w sprawie</w:t>
      </w:r>
      <w:hyperlink r:id="rId868" w:history="1">
        <w:r>
          <w:rPr>
            <w:lang w:val="pl"/>
          </w:rPr>
          <w:t xml:space="preserve"> </w:t>
        </w:r>
        <w:r>
          <w:rPr>
            <w:i/>
            <w:iCs/>
            <w:color w:val="0072BC"/>
            <w:lang w:val="pl"/>
          </w:rPr>
          <w:t>Vassilios Athanasiou i Inni p. Grecji</w:t>
        </w:r>
        <w:r>
          <w:rPr>
            <w:lang w:val="pl"/>
          </w:rPr>
          <w:t>,</w:t>
        </w:r>
      </w:hyperlink>
      <w:r>
        <w:rPr>
          <w:lang w:val="pl"/>
        </w:rPr>
        <w:t xml:space="preserve"> § 41).</w:t>
      </w:r>
    </w:p>
    <w:p w:rsidR="00B71A20" w:rsidRPr="000625F6" w:rsidRDefault="000425B4">
      <w:pPr>
        <w:pStyle w:val="Teksttreci0"/>
        <w:jc w:val="both"/>
        <w:rPr>
          <w:lang w:val="pl-PL"/>
        </w:rPr>
      </w:pPr>
      <w:r>
        <w:rPr>
          <w:lang w:val="pl"/>
        </w:rPr>
        <w:t>W przypadku gdy pozwane państwo wprowadziło nowy środek odwoławczy, Trybunał bada jego skuteczność (patrz np.</w:t>
      </w:r>
      <w:hyperlink r:id="rId869" w:history="1">
        <w:r>
          <w:rPr>
            <w:i/>
            <w:iCs/>
            <w:lang w:val="pl"/>
          </w:rPr>
          <w:t xml:space="preserve"> </w:t>
        </w:r>
        <w:r>
          <w:rPr>
            <w:i/>
            <w:iCs/>
            <w:color w:val="0072BC"/>
            <w:lang w:val="pl"/>
          </w:rPr>
          <w:t>Robert Lesjak p. Słowenii</w:t>
        </w:r>
        <w:r>
          <w:rPr>
            <w:lang w:val="pl"/>
          </w:rPr>
          <w:t>,</w:t>
        </w:r>
      </w:hyperlink>
      <w:r>
        <w:rPr>
          <w:lang w:val="pl"/>
        </w:rPr>
        <w:t xml:space="preserve"> §§ 34-55;</w:t>
      </w:r>
      <w:hyperlink r:id="rId870" w:history="1">
        <w:r>
          <w:rPr>
            <w:lang w:val="pl"/>
          </w:rPr>
          <w:t xml:space="preserve"> </w:t>
        </w:r>
        <w:r>
          <w:rPr>
            <w:i/>
            <w:iCs/>
            <w:color w:val="0072BC"/>
            <w:lang w:val="pl"/>
          </w:rPr>
          <w:t>Demopoulos i Inni</w:t>
        </w:r>
      </w:hyperlink>
      <w:r>
        <w:rPr>
          <w:i/>
          <w:iCs/>
          <w:color w:val="0072BC"/>
          <w:lang w:val="pl"/>
        </w:rPr>
        <w:t xml:space="preserve"> </w:t>
      </w:r>
      <w:hyperlink r:id="rId871" w:history="1">
        <w:r>
          <w:rPr>
            <w:i/>
            <w:iCs/>
            <w:color w:val="0072BC"/>
            <w:lang w:val="pl"/>
          </w:rPr>
          <w:t xml:space="preserve">p. Turcji </w:t>
        </w:r>
      </w:hyperlink>
      <w:r>
        <w:rPr>
          <w:lang w:val="pl"/>
        </w:rPr>
        <w:t>(dec.) [WI], § 87;</w:t>
      </w:r>
      <w:hyperlink r:id="rId872" w:history="1">
        <w:r>
          <w:rPr>
            <w:lang w:val="pl"/>
          </w:rPr>
          <w:t xml:space="preserve"> </w:t>
        </w:r>
        <w:r>
          <w:rPr>
            <w:i/>
            <w:iCs/>
            <w:color w:val="0072BC"/>
            <w:lang w:val="pl"/>
          </w:rPr>
          <w:t>Xynos p. Grecji</w:t>
        </w:r>
        <w:r>
          <w:rPr>
            <w:lang w:val="pl"/>
          </w:rPr>
          <w:t>,</w:t>
        </w:r>
      </w:hyperlink>
      <w:r>
        <w:rPr>
          <w:lang w:val="pl"/>
        </w:rPr>
        <w:t xml:space="preserve"> §§ 37 i 40</w:t>
      </w:r>
      <w:r>
        <w:rPr>
          <w:lang w:val="pl"/>
        </w:rPr>
        <w:noBreakHyphen/>
        <w:t>51;</w:t>
      </w:r>
      <w:hyperlink r:id="rId873" w:history="1">
        <w:r>
          <w:rPr>
            <w:lang w:val="pl"/>
          </w:rPr>
          <w:t xml:space="preserve"> </w:t>
        </w:r>
        <w:r>
          <w:rPr>
            <w:i/>
            <w:iCs/>
            <w:color w:val="0072BC"/>
            <w:lang w:val="pl"/>
          </w:rPr>
          <w:t>Preda i Inni p. Rumunii</w:t>
        </w:r>
        <w:r>
          <w:rPr>
            <w:lang w:val="pl"/>
          </w:rPr>
          <w:t>,</w:t>
        </w:r>
      </w:hyperlink>
      <w:r>
        <w:rPr>
          <w:lang w:val="pl"/>
        </w:rPr>
        <w:t xml:space="preserve"> §§ 118</w:t>
      </w:r>
      <w:r>
        <w:rPr>
          <w:lang w:val="pl"/>
        </w:rPr>
        <w:noBreakHyphen/>
        <w:t xml:space="preserve">133). Badanie to polega na analizie okoliczności danej sprawy; stwierdzenie skuteczności albo nieskuteczności nowych ram legislacyjnych przez Trybunał musi być oparte na ich zastosowaniu w praktyce </w:t>
      </w:r>
      <w:hyperlink r:id="rId874" w:history="1">
        <w:r>
          <w:rPr>
            <w:lang w:val="pl"/>
          </w:rPr>
          <w:t>(</w:t>
        </w:r>
        <w:r>
          <w:rPr>
            <w:i/>
            <w:iCs/>
            <w:color w:val="0072BC"/>
            <w:lang w:val="pl"/>
          </w:rPr>
          <w:t>Nogolica</w:t>
        </w:r>
      </w:hyperlink>
      <w:r>
        <w:rPr>
          <w:i/>
          <w:iCs/>
          <w:color w:val="0072BC"/>
          <w:lang w:val="pl"/>
        </w:rPr>
        <w:t xml:space="preserve"> </w:t>
      </w:r>
      <w:hyperlink r:id="rId875" w:history="1">
        <w:r>
          <w:rPr>
            <w:i/>
            <w:iCs/>
            <w:color w:val="0072BC"/>
            <w:lang w:val="pl"/>
          </w:rPr>
          <w:t xml:space="preserve">p. Chorwacji </w:t>
        </w:r>
      </w:hyperlink>
      <w:r>
        <w:rPr>
          <w:lang w:val="pl"/>
        </w:rPr>
        <w:t>(dec.);</w:t>
      </w:r>
      <w:hyperlink r:id="rId876" w:history="1">
        <w:r>
          <w:rPr>
            <w:i/>
            <w:iCs/>
            <w:lang w:val="pl"/>
          </w:rPr>
          <w:t xml:space="preserve"> </w:t>
        </w:r>
        <w:r>
          <w:rPr>
            <w:i/>
            <w:iCs/>
            <w:color w:val="0072BC"/>
            <w:lang w:val="pl"/>
          </w:rPr>
          <w:t>Rutkowski i Inni p. Polsce</w:t>
        </w:r>
        <w:r>
          <w:rPr>
            <w:lang w:val="pl"/>
          </w:rPr>
          <w:t>,</w:t>
        </w:r>
      </w:hyperlink>
      <w:r>
        <w:rPr>
          <w:lang w:val="pl"/>
        </w:rPr>
        <w:t xml:space="preserve"> §§ 176</w:t>
      </w:r>
      <w:r>
        <w:rPr>
          <w:lang w:val="pl"/>
        </w:rPr>
        <w:noBreakHyphen/>
        <w:t xml:space="preserve">186). Jednakże ani fakt, że nie powstała jeszcze praktyka sądowa lub administracyjna w zakresie stosowania tych ram, ani ryzyko, że postępowanie może potrwać dłuższy czas, nie mogą same w sobie sprawić, że nowy środek odwoławczy będzie nieskuteczny </w:t>
      </w:r>
      <w:hyperlink r:id="rId877" w:history="1">
        <w:r>
          <w:rPr>
            <w:lang w:val="pl"/>
          </w:rPr>
          <w:t>(</w:t>
        </w:r>
        <w:r w:rsidR="00DC2406">
          <w:rPr>
            <w:i/>
            <w:iCs/>
            <w:color w:val="0072BC"/>
            <w:lang w:val="pl"/>
          </w:rPr>
          <w:t>Nagovitsyn i </w:t>
        </w:r>
        <w:r>
          <w:rPr>
            <w:i/>
            <w:iCs/>
            <w:color w:val="0072BC"/>
            <w:lang w:val="pl"/>
          </w:rPr>
          <w:t xml:space="preserve">Nalgiyev p. Rosji </w:t>
        </w:r>
      </w:hyperlink>
      <w:r>
        <w:rPr>
          <w:lang w:val="pl"/>
        </w:rPr>
        <w:t>(dec.), § 30).</w:t>
      </w:r>
    </w:p>
    <w:p w:rsidR="00B71A20" w:rsidRPr="000625F6" w:rsidRDefault="000425B4" w:rsidP="00115011">
      <w:pPr>
        <w:pStyle w:val="Teksttreci0"/>
        <w:numPr>
          <w:ilvl w:val="0"/>
          <w:numId w:val="28"/>
        </w:numPr>
        <w:tabs>
          <w:tab w:val="left" w:pos="505"/>
        </w:tabs>
        <w:jc w:val="both"/>
        <w:rPr>
          <w:lang w:val="pl-PL"/>
        </w:rPr>
      </w:pPr>
      <w:r>
        <w:rPr>
          <w:lang w:val="pl"/>
        </w:rPr>
        <w:t xml:space="preserve">Jeżeli Trybunał uzna nowy środek odwoławczy za skuteczny, inni skarżący w podobnych sprawach są zobowiązani do wyczerpania takiego nowego środka, o ile termin na skorzystanie z niego nie upłynął. Trybunał stwierdza niedopuszczalność takich skarg na podstawie art. 35 ust. 1, nawet w przypadku złożenia ich przed momentem ustanowienia nowego środka odwoławczego </w:t>
      </w:r>
      <w:hyperlink r:id="rId878" w:history="1">
        <w:r>
          <w:rPr>
            <w:lang w:val="pl"/>
          </w:rPr>
          <w:t>(</w:t>
        </w:r>
        <w:r>
          <w:rPr>
            <w:i/>
            <w:iCs/>
            <w:color w:val="0072BC"/>
            <w:lang w:val="pl"/>
          </w:rPr>
          <w:t>Grzinčič p. Słowenii</w:t>
        </w:r>
        <w:r>
          <w:rPr>
            <w:lang w:val="pl"/>
          </w:rPr>
          <w:t>,</w:t>
        </w:r>
      </w:hyperlink>
      <w:r>
        <w:rPr>
          <w:lang w:val="pl"/>
        </w:rPr>
        <w:t xml:space="preserve"> §§ 102</w:t>
      </w:r>
      <w:r>
        <w:rPr>
          <w:lang w:val="pl"/>
        </w:rPr>
        <w:noBreakHyphen/>
        <w:t>110;</w:t>
      </w:r>
      <w:hyperlink r:id="rId879" w:history="1">
        <w:r>
          <w:rPr>
            <w:i/>
            <w:iCs/>
            <w:lang w:val="pl"/>
          </w:rPr>
          <w:t xml:space="preserve"> </w:t>
        </w:r>
        <w:r>
          <w:rPr>
            <w:i/>
            <w:iCs/>
            <w:color w:val="0072BC"/>
            <w:lang w:val="pl"/>
          </w:rPr>
          <w:t>İçyer p. Turcji</w:t>
        </w:r>
      </w:hyperlink>
      <w:r>
        <w:rPr>
          <w:color w:val="0072BC"/>
          <w:lang w:val="pl"/>
        </w:rPr>
        <w:t xml:space="preserve"> </w:t>
      </w:r>
      <w:r>
        <w:rPr>
          <w:lang w:val="pl"/>
        </w:rPr>
        <w:t>(dec.), §§ 74 i nast.;</w:t>
      </w:r>
      <w:hyperlink r:id="rId880" w:history="1">
        <w:r>
          <w:rPr>
            <w:lang w:val="pl"/>
          </w:rPr>
          <w:t xml:space="preserve"> </w:t>
        </w:r>
        <w:r>
          <w:rPr>
            <w:i/>
            <w:iCs/>
            <w:color w:val="0072BC"/>
            <w:lang w:val="pl"/>
          </w:rPr>
          <w:t xml:space="preserve">Stella i Inni p. Włochom </w:t>
        </w:r>
      </w:hyperlink>
      <w:r>
        <w:rPr>
          <w:lang w:val="pl"/>
        </w:rPr>
        <w:t>(dec.), §§ 65</w:t>
      </w:r>
      <w:r>
        <w:rPr>
          <w:lang w:val="pl"/>
        </w:rPr>
        <w:noBreakHyphen/>
        <w:t>68;</w:t>
      </w:r>
      <w:hyperlink r:id="rId881" w:history="1">
        <w:r>
          <w:rPr>
            <w:lang w:val="pl"/>
          </w:rPr>
          <w:t xml:space="preserve"> </w:t>
        </w:r>
        <w:r>
          <w:rPr>
            <w:i/>
            <w:iCs/>
            <w:color w:val="0072BC"/>
            <w:lang w:val="pl"/>
          </w:rPr>
          <w:t>Preda i Inni p. Rumunii</w:t>
        </w:r>
        <w:r>
          <w:rPr>
            <w:lang w:val="pl"/>
          </w:rPr>
          <w:t>,</w:t>
        </w:r>
      </w:hyperlink>
      <w:r>
        <w:rPr>
          <w:lang w:val="pl"/>
        </w:rPr>
        <w:t xml:space="preserve"> §§ 134</w:t>
      </w:r>
      <w:r>
        <w:rPr>
          <w:lang w:val="pl"/>
        </w:rPr>
        <w:noBreakHyphen/>
        <w:t>142;</w:t>
      </w:r>
      <w:hyperlink r:id="rId882" w:history="1">
        <w:r>
          <w:rPr>
            <w:lang w:val="pl"/>
          </w:rPr>
          <w:t xml:space="preserve"> </w:t>
        </w:r>
        <w:r>
          <w:rPr>
            <w:i/>
            <w:iCs/>
            <w:color w:val="0072BC"/>
            <w:lang w:val="pl"/>
          </w:rPr>
          <w:t xml:space="preserve">Muratovic p. Serbii </w:t>
        </w:r>
      </w:hyperlink>
      <w:r>
        <w:rPr>
          <w:lang w:val="pl"/>
        </w:rPr>
        <w:t>(dec.), §§ 17</w:t>
      </w:r>
      <w:r>
        <w:rPr>
          <w:lang w:val="pl"/>
        </w:rPr>
        <w:noBreakHyphen/>
        <w:t>20;</w:t>
      </w:r>
      <w:hyperlink r:id="rId883" w:history="1">
        <w:r>
          <w:rPr>
            <w:lang w:val="pl"/>
          </w:rPr>
          <w:t xml:space="preserve"> </w:t>
        </w:r>
        <w:r>
          <w:rPr>
            <w:i/>
            <w:iCs/>
            <w:color w:val="0072BC"/>
            <w:lang w:val="pl"/>
          </w:rPr>
          <w:t xml:space="preserve">Beshiri i Inni p. Albanii </w:t>
        </w:r>
      </w:hyperlink>
      <w:r>
        <w:rPr>
          <w:lang w:val="pl"/>
        </w:rPr>
        <w:t>(dec.), §§ 177 i 216-218).</w:t>
      </w:r>
    </w:p>
    <w:p w:rsidR="00B71A20" w:rsidRPr="000625F6" w:rsidRDefault="000425B4">
      <w:pPr>
        <w:pStyle w:val="Teksttreci0"/>
        <w:jc w:val="both"/>
        <w:rPr>
          <w:lang w:val="pl-PL"/>
        </w:rPr>
      </w:pPr>
      <w:r>
        <w:rPr>
          <w:lang w:val="pl"/>
        </w:rPr>
        <w:t>Dotyczy to krajowych środków odwoławczych, które stały się dostępne po złożeniu skargi. Przy ocenie, czy zaistniały wyjątkowe okoliczności nakazujące skarżącym skorzystanie z takiego środka odwoławczego, weźmie się pod uwagę w szczególności charakt</w:t>
      </w:r>
      <w:r w:rsidR="00DC2406">
        <w:rPr>
          <w:lang w:val="pl"/>
        </w:rPr>
        <w:t>er nowych regulacji krajowych i </w:t>
      </w:r>
      <w:r>
        <w:rPr>
          <w:lang w:val="pl"/>
        </w:rPr>
        <w:t xml:space="preserve">kontekst, w jakim zostały one wprowadzone </w:t>
      </w:r>
      <w:hyperlink r:id="rId884" w:history="1">
        <w:r>
          <w:rPr>
            <w:lang w:val="pl"/>
          </w:rPr>
          <w:t>(</w:t>
        </w:r>
        <w:r>
          <w:rPr>
            <w:i/>
            <w:iCs/>
            <w:color w:val="0072BC"/>
            <w:lang w:val="pl"/>
          </w:rPr>
          <w:t xml:space="preserve">Fakhretdinov i Inni p. Rosji </w:t>
        </w:r>
      </w:hyperlink>
      <w:r>
        <w:rPr>
          <w:lang w:val="pl"/>
        </w:rPr>
        <w:t xml:space="preserve">(dec.), § 30). W tej sprawie Trybunał orzekł, że skuteczny krajowy środek odwoławczy, wprowadzony po wydaniu wyroku pilotażowego, w którym nakazał on wprowadzenie takiego środka, należało wyczerpać zanim skarżący </w:t>
      </w:r>
      <w:r>
        <w:rPr>
          <w:lang w:val="pl"/>
        </w:rPr>
        <w:lastRenderedPageBreak/>
        <w:t>mogli złożyć skargę do Trybunału.</w:t>
      </w:r>
    </w:p>
    <w:p w:rsidR="00B71A20" w:rsidRPr="000625F6" w:rsidRDefault="000425B4">
      <w:pPr>
        <w:pStyle w:val="Teksttreci0"/>
        <w:jc w:val="both"/>
        <w:rPr>
          <w:lang w:val="pl-PL"/>
        </w:rPr>
      </w:pPr>
      <w:r>
        <w:rPr>
          <w:lang w:val="pl"/>
        </w:rPr>
        <w:t>Trybunał uwzględnił też fakt, że państwo mierzyło się z wyjątkowo trudną i złożoną sytuacją, wiążącą się z dokonaniem wyboru tych zobowiązań finansowych i moralnych, które mogł</w:t>
      </w:r>
      <w:r w:rsidR="00F22418">
        <w:rPr>
          <w:lang w:val="pl"/>
        </w:rPr>
        <w:t>y zostać spełnione, w </w:t>
      </w:r>
      <w:r>
        <w:rPr>
          <w:lang w:val="pl"/>
        </w:rPr>
        <w:t xml:space="preserve">związku z czym odniósł się do szerokiego marginesu oceny dostępnego dla władz w sytuacjach obejmujących dalekosiężne i kontrowersyjne rozwiązania prawne o znacznych skutkach gospodarczych dla całego kraju </w:t>
      </w:r>
      <w:hyperlink r:id="rId885" w:history="1">
        <w:r>
          <w:rPr>
            <w:lang w:val="pl"/>
          </w:rPr>
          <w:t>(</w:t>
        </w:r>
        <w:r>
          <w:rPr>
            <w:i/>
            <w:iCs/>
            <w:color w:val="0072BC"/>
            <w:lang w:val="pl"/>
          </w:rPr>
          <w:t xml:space="preserve">Beshiri i Inni p. Albanii </w:t>
        </w:r>
      </w:hyperlink>
      <w:r>
        <w:rPr>
          <w:lang w:val="pl"/>
        </w:rPr>
        <w:t>(dec.), § 194, sprawa dotycząca nowego środka odwoławczego w kwestii przewlekłego niewykonywania ostatecznych decyzji przyznających odszkodowanie za wywłaszczenia w czasach reżimu komunistycznego, który to środek został wprowadzony w odpowiedzi na wyrok pilotażowy).</w:t>
      </w:r>
    </w:p>
    <w:p w:rsidR="00B71A20" w:rsidRPr="000625F6" w:rsidRDefault="000425B4">
      <w:pPr>
        <w:pStyle w:val="Teksttreci0"/>
        <w:jc w:val="both"/>
        <w:rPr>
          <w:lang w:val="pl-PL"/>
        </w:rPr>
      </w:pPr>
      <w:r>
        <w:rPr>
          <w:lang w:val="pl"/>
        </w:rPr>
        <w:t xml:space="preserve">Trybunał zwrócił uwagę, że jest gotów zmienić podejście w kwestii potencjalnej skuteczności środka odwoławczego wprowadzonego po wydaniu wyroku pilotażowego, jeśli praktyka władz krajowych pokaże na dłuższą metę, że nowe przepisy nie są stosowane w sposób zgodny z wyrokiem pilotażowym i ogólnie ze standardami konwencyjnymi </w:t>
      </w:r>
      <w:hyperlink r:id="rId886" w:history="1">
        <w:r>
          <w:rPr>
            <w:lang w:val="pl"/>
          </w:rPr>
          <w:t>(</w:t>
        </w:r>
        <w:r>
          <w:rPr>
            <w:i/>
            <w:iCs/>
            <w:color w:val="0072BC"/>
            <w:lang w:val="pl"/>
          </w:rPr>
          <w:t xml:space="preserve">Muratovic p. Serbii </w:t>
        </w:r>
      </w:hyperlink>
      <w:r>
        <w:rPr>
          <w:lang w:val="pl"/>
        </w:rPr>
        <w:t>(dec.), §§ 17</w:t>
      </w:r>
      <w:r>
        <w:rPr>
          <w:lang w:val="pl"/>
        </w:rPr>
        <w:noBreakHyphen/>
        <w:t>20;</w:t>
      </w:r>
      <w:hyperlink r:id="rId887" w:history="1">
        <w:r>
          <w:rPr>
            <w:i/>
            <w:iCs/>
            <w:lang w:val="pl"/>
          </w:rPr>
          <w:t xml:space="preserve"> </w:t>
        </w:r>
        <w:r>
          <w:rPr>
            <w:i/>
            <w:iCs/>
            <w:color w:val="0072BC"/>
            <w:lang w:val="pl"/>
          </w:rPr>
          <w:t>Beshiri i</w:t>
        </w:r>
      </w:hyperlink>
      <w:r>
        <w:rPr>
          <w:i/>
          <w:iCs/>
          <w:color w:val="0072BC"/>
          <w:lang w:val="pl"/>
        </w:rPr>
        <w:t xml:space="preserve"> </w:t>
      </w:r>
      <w:hyperlink r:id="rId888" w:history="1">
        <w:r>
          <w:rPr>
            <w:i/>
            <w:iCs/>
            <w:color w:val="0072BC"/>
            <w:lang w:val="pl"/>
          </w:rPr>
          <w:t xml:space="preserve">Inni p. Albanii </w:t>
        </w:r>
      </w:hyperlink>
      <w:r>
        <w:rPr>
          <w:lang w:val="pl"/>
        </w:rPr>
        <w:t>(dec.), § 222).</w:t>
      </w:r>
    </w:p>
    <w:p w:rsidR="00B71A20" w:rsidRPr="000625F6" w:rsidRDefault="000425B4">
      <w:pPr>
        <w:pStyle w:val="Teksttreci0"/>
        <w:spacing w:after="240"/>
        <w:jc w:val="both"/>
        <w:rPr>
          <w:lang w:val="pl-PL"/>
        </w:rPr>
      </w:pPr>
      <w:bookmarkStart w:id="110" w:name="bookmark109"/>
      <w:r>
        <w:rPr>
          <w:lang w:val="pl"/>
        </w:rPr>
        <w:t xml:space="preserve">Trybunał określił również warunki zastosowania art. 35 ust. 1 zgodnie z datą złożenia skargi </w:t>
      </w:r>
      <w:hyperlink r:id="rId889" w:history="1">
        <w:r>
          <w:rPr>
            <w:lang w:val="pl"/>
          </w:rPr>
          <w:t>(</w:t>
        </w:r>
        <w:r>
          <w:rPr>
            <w:i/>
            <w:iCs/>
            <w:color w:val="0072BC"/>
            <w:lang w:val="pl"/>
          </w:rPr>
          <w:t xml:space="preserve">Fakhretdinov i Inni p. Rosji </w:t>
        </w:r>
      </w:hyperlink>
      <w:r>
        <w:rPr>
          <w:lang w:val="pl"/>
        </w:rPr>
        <w:t>(dec.), §§ 31</w:t>
      </w:r>
      <w:r>
        <w:rPr>
          <w:lang w:val="pl"/>
        </w:rPr>
        <w:noBreakHyphen/>
        <w:t>33;</w:t>
      </w:r>
      <w:hyperlink r:id="rId890" w:history="1">
        <w:r>
          <w:rPr>
            <w:i/>
            <w:iCs/>
            <w:lang w:val="pl"/>
          </w:rPr>
          <w:t xml:space="preserve"> </w:t>
        </w:r>
        <w:r>
          <w:rPr>
            <w:i/>
            <w:iCs/>
            <w:color w:val="0072BC"/>
            <w:lang w:val="pl"/>
          </w:rPr>
          <w:t>Nagovitsyn i Nalgiyev</w:t>
        </w:r>
      </w:hyperlink>
      <w:r>
        <w:rPr>
          <w:i/>
          <w:iCs/>
          <w:color w:val="0072BC"/>
          <w:lang w:val="pl"/>
        </w:rPr>
        <w:t xml:space="preserve"> </w:t>
      </w:r>
      <w:hyperlink r:id="rId891" w:history="1">
        <w:r>
          <w:rPr>
            <w:i/>
            <w:iCs/>
            <w:color w:val="0072BC"/>
            <w:lang w:val="pl"/>
          </w:rPr>
          <w:t xml:space="preserve">p. Rosji </w:t>
        </w:r>
      </w:hyperlink>
      <w:r>
        <w:rPr>
          <w:lang w:val="pl"/>
        </w:rPr>
        <w:t>(dec.), §§ 29 i nast. oraz 40-41).</w:t>
      </w:r>
      <w:bookmarkEnd w:id="110"/>
    </w:p>
    <w:p w:rsidR="00B71A20" w:rsidRPr="000625F6" w:rsidRDefault="000425B4">
      <w:pPr>
        <w:pStyle w:val="Nagwek21"/>
        <w:keepNext/>
        <w:keepLines/>
        <w:spacing w:after="202"/>
        <w:jc w:val="both"/>
        <w:rPr>
          <w:lang w:val="pl-PL"/>
        </w:rPr>
      </w:pPr>
      <w:bookmarkStart w:id="111" w:name="_Toc126335635"/>
      <w:bookmarkStart w:id="112" w:name="_Toc126660589"/>
      <w:r>
        <w:rPr>
          <w:lang w:val="pl"/>
        </w:rPr>
        <w:t xml:space="preserve">B. </w:t>
      </w:r>
      <w:r w:rsidR="001E2850">
        <w:rPr>
          <w:lang w:val="pl"/>
        </w:rPr>
        <w:t xml:space="preserve"> </w:t>
      </w:r>
      <w:r>
        <w:rPr>
          <w:lang w:val="pl"/>
        </w:rPr>
        <w:t>Niezachowanie czteromiesięcznego terminu</w:t>
      </w:r>
      <w:bookmarkEnd w:id="111"/>
      <w:bookmarkEnd w:id="112"/>
    </w:p>
    <w:tbl>
      <w:tblPr>
        <w:tblStyle w:val="Tabela-Siatka"/>
        <w:tblW w:w="0" w:type="auto"/>
        <w:shd w:val="clear" w:color="auto" w:fill="FAFAFA"/>
        <w:tblLook w:val="04A0" w:firstRow="1" w:lastRow="0" w:firstColumn="1" w:lastColumn="0" w:noHBand="0" w:noVBand="1"/>
      </w:tblPr>
      <w:tblGrid>
        <w:gridCol w:w="9096"/>
      </w:tblGrid>
      <w:tr w:rsidR="001E2850" w:rsidRPr="00C31F37" w:rsidTr="0024595F">
        <w:trPr>
          <w:trHeight w:val="1107"/>
        </w:trPr>
        <w:tc>
          <w:tcPr>
            <w:tcW w:w="9096" w:type="dxa"/>
            <w:tcBorders>
              <w:bottom w:val="single" w:sz="4" w:space="0" w:color="auto"/>
            </w:tcBorders>
            <w:shd w:val="clear" w:color="auto" w:fill="FAFAFA"/>
          </w:tcPr>
          <w:p w:rsidR="001E2850" w:rsidRPr="001E2850" w:rsidRDefault="001E2850" w:rsidP="001E2850">
            <w:pPr>
              <w:pStyle w:val="Teksttreci0"/>
              <w:spacing w:before="120" w:after="120"/>
              <w:jc w:val="both"/>
              <w:rPr>
                <w:b/>
                <w:bCs/>
                <w:color w:val="00548C"/>
                <w:lang w:val="pl"/>
              </w:rPr>
            </w:pPr>
            <w:r w:rsidRPr="001E2850">
              <w:rPr>
                <w:b/>
                <w:bCs/>
                <w:color w:val="00548C"/>
                <w:lang w:val="pl"/>
              </w:rPr>
              <w:t>Artykuł 35 ust. 1 Konwencji – Wymogi dopuszczalności</w:t>
            </w:r>
          </w:p>
          <w:p w:rsidR="001E2850" w:rsidRPr="001E2850" w:rsidRDefault="001E2850" w:rsidP="001E2850">
            <w:pPr>
              <w:pStyle w:val="Teksttreci0"/>
              <w:spacing w:after="240"/>
              <w:ind w:left="596"/>
              <w:jc w:val="both"/>
              <w:rPr>
                <w:lang w:val="pl-PL"/>
              </w:rPr>
            </w:pPr>
            <w:r w:rsidRPr="001E2850">
              <w:rPr>
                <w:color w:val="262626"/>
                <w:sz w:val="20"/>
                <w:szCs w:val="20"/>
                <w:lang w:val="pl"/>
              </w:rPr>
              <w:t>„1. Trybunał może rozpatrywać sprawę dopiero (...) jeśli sprawa została wniesiona w ciągu czterech miesięcy od daty podjęcia ostatecznej decyzji”.</w:t>
            </w:r>
          </w:p>
        </w:tc>
      </w:tr>
      <w:tr w:rsidR="001E2850" w:rsidRPr="00C31F37" w:rsidTr="0024595F">
        <w:trPr>
          <w:trHeight w:val="957"/>
        </w:trPr>
        <w:tc>
          <w:tcPr>
            <w:tcW w:w="9096" w:type="dxa"/>
            <w:tcBorders>
              <w:bottom w:val="single" w:sz="4" w:space="0" w:color="auto"/>
            </w:tcBorders>
            <w:shd w:val="clear" w:color="auto" w:fill="FAFAFA"/>
          </w:tcPr>
          <w:p w:rsidR="001E2850" w:rsidRPr="001E2850" w:rsidRDefault="001E2850" w:rsidP="001E2850">
            <w:pPr>
              <w:pStyle w:val="Teksttreci0"/>
              <w:spacing w:before="120" w:after="120"/>
              <w:jc w:val="both"/>
              <w:rPr>
                <w:b/>
                <w:bCs/>
                <w:color w:val="00548C"/>
                <w:lang w:val="pl"/>
              </w:rPr>
            </w:pPr>
            <w:r w:rsidRPr="001E2850">
              <w:rPr>
                <w:b/>
                <w:bCs/>
                <w:color w:val="00548C"/>
                <w:lang w:val="pl"/>
              </w:rPr>
              <w:t>Słowa klucze w bazie HUDOC</w:t>
            </w:r>
          </w:p>
          <w:p w:rsidR="001E2850" w:rsidRPr="001E2850" w:rsidRDefault="001E2850" w:rsidP="001E2850">
            <w:pPr>
              <w:pStyle w:val="Teksttreci0"/>
              <w:spacing w:after="240"/>
              <w:ind w:left="596"/>
              <w:jc w:val="both"/>
              <w:rPr>
                <w:lang w:val="pl-PL"/>
              </w:rPr>
            </w:pPr>
            <w:r w:rsidRPr="001E2850">
              <w:rPr>
                <w:color w:val="262626"/>
                <w:sz w:val="20"/>
                <w:szCs w:val="20"/>
                <w:lang w:val="pl"/>
              </w:rPr>
              <w:t>Termin czterech miesięcy (35-1) – ostateczna decyzja krajowa (35-1) – sytuacja utrzymująca się (35-1)</w:t>
            </w:r>
          </w:p>
        </w:tc>
      </w:tr>
    </w:tbl>
    <w:p w:rsidR="001E2850" w:rsidRDefault="001E2850" w:rsidP="001E2850">
      <w:pPr>
        <w:pStyle w:val="Nagwek31"/>
        <w:keepNext/>
        <w:keepLines/>
        <w:tabs>
          <w:tab w:val="left" w:pos="341"/>
        </w:tabs>
        <w:spacing w:after="100"/>
        <w:jc w:val="both"/>
        <w:rPr>
          <w:lang w:val="pl"/>
        </w:rPr>
      </w:pPr>
      <w:bookmarkStart w:id="113" w:name="bookmark112"/>
      <w:bookmarkStart w:id="114" w:name="_Toc126335636"/>
    </w:p>
    <w:p w:rsidR="00B71A20" w:rsidRDefault="001E2850" w:rsidP="001E2850">
      <w:pPr>
        <w:pStyle w:val="Nagwek31"/>
        <w:keepNext/>
        <w:keepLines/>
        <w:tabs>
          <w:tab w:val="left" w:pos="341"/>
        </w:tabs>
        <w:spacing w:after="100"/>
        <w:jc w:val="both"/>
      </w:pPr>
      <w:bookmarkStart w:id="115" w:name="_Toc126660590"/>
      <w:r>
        <w:rPr>
          <w:lang w:val="pl"/>
        </w:rPr>
        <w:t xml:space="preserve">1.  </w:t>
      </w:r>
      <w:r w:rsidR="000425B4">
        <w:rPr>
          <w:lang w:val="pl"/>
        </w:rPr>
        <w:t>Cel zasady</w:t>
      </w:r>
      <w:bookmarkEnd w:id="113"/>
      <w:bookmarkEnd w:id="114"/>
      <w:bookmarkEnd w:id="115"/>
    </w:p>
    <w:p w:rsidR="00B71A20" w:rsidRPr="000625F6" w:rsidRDefault="000425B4" w:rsidP="00AF4CAF">
      <w:pPr>
        <w:pStyle w:val="Teksttreci0"/>
        <w:numPr>
          <w:ilvl w:val="0"/>
          <w:numId w:val="33"/>
        </w:numPr>
        <w:tabs>
          <w:tab w:val="left" w:pos="505"/>
        </w:tabs>
        <w:jc w:val="both"/>
        <w:rPr>
          <w:lang w:val="pl-PL"/>
        </w:rPr>
      </w:pPr>
      <w:r>
        <w:rPr>
          <w:lang w:val="pl"/>
        </w:rPr>
        <w:t xml:space="preserve">Podstawowym celem zasady czteromiesięcznego terminu jest zapewnienie pewności prawa poprzez zagwarantowanie, że sprawy rodzące problemy na tle Konwencji są badane w rozsądnym terminie, oraz niedopuszczenie do sytuacji, w której organy i inne zainteresowane osoby pozostają przez dłuższy czas w niepewności </w:t>
      </w:r>
      <w:hyperlink r:id="rId892" w:history="1">
        <w:r>
          <w:rPr>
            <w:lang w:val="pl"/>
          </w:rPr>
          <w:t>(</w:t>
        </w:r>
        <w:r>
          <w:rPr>
            <w:i/>
            <w:iCs/>
            <w:color w:val="0072BC"/>
            <w:lang w:val="pl"/>
          </w:rPr>
          <w:t xml:space="preserve">Mocanu i Inni p. Rumunii </w:t>
        </w:r>
      </w:hyperlink>
      <w:r>
        <w:rPr>
          <w:lang w:val="pl"/>
        </w:rPr>
        <w:t>[WI], § 258;</w:t>
      </w:r>
      <w:hyperlink r:id="rId893" w:history="1">
        <w:r>
          <w:rPr>
            <w:lang w:val="pl"/>
          </w:rPr>
          <w:t xml:space="preserve"> </w:t>
        </w:r>
        <w:r>
          <w:rPr>
            <w:i/>
            <w:iCs/>
            <w:color w:val="0072BC"/>
            <w:lang w:val="pl"/>
          </w:rPr>
          <w:t xml:space="preserve">Lopes de Sousa Fernandes p. Portugalii </w:t>
        </w:r>
      </w:hyperlink>
      <w:r>
        <w:rPr>
          <w:lang w:val="pl"/>
        </w:rPr>
        <w:t xml:space="preserve">[WI], § 129). Ta zasada daje też potencjalnemu skarżącemu czas na podjęcie decyzji, czy wnieść skargę, a jeśli skarżący się na to zdecyduje – na rozważenie konkretnych zarzutów i argumentów, jakie chce przedstawić, a ponadto ułatwia ustalenie faktów sprawy, gdyż z upływem czasu sprawiedliwe badanie podnoszonych problemów staje się problematyczne </w:t>
      </w:r>
      <w:hyperlink r:id="rId894" w:history="1">
        <w:r>
          <w:rPr>
            <w:lang w:val="pl"/>
          </w:rPr>
          <w:t>(</w:t>
        </w:r>
        <w:r>
          <w:rPr>
            <w:i/>
            <w:iCs/>
            <w:color w:val="0072BC"/>
            <w:lang w:val="pl"/>
          </w:rPr>
          <w:t xml:space="preserve">Ramos Nunes de Carvalho e Sá p. Portugalii </w:t>
        </w:r>
      </w:hyperlink>
      <w:r>
        <w:rPr>
          <w:lang w:val="pl"/>
        </w:rPr>
        <w:t>[WI], §§ 99-101;</w:t>
      </w:r>
      <w:hyperlink r:id="rId895" w:history="1">
        <w:r>
          <w:rPr>
            <w:lang w:val="pl"/>
          </w:rPr>
          <w:t xml:space="preserve"> </w:t>
        </w:r>
        <w:r>
          <w:rPr>
            <w:i/>
            <w:iCs/>
            <w:color w:val="0072BC"/>
            <w:lang w:val="pl"/>
          </w:rPr>
          <w:t>Sabri</w:t>
        </w:r>
      </w:hyperlink>
      <w:r>
        <w:rPr>
          <w:i/>
          <w:iCs/>
          <w:color w:val="0072BC"/>
          <w:lang w:val="pl"/>
        </w:rPr>
        <w:t xml:space="preserve"> </w:t>
      </w:r>
      <w:hyperlink r:id="rId896" w:history="1">
        <w:r>
          <w:rPr>
            <w:i/>
            <w:iCs/>
            <w:color w:val="0072BC"/>
            <w:lang w:val="pl"/>
          </w:rPr>
          <w:t xml:space="preserve">Güneş p. Turcji </w:t>
        </w:r>
      </w:hyperlink>
      <w:r>
        <w:rPr>
          <w:lang w:val="pl"/>
        </w:rPr>
        <w:t>[WI], § 39).</w:t>
      </w:r>
    </w:p>
    <w:p w:rsidR="00B71A20" w:rsidRPr="000625F6" w:rsidRDefault="000425B4" w:rsidP="00115011">
      <w:pPr>
        <w:pStyle w:val="Teksttreci0"/>
        <w:numPr>
          <w:ilvl w:val="0"/>
          <w:numId w:val="33"/>
        </w:numPr>
        <w:tabs>
          <w:tab w:val="left" w:pos="505"/>
        </w:tabs>
        <w:jc w:val="both"/>
        <w:rPr>
          <w:lang w:val="pl-PL"/>
        </w:rPr>
      </w:pPr>
      <w:r>
        <w:rPr>
          <w:lang w:val="pl"/>
        </w:rPr>
        <w:t xml:space="preserve">Zasada ta zakreśla granice czasowe nadzoru sprawowanego przez Trybunał i sygnalizuje, zarówno osobom, jak i władzom państwowym, okres, po upływie którego taki nadzór nie jest już możliwy </w:t>
      </w:r>
      <w:hyperlink r:id="rId897" w:history="1">
        <w:r>
          <w:rPr>
            <w:lang w:val="pl"/>
          </w:rPr>
          <w:t>(</w:t>
        </w:r>
        <w:r>
          <w:rPr>
            <w:i/>
            <w:iCs/>
            <w:color w:val="0072BC"/>
            <w:lang w:val="pl"/>
          </w:rPr>
          <w:t xml:space="preserve">Radomilja i Inni p. Chorwacji </w:t>
        </w:r>
      </w:hyperlink>
      <w:r>
        <w:rPr>
          <w:lang w:val="pl"/>
        </w:rPr>
        <w:t>[WI], § 138). Jest ona odzwierciedleniem życzenia wysokich układających się stron, by nie kwestionować nieustannie wcześniejszych orzecze</w:t>
      </w:r>
      <w:r w:rsidR="00DC2406">
        <w:rPr>
          <w:lang w:val="pl"/>
        </w:rPr>
        <w:t>ń, i wyraża uprawnioną troskę o </w:t>
      </w:r>
      <w:r>
        <w:rPr>
          <w:lang w:val="pl"/>
        </w:rPr>
        <w:t xml:space="preserve">porządek, stabilność i pokój </w:t>
      </w:r>
      <w:hyperlink r:id="rId898" w:history="1">
        <w:r>
          <w:rPr>
            <w:lang w:val="pl"/>
          </w:rPr>
          <w:t>(</w:t>
        </w:r>
        <w:r>
          <w:rPr>
            <w:i/>
            <w:iCs/>
            <w:color w:val="0072BC"/>
            <w:lang w:val="pl"/>
          </w:rPr>
          <w:t xml:space="preserve">Idalov p. Rosji </w:t>
        </w:r>
      </w:hyperlink>
      <w:r>
        <w:rPr>
          <w:lang w:val="pl"/>
        </w:rPr>
        <w:t>[WI], § 128;</w:t>
      </w:r>
      <w:hyperlink r:id="rId899" w:history="1">
        <w:r>
          <w:rPr>
            <w:i/>
            <w:iCs/>
            <w:lang w:val="pl"/>
          </w:rPr>
          <w:t xml:space="preserve"> </w:t>
        </w:r>
        <w:r>
          <w:rPr>
            <w:i/>
            <w:iCs/>
            <w:color w:val="0072BC"/>
            <w:lang w:val="pl"/>
          </w:rPr>
          <w:t xml:space="preserve">Sabri Güneş p. Turcji </w:t>
        </w:r>
      </w:hyperlink>
      <w:r>
        <w:rPr>
          <w:lang w:val="pl"/>
        </w:rPr>
        <w:t xml:space="preserve">[WI], § 40; </w:t>
      </w:r>
      <w:hyperlink r:id="rId900" w:history="1">
        <w:r>
          <w:rPr>
            <w:i/>
            <w:iCs/>
            <w:color w:val="0072BC"/>
            <w:lang w:val="pl"/>
          </w:rPr>
          <w:t xml:space="preserve">Lopes de Sousa Fernandes p. Portugalii </w:t>
        </w:r>
      </w:hyperlink>
      <w:r>
        <w:rPr>
          <w:lang w:val="pl"/>
        </w:rPr>
        <w:t>[WI], § 129).</w:t>
      </w:r>
    </w:p>
    <w:p w:rsidR="00B71A20" w:rsidRPr="000625F6" w:rsidRDefault="000425B4" w:rsidP="00115011">
      <w:pPr>
        <w:pStyle w:val="Teksttreci0"/>
        <w:numPr>
          <w:ilvl w:val="0"/>
          <w:numId w:val="33"/>
        </w:numPr>
        <w:tabs>
          <w:tab w:val="left" w:pos="500"/>
        </w:tabs>
        <w:jc w:val="both"/>
        <w:rPr>
          <w:lang w:val="pl-PL"/>
        </w:rPr>
      </w:pPr>
      <w:r>
        <w:rPr>
          <w:lang w:val="pl"/>
        </w:rPr>
        <w:t xml:space="preserve">Zasada czteromiesięcznego terminu jest zasadą polityki publicznej, a Trybunał jest władny stosować ją z urzędu, nawet jeśli rząd nie podniósł tego zastrzeżenia </w:t>
      </w:r>
      <w:hyperlink r:id="rId901" w:history="1">
        <w:r>
          <w:rPr>
            <w:lang w:val="pl"/>
          </w:rPr>
          <w:t>(</w:t>
        </w:r>
        <w:r>
          <w:rPr>
            <w:i/>
            <w:iCs/>
            <w:color w:val="0072BC"/>
            <w:lang w:val="pl"/>
          </w:rPr>
          <w:t>Sabri Güneş p. Turcji</w:t>
        </w:r>
        <w:r>
          <w:rPr>
            <w:color w:val="0072BC"/>
            <w:lang w:val="pl"/>
          </w:rPr>
          <w:t xml:space="preserve"> </w:t>
        </w:r>
      </w:hyperlink>
      <w:r>
        <w:rPr>
          <w:lang w:val="pl"/>
        </w:rPr>
        <w:t>[WI], § 29;</w:t>
      </w:r>
      <w:hyperlink r:id="rId902" w:history="1">
        <w:r>
          <w:rPr>
            <w:lang w:val="pl"/>
          </w:rPr>
          <w:t xml:space="preserve"> </w:t>
        </w:r>
        <w:r>
          <w:rPr>
            <w:i/>
            <w:iCs/>
            <w:color w:val="0072BC"/>
            <w:lang w:val="pl"/>
          </w:rPr>
          <w:t>Svinarenko i Slydanev p. Rosji</w:t>
        </w:r>
        <w:r>
          <w:rPr>
            <w:color w:val="0072BC"/>
            <w:lang w:val="pl"/>
          </w:rPr>
          <w:t xml:space="preserve"> </w:t>
        </w:r>
      </w:hyperlink>
      <w:r>
        <w:rPr>
          <w:lang w:val="pl"/>
        </w:rPr>
        <w:t>[WI], § 85;</w:t>
      </w:r>
      <w:hyperlink r:id="rId903" w:history="1">
        <w:r>
          <w:rPr>
            <w:lang w:val="pl"/>
          </w:rPr>
          <w:t xml:space="preserve"> </w:t>
        </w:r>
        <w:r>
          <w:rPr>
            <w:i/>
            <w:iCs/>
            <w:color w:val="0072BC"/>
            <w:lang w:val="pl"/>
          </w:rPr>
          <w:t>Blokhin p. Rosji</w:t>
        </w:r>
        <w:r>
          <w:rPr>
            <w:color w:val="0072BC"/>
            <w:lang w:val="pl"/>
          </w:rPr>
          <w:t xml:space="preserve"> </w:t>
        </w:r>
      </w:hyperlink>
      <w:r>
        <w:rPr>
          <w:lang w:val="pl"/>
        </w:rPr>
        <w:t>[WI], § 102;</w:t>
      </w:r>
      <w:hyperlink r:id="rId904" w:history="1">
        <w:r>
          <w:rPr>
            <w:lang w:val="pl"/>
          </w:rPr>
          <w:t xml:space="preserve"> </w:t>
        </w:r>
        <w:r>
          <w:rPr>
            <w:i/>
            <w:iCs/>
            <w:color w:val="0072BC"/>
            <w:lang w:val="pl"/>
          </w:rPr>
          <w:t>Merabishvili</w:t>
        </w:r>
      </w:hyperlink>
      <w:r>
        <w:rPr>
          <w:i/>
          <w:iCs/>
          <w:color w:val="0072BC"/>
          <w:lang w:val="pl"/>
        </w:rPr>
        <w:t xml:space="preserve"> </w:t>
      </w:r>
      <w:hyperlink r:id="rId905" w:history="1">
        <w:r>
          <w:rPr>
            <w:i/>
            <w:iCs/>
            <w:color w:val="0072BC"/>
            <w:lang w:val="pl"/>
          </w:rPr>
          <w:t>p. Gruzji</w:t>
        </w:r>
        <w:r>
          <w:rPr>
            <w:color w:val="0072BC"/>
            <w:lang w:val="pl"/>
          </w:rPr>
          <w:t xml:space="preserve"> </w:t>
        </w:r>
      </w:hyperlink>
      <w:r>
        <w:rPr>
          <w:lang w:val="pl"/>
        </w:rPr>
        <w:t>[WI], § 247;</w:t>
      </w:r>
      <w:hyperlink r:id="rId906" w:history="1">
        <w:r>
          <w:rPr>
            <w:lang w:val="pl"/>
          </w:rPr>
          <w:t xml:space="preserve"> </w:t>
        </w:r>
        <w:r>
          <w:rPr>
            <w:i/>
            <w:iCs/>
            <w:color w:val="0072BC"/>
            <w:lang w:val="pl"/>
          </w:rPr>
          <w:lastRenderedPageBreak/>
          <w:t>Radomilja i Inni p. Chorwacji</w:t>
        </w:r>
        <w:r>
          <w:rPr>
            <w:color w:val="0072BC"/>
            <w:lang w:val="pl"/>
          </w:rPr>
          <w:t xml:space="preserve"> </w:t>
        </w:r>
      </w:hyperlink>
      <w:r>
        <w:rPr>
          <w:lang w:val="pl"/>
        </w:rPr>
        <w:t>[WI], § 138).</w:t>
      </w:r>
    </w:p>
    <w:p w:rsidR="00B71A20" w:rsidRPr="000625F6" w:rsidRDefault="000425B4" w:rsidP="00115011">
      <w:pPr>
        <w:pStyle w:val="Teksttreci0"/>
        <w:numPr>
          <w:ilvl w:val="0"/>
          <w:numId w:val="33"/>
        </w:numPr>
        <w:tabs>
          <w:tab w:val="left" w:pos="500"/>
        </w:tabs>
        <w:jc w:val="both"/>
        <w:rPr>
          <w:lang w:val="pl-PL"/>
        </w:rPr>
      </w:pPr>
      <w:r>
        <w:rPr>
          <w:lang w:val="pl"/>
        </w:rPr>
        <w:t xml:space="preserve">Na podstawie zasady czterech miesięcy nie można wymagać od skarżącego złożenia skargi do Trybunału zanim jego sytuacja w związku ze sprawą nie zostanie ostatecznie rozstrzygnięta na poziomie krajowym </w:t>
      </w:r>
      <w:hyperlink r:id="rId907" w:history="1">
        <w:r>
          <w:rPr>
            <w:lang w:val="pl"/>
          </w:rPr>
          <w:t>(</w:t>
        </w:r>
        <w:r>
          <w:rPr>
            <w:i/>
            <w:iCs/>
            <w:color w:val="0072BC"/>
            <w:lang w:val="pl"/>
          </w:rPr>
          <w:t xml:space="preserve">Varnava i Inni p. Turcji </w:t>
        </w:r>
      </w:hyperlink>
      <w:r>
        <w:rPr>
          <w:lang w:val="pl"/>
        </w:rPr>
        <w:t>[WI], § 157;</w:t>
      </w:r>
      <w:hyperlink r:id="rId908" w:history="1">
        <w:r>
          <w:rPr>
            <w:i/>
            <w:iCs/>
            <w:lang w:val="pl"/>
          </w:rPr>
          <w:t xml:space="preserve"> </w:t>
        </w:r>
        <w:r>
          <w:rPr>
            <w:i/>
            <w:iCs/>
            <w:color w:val="0072BC"/>
            <w:lang w:val="pl"/>
          </w:rPr>
          <w:t xml:space="preserve">Lekić p. Słowenii </w:t>
        </w:r>
      </w:hyperlink>
      <w:r>
        <w:rPr>
          <w:lang w:val="pl"/>
        </w:rPr>
        <w:t>[WI], § 65;</w:t>
      </w:r>
      <w:hyperlink r:id="rId909" w:history="1">
        <w:r>
          <w:rPr>
            <w:i/>
            <w:iCs/>
            <w:lang w:val="pl"/>
          </w:rPr>
          <w:t xml:space="preserve"> </w:t>
        </w:r>
        <w:r>
          <w:rPr>
            <w:i/>
            <w:iCs/>
            <w:color w:val="0072BC"/>
            <w:lang w:val="pl"/>
          </w:rPr>
          <w:t xml:space="preserve">Chapman p. Belgii </w:t>
        </w:r>
      </w:hyperlink>
      <w:r w:rsidR="00DC2406">
        <w:rPr>
          <w:lang w:val="pl"/>
        </w:rPr>
        <w:t>(dec.), § </w:t>
      </w:r>
      <w:r>
        <w:rPr>
          <w:lang w:val="pl"/>
        </w:rPr>
        <w:t>34). Podsumowanie odnośnych zasad przedstawiono w sprawie</w:t>
      </w:r>
      <w:hyperlink r:id="rId910" w:history="1">
        <w:r>
          <w:rPr>
            <w:i/>
            <w:iCs/>
            <w:lang w:val="pl"/>
          </w:rPr>
          <w:t xml:space="preserve"> </w:t>
        </w:r>
        <w:r>
          <w:rPr>
            <w:i/>
            <w:iCs/>
            <w:color w:val="0072BC"/>
            <w:lang w:val="pl"/>
          </w:rPr>
          <w:t xml:space="preserve">Svinarenko i Slydanev p. Rosji </w:t>
        </w:r>
      </w:hyperlink>
      <w:r w:rsidR="00DC2406">
        <w:rPr>
          <w:lang w:val="pl"/>
        </w:rPr>
        <w:t>[WI], § </w:t>
      </w:r>
      <w:r>
        <w:rPr>
          <w:lang w:val="pl"/>
        </w:rPr>
        <w:t>86.</w:t>
      </w:r>
    </w:p>
    <w:p w:rsidR="00B71A20" w:rsidRPr="000625F6" w:rsidRDefault="000425B4" w:rsidP="00115011">
      <w:pPr>
        <w:pStyle w:val="Teksttreci0"/>
        <w:numPr>
          <w:ilvl w:val="0"/>
          <w:numId w:val="33"/>
        </w:numPr>
        <w:tabs>
          <w:tab w:val="left" w:pos="514"/>
        </w:tabs>
        <w:jc w:val="both"/>
        <w:rPr>
          <w:lang w:val="pl-PL"/>
        </w:rPr>
      </w:pPr>
      <w:r>
        <w:rPr>
          <w:lang w:val="pl"/>
        </w:rPr>
        <w:t>Przed wejściem w życie</w:t>
      </w:r>
      <w:hyperlink r:id="rId911" w:history="1">
        <w:r>
          <w:rPr>
            <w:lang w:val="pl"/>
          </w:rPr>
          <w:t xml:space="preserve"> </w:t>
        </w:r>
        <w:r>
          <w:rPr>
            <w:color w:val="0072BC"/>
            <w:lang w:val="pl"/>
          </w:rPr>
          <w:t xml:space="preserve">Protokołu nr 15 </w:t>
        </w:r>
      </w:hyperlink>
      <w:r>
        <w:rPr>
          <w:lang w:val="pl"/>
        </w:rPr>
        <w:t>do Konwencji (1 sierpnia 2021 r.) w art. 35 ust. 1 Konwencji była mowa o terminie sześciu miesięcy. Artykułem 4 Protokołu nr 15 do Konwencji zmieniono art. 35 ust. 1, skracając ten termin z sześciu miesięcy do czterech</w:t>
      </w:r>
      <w:r>
        <w:rPr>
          <w:vertAlign w:val="superscript"/>
          <w:lang w:val="pl"/>
        </w:rPr>
        <w:footnoteReference w:id="6"/>
      </w:r>
      <w:r>
        <w:rPr>
          <w:lang w:val="pl"/>
        </w:rPr>
        <w:t>. Zgod</w:t>
      </w:r>
      <w:r w:rsidR="00483C92">
        <w:rPr>
          <w:lang w:val="pl"/>
        </w:rPr>
        <w:t>nie z przepisami przejściowymi P</w:t>
      </w:r>
      <w:r>
        <w:rPr>
          <w:lang w:val="pl"/>
        </w:rPr>
        <w:t>rotokołu (art. 8 ust. 3) zmiana dotycząca czteromiesięcznego terminu zaczęła obowiązywać dopiero po upływi</w:t>
      </w:r>
      <w:r w:rsidR="00AD2DD3">
        <w:rPr>
          <w:lang w:val="pl"/>
        </w:rPr>
        <w:t xml:space="preserve">e sześciu miesięcy od wejścia Protokołu w </w:t>
      </w:r>
      <w:r>
        <w:rPr>
          <w:lang w:val="pl"/>
        </w:rPr>
        <w:t xml:space="preserve">życie </w:t>
      </w:r>
      <w:r w:rsidR="00E43144">
        <w:rPr>
          <w:lang w:val="pl"/>
        </w:rPr>
        <w:t>(tj. od 1 lutego 2022 </w:t>
      </w:r>
      <w:r>
        <w:rPr>
          <w:lang w:val="pl"/>
        </w:rPr>
        <w:t>r.), aby nie ograniczać potencjalnym skarżącym możliwości dowiedzenia się o nowym terminie. Ponadto nowy termin nie ma mocy wstecznej, ponieważ nie znajduje zastosowania do skarg, w przypadku których ostateczna decyzja w rozumieniu art. 35 ust. 1 Konwencji zosta</w:t>
      </w:r>
      <w:r w:rsidR="00DC2406">
        <w:rPr>
          <w:lang w:val="pl"/>
        </w:rPr>
        <w:t>ła podjęta przed datą wejścia w </w:t>
      </w:r>
      <w:r>
        <w:rPr>
          <w:lang w:val="pl"/>
        </w:rPr>
        <w:t>życie tej nowej zasady (patrz</w:t>
      </w:r>
      <w:hyperlink r:id="rId912" w:history="1">
        <w:r>
          <w:rPr>
            <w:lang w:val="pl"/>
          </w:rPr>
          <w:t xml:space="preserve"> </w:t>
        </w:r>
        <w:r>
          <w:rPr>
            <w:color w:val="0072BC"/>
            <w:lang w:val="pl"/>
          </w:rPr>
          <w:t>Raport wyjaśniający do Protokołu nr 15,</w:t>
        </w:r>
      </w:hyperlink>
      <w:r>
        <w:rPr>
          <w:color w:val="0072BC"/>
          <w:lang w:val="pl"/>
        </w:rPr>
        <w:t xml:space="preserve"> </w:t>
      </w:r>
      <w:r>
        <w:rPr>
          <w:lang w:val="pl"/>
        </w:rPr>
        <w:t>§ 22).</w:t>
      </w:r>
    </w:p>
    <w:p w:rsidR="00B71A20" w:rsidRPr="000625F6" w:rsidRDefault="000425B4">
      <w:pPr>
        <w:pStyle w:val="Teksttreci0"/>
        <w:spacing w:after="220"/>
        <w:jc w:val="both"/>
        <w:rPr>
          <w:lang w:val="pl-PL"/>
        </w:rPr>
      </w:pPr>
      <w:bookmarkStart w:id="116" w:name="bookmark115"/>
      <w:r>
        <w:rPr>
          <w:lang w:val="pl"/>
        </w:rPr>
        <w:t xml:space="preserve">Wprawdzie przywołane w tej części wyroki i decyzje sprzed dnia wejścia w życie Protokołu nr 15 odnosiły się do „terminu sześciu miesięcy” lub „zasady sześciu miesięcy”, lecz w niniejszym przewodniku wyrażenia te zastąpiono wyrażeniami „termin czterech miesięcy” i „zasada czterech miesięcy”, aby uwzględnić nowy termin wprowadzony Konwencją. Ustanowione w orzecznictwie Trybunału ogólne reguły obowiązywania wcześniejszej zasady zachowują ważność w odniesieniu do stosowania nowego terminu </w:t>
      </w:r>
      <w:hyperlink r:id="rId913" w:history="1">
        <w:r>
          <w:rPr>
            <w:lang w:val="pl"/>
          </w:rPr>
          <w:t>(</w:t>
        </w:r>
        <w:r>
          <w:rPr>
            <w:i/>
            <w:iCs/>
            <w:color w:val="0072BC"/>
            <w:lang w:val="pl"/>
          </w:rPr>
          <w:t>Saakashvili p. Gruzji</w:t>
        </w:r>
        <w:r>
          <w:rPr>
            <w:color w:val="0072BC"/>
            <w:lang w:val="pl"/>
          </w:rPr>
          <w:t xml:space="preserve"> </w:t>
        </w:r>
      </w:hyperlink>
      <w:r>
        <w:rPr>
          <w:lang w:val="pl"/>
        </w:rPr>
        <w:t>(dec.), § 46).</w:t>
      </w:r>
      <w:bookmarkEnd w:id="116"/>
    </w:p>
    <w:p w:rsidR="00B71A20" w:rsidRPr="00AF4CAF" w:rsidRDefault="00AF4CAF" w:rsidP="00AF4CAF">
      <w:pPr>
        <w:pStyle w:val="Nagwek31"/>
        <w:keepNext/>
        <w:keepLines/>
        <w:tabs>
          <w:tab w:val="left" w:pos="331"/>
        </w:tabs>
        <w:spacing w:after="220"/>
        <w:jc w:val="both"/>
        <w:rPr>
          <w:lang w:val="pl-PL"/>
        </w:rPr>
      </w:pPr>
      <w:bookmarkStart w:id="117" w:name="bookmark116"/>
      <w:bookmarkStart w:id="118" w:name="_Toc126335637"/>
      <w:bookmarkStart w:id="119" w:name="_Toc126660591"/>
      <w:r>
        <w:rPr>
          <w:lang w:val="pl"/>
        </w:rPr>
        <w:t xml:space="preserve">2.  </w:t>
      </w:r>
      <w:r w:rsidR="000425B4">
        <w:rPr>
          <w:lang w:val="pl"/>
        </w:rPr>
        <w:t>Data rozpoczęcia biegu czteromiesięcznego terminu</w:t>
      </w:r>
      <w:bookmarkEnd w:id="117"/>
      <w:bookmarkEnd w:id="118"/>
      <w:bookmarkEnd w:id="119"/>
    </w:p>
    <w:p w:rsidR="00B71A20" w:rsidRPr="00AF4CAF" w:rsidRDefault="001D7CE1" w:rsidP="001D7CE1">
      <w:pPr>
        <w:pStyle w:val="Nagwek41"/>
        <w:keepNext/>
        <w:keepLines/>
        <w:tabs>
          <w:tab w:val="left" w:pos="331"/>
        </w:tabs>
        <w:spacing w:after="260"/>
        <w:jc w:val="both"/>
        <w:rPr>
          <w:lang w:val="pl-PL"/>
        </w:rPr>
      </w:pPr>
      <w:bookmarkStart w:id="120" w:name="_Toc126335638"/>
      <w:bookmarkStart w:id="121" w:name="_Toc126660592"/>
      <w:r>
        <w:rPr>
          <w:lang w:val="pl"/>
        </w:rPr>
        <w:t xml:space="preserve">a.  </w:t>
      </w:r>
      <w:r w:rsidR="000425B4">
        <w:rPr>
          <w:lang w:val="pl"/>
        </w:rPr>
        <w:t>Ostateczna decyzja</w:t>
      </w:r>
      <w:bookmarkEnd w:id="120"/>
      <w:bookmarkEnd w:id="121"/>
    </w:p>
    <w:p w:rsidR="00B71A20" w:rsidRPr="000625F6" w:rsidRDefault="000425B4" w:rsidP="001A58EB">
      <w:pPr>
        <w:pStyle w:val="Teksttreci0"/>
        <w:numPr>
          <w:ilvl w:val="0"/>
          <w:numId w:val="34"/>
        </w:numPr>
        <w:tabs>
          <w:tab w:val="left" w:pos="514"/>
        </w:tabs>
        <w:jc w:val="both"/>
        <w:rPr>
          <w:lang w:val="pl-PL"/>
        </w:rPr>
      </w:pPr>
      <w:r>
        <w:rPr>
          <w:lang w:val="pl"/>
        </w:rPr>
        <w:t xml:space="preserve">Bieg czteromiesięcznego terminu rozpoczyna się od wydania ostatecznej decyzji w ramach wyczerpania krajowych środków odwoławczych </w:t>
      </w:r>
      <w:hyperlink r:id="rId914" w:history="1">
        <w:r>
          <w:rPr>
            <w:lang w:val="pl"/>
          </w:rPr>
          <w:t>(</w:t>
        </w:r>
        <w:r>
          <w:rPr>
            <w:i/>
            <w:iCs/>
            <w:color w:val="0072BC"/>
            <w:lang w:val="pl"/>
          </w:rPr>
          <w:t xml:space="preserve">Paul i Audrey Edwards p. Wielkiej Brytanii </w:t>
        </w:r>
      </w:hyperlink>
      <w:r>
        <w:rPr>
          <w:lang w:val="pl"/>
        </w:rPr>
        <w:t>(dec.);</w:t>
      </w:r>
      <w:hyperlink r:id="rId915" w:history="1">
        <w:r>
          <w:rPr>
            <w:lang w:val="pl"/>
          </w:rPr>
          <w:t xml:space="preserve"> </w:t>
        </w:r>
        <w:r>
          <w:rPr>
            <w:i/>
            <w:iCs/>
            <w:color w:val="0072BC"/>
            <w:lang w:val="pl"/>
          </w:rPr>
          <w:t xml:space="preserve">Lekić p. Słowenii </w:t>
        </w:r>
      </w:hyperlink>
      <w:r>
        <w:rPr>
          <w:lang w:val="pl"/>
        </w:rPr>
        <w:t>[WI], § 65). Skarżący musi wyczerpać środki krajowe, kt</w:t>
      </w:r>
      <w:r w:rsidR="00F22418">
        <w:rPr>
          <w:lang w:val="pl"/>
        </w:rPr>
        <w:t>óre mogą okazać się skuteczne i </w:t>
      </w:r>
      <w:r>
        <w:rPr>
          <w:lang w:val="pl"/>
        </w:rPr>
        <w:t xml:space="preserve">wystarczające </w:t>
      </w:r>
      <w:hyperlink r:id="rId916" w:history="1">
        <w:r>
          <w:rPr>
            <w:lang w:val="pl"/>
          </w:rPr>
          <w:t>(</w:t>
        </w:r>
        <w:r>
          <w:rPr>
            <w:i/>
            <w:iCs/>
            <w:color w:val="0072BC"/>
            <w:lang w:val="pl"/>
          </w:rPr>
          <w:t xml:space="preserve">Moreira Barbosa p. Portugalii </w:t>
        </w:r>
      </w:hyperlink>
      <w:r>
        <w:rPr>
          <w:lang w:val="pl"/>
        </w:rPr>
        <w:t>(dec.);</w:t>
      </w:r>
      <w:hyperlink r:id="rId917" w:history="1">
        <w:r>
          <w:rPr>
            <w:i/>
            <w:iCs/>
            <w:lang w:val="pl"/>
          </w:rPr>
          <w:t xml:space="preserve"> </w:t>
        </w:r>
        <w:r>
          <w:rPr>
            <w:i/>
            <w:iCs/>
            <w:color w:val="0072BC"/>
            <w:lang w:val="pl"/>
          </w:rPr>
          <w:t xml:space="preserve">O’Keeffe p. Irlandii </w:t>
        </w:r>
      </w:hyperlink>
      <w:r>
        <w:rPr>
          <w:lang w:val="pl"/>
        </w:rPr>
        <w:t>[WI], §§ 110</w:t>
      </w:r>
      <w:r>
        <w:rPr>
          <w:lang w:val="pl"/>
        </w:rPr>
        <w:noBreakHyphen/>
        <w:t>113; patrz też</w:t>
      </w:r>
      <w:hyperlink r:id="rId918" w:history="1">
        <w:r>
          <w:rPr>
            <w:i/>
            <w:iCs/>
            <w:lang w:val="pl"/>
          </w:rPr>
          <w:t xml:space="preserve"> </w:t>
        </w:r>
        <w:r>
          <w:rPr>
            <w:i/>
            <w:iCs/>
            <w:color w:val="0072BC"/>
            <w:lang w:val="pl"/>
          </w:rPr>
          <w:t>Călin i</w:t>
        </w:r>
      </w:hyperlink>
      <w:r>
        <w:rPr>
          <w:i/>
          <w:iCs/>
          <w:color w:val="0072BC"/>
          <w:lang w:val="pl"/>
        </w:rPr>
        <w:t xml:space="preserve"> </w:t>
      </w:r>
      <w:hyperlink r:id="rId919" w:history="1">
        <w:r>
          <w:rPr>
            <w:i/>
            <w:iCs/>
            <w:color w:val="0072BC"/>
            <w:lang w:val="pl"/>
          </w:rPr>
          <w:t>Inni p. Rumunii</w:t>
        </w:r>
        <w:r>
          <w:rPr>
            <w:lang w:val="pl"/>
          </w:rPr>
          <w:t>,</w:t>
        </w:r>
      </w:hyperlink>
      <w:r>
        <w:rPr>
          <w:lang w:val="pl"/>
        </w:rPr>
        <w:t xml:space="preserve"> §§ 59</w:t>
      </w:r>
      <w:r>
        <w:rPr>
          <w:lang w:val="pl"/>
        </w:rPr>
        <w:noBreakHyphen/>
        <w:t xml:space="preserve">60 i 62-69, jeśli chodzi o bardzo ograniczony w czasie skuteczny środek odwoławczy). Jeśli została wydana tylko jedna ostateczna decyzja, do celów czteromiesięcznego terminu ma zastosowanie tylko jeden tok postępowania, nawet jeśli sprawa była rozpatrywana dwukrotnie na poszczególnych szczeblach wymiaru sprawiedliwości </w:t>
      </w:r>
      <w:hyperlink r:id="rId920" w:history="1">
        <w:r>
          <w:rPr>
            <w:lang w:val="pl"/>
          </w:rPr>
          <w:t>(</w:t>
        </w:r>
        <w:r>
          <w:rPr>
            <w:i/>
            <w:iCs/>
            <w:color w:val="0072BC"/>
            <w:lang w:val="pl"/>
          </w:rPr>
          <w:t>Satakunnan</w:t>
        </w:r>
      </w:hyperlink>
      <w:r>
        <w:rPr>
          <w:i/>
          <w:iCs/>
          <w:color w:val="0072BC"/>
          <w:lang w:val="pl"/>
        </w:rPr>
        <w:t xml:space="preserve"> </w:t>
      </w:r>
      <w:hyperlink r:id="rId921" w:history="1">
        <w:r>
          <w:rPr>
            <w:i/>
            <w:iCs/>
            <w:color w:val="0072BC"/>
            <w:lang w:val="pl"/>
          </w:rPr>
          <w:t xml:space="preserve">Markkinapörssi Oy </w:t>
        </w:r>
        <w:r w:rsidR="00DC2406">
          <w:rPr>
            <w:i/>
            <w:iCs/>
            <w:color w:val="0072BC"/>
            <w:lang w:val="pl"/>
          </w:rPr>
          <w:t>i </w:t>
        </w:r>
        <w:r>
          <w:rPr>
            <w:i/>
            <w:iCs/>
            <w:color w:val="0072BC"/>
            <w:lang w:val="pl"/>
          </w:rPr>
          <w:t xml:space="preserve">Satamedia Oy p. Finlandii </w:t>
        </w:r>
      </w:hyperlink>
      <w:r>
        <w:rPr>
          <w:lang w:val="pl"/>
        </w:rPr>
        <w:t xml:space="preserve">[WI], § 93). Jeżeli skarżący korzysta z pozornie istniejącego środka i dopiero później zyska wiedzę o okolicznościach powodujących jego nieskuteczność, do celów art. 35 ust. 1 za rozpoczęcie biegu czteromiesięcznego terminu można uznać moment, w którym skarżący uzyskał lub powinien był uzyskać wiedzę o istnieniu tych okoliczności </w:t>
      </w:r>
      <w:hyperlink r:id="rId922" w:history="1">
        <w:r>
          <w:rPr>
            <w:lang w:val="pl"/>
          </w:rPr>
          <w:t>(</w:t>
        </w:r>
        <w:r>
          <w:rPr>
            <w:i/>
            <w:iCs/>
            <w:color w:val="0072BC"/>
            <w:lang w:val="pl"/>
          </w:rPr>
          <w:t xml:space="preserve">Mocanu i Inni p. Rumunii </w:t>
        </w:r>
      </w:hyperlink>
      <w:r>
        <w:rPr>
          <w:lang w:val="pl"/>
        </w:rPr>
        <w:t>[WI], § 260).</w:t>
      </w:r>
    </w:p>
    <w:p w:rsidR="00B71A20" w:rsidRPr="000625F6" w:rsidRDefault="000425B4" w:rsidP="00115011">
      <w:pPr>
        <w:pStyle w:val="Teksttreci0"/>
        <w:numPr>
          <w:ilvl w:val="0"/>
          <w:numId w:val="34"/>
        </w:numPr>
        <w:tabs>
          <w:tab w:val="left" w:pos="519"/>
        </w:tabs>
        <w:spacing w:after="120"/>
        <w:jc w:val="both"/>
        <w:rPr>
          <w:lang w:val="pl-PL"/>
        </w:rPr>
      </w:pPr>
      <w:r>
        <w:rPr>
          <w:lang w:val="pl"/>
        </w:rPr>
        <w:t xml:space="preserve">Korzystanie ze środków odwoławczych, które nie spełniają wymogów art. 35 ust. 1, nie będzie brane pod uwagę przez Trybunał do celów ustalenia daty wydania „ostatecznej decyzji” lub obliczenia, kiedy rozpoczął się bieg przyjętego czteromiesięcznego terminu </w:t>
      </w:r>
      <w:hyperlink r:id="rId923" w:history="1">
        <w:r>
          <w:rPr>
            <w:lang w:val="pl"/>
          </w:rPr>
          <w:t>(</w:t>
        </w:r>
        <w:r>
          <w:rPr>
            <w:i/>
            <w:iCs/>
            <w:color w:val="0072BC"/>
            <w:lang w:val="pl"/>
          </w:rPr>
          <w:t xml:space="preserve">Jeronovičs p. Łotwie </w:t>
        </w:r>
      </w:hyperlink>
      <w:r>
        <w:rPr>
          <w:lang w:val="pl"/>
        </w:rPr>
        <w:t xml:space="preserve">[WI], § 75; </w:t>
      </w:r>
      <w:hyperlink r:id="rId924" w:history="1">
        <w:r>
          <w:rPr>
            <w:i/>
            <w:iCs/>
            <w:color w:val="0072BC"/>
            <w:lang w:val="pl"/>
          </w:rPr>
          <w:t>Alekseyev i Inni p. Rosji</w:t>
        </w:r>
        <w:r>
          <w:rPr>
            <w:lang w:val="pl"/>
          </w:rPr>
          <w:t>,</w:t>
        </w:r>
      </w:hyperlink>
      <w:r>
        <w:rPr>
          <w:lang w:val="pl"/>
        </w:rPr>
        <w:t xml:space="preserve"> §§ 10</w:t>
      </w:r>
      <w:r>
        <w:rPr>
          <w:lang w:val="pl"/>
        </w:rPr>
        <w:noBreakHyphen/>
        <w:t xml:space="preserve">16). Pod uwagę mogą być brane wyłącznie środki zwyczajne i skuteczne, jako że skarżący nie może wydłużyć terminu zawitego nałożonego przez Konwencję przez składanie nieodpowiednich lub mylnych wniosków do organów lub instytucji, które nie mają mocy ani kompetencji do zapewnienia skutecznego zadośćuczynienia w przypadku skargi dotyczącej kwestii objętej Konwencją </w:t>
      </w:r>
      <w:hyperlink r:id="rId925" w:history="1">
        <w:r>
          <w:rPr>
            <w:lang w:val="pl"/>
          </w:rPr>
          <w:t>(</w:t>
        </w:r>
        <w:r>
          <w:rPr>
            <w:i/>
            <w:iCs/>
            <w:color w:val="0072BC"/>
            <w:lang w:val="pl"/>
          </w:rPr>
          <w:t xml:space="preserve">Lopes de Sousa Fernandes p. Portugalii </w:t>
        </w:r>
      </w:hyperlink>
      <w:r>
        <w:rPr>
          <w:lang w:val="pl"/>
        </w:rPr>
        <w:t>[WI], § 132;</w:t>
      </w:r>
      <w:hyperlink r:id="rId926" w:history="1">
        <w:r>
          <w:rPr>
            <w:i/>
            <w:iCs/>
            <w:lang w:val="pl"/>
          </w:rPr>
          <w:t xml:space="preserve"> </w:t>
        </w:r>
        <w:r>
          <w:rPr>
            <w:i/>
            <w:iCs/>
            <w:color w:val="0072BC"/>
            <w:lang w:val="pl"/>
          </w:rPr>
          <w:t xml:space="preserve">Fernie p. Wielkiej Brytanii </w:t>
        </w:r>
      </w:hyperlink>
      <w:r>
        <w:rPr>
          <w:lang w:val="pl"/>
        </w:rPr>
        <w:t>(dec.)). Z kolei w sprawie</w:t>
      </w:r>
      <w:hyperlink r:id="rId927" w:history="1">
        <w:r>
          <w:rPr>
            <w:i/>
            <w:iCs/>
            <w:lang w:val="pl"/>
          </w:rPr>
          <w:t xml:space="preserve"> </w:t>
        </w:r>
        <w:r>
          <w:rPr>
            <w:i/>
            <w:iCs/>
            <w:color w:val="0072BC"/>
            <w:lang w:val="pl"/>
          </w:rPr>
          <w:t>Červenka p. Czechom</w:t>
        </w:r>
        <w:r>
          <w:rPr>
            <w:lang w:val="pl"/>
          </w:rPr>
          <w:t>,</w:t>
        </w:r>
      </w:hyperlink>
      <w:r>
        <w:rPr>
          <w:lang w:val="pl"/>
        </w:rPr>
        <w:t xml:space="preserve"> w której skarżący czekał na decyzję Trybunału </w:t>
      </w:r>
      <w:r>
        <w:rPr>
          <w:lang w:val="pl"/>
        </w:rPr>
        <w:lastRenderedPageBreak/>
        <w:t>Konstytucyjnego, mimo że miał wątpliwości co do skuteczności tego środka odwoławczego, Trybunał w Strasburgu orzekł, że nie można mieć skarżącemu za złe, że próbował wykorzystać ten środek odwoławczy (§§ 90 i 113</w:t>
      </w:r>
      <w:r>
        <w:rPr>
          <w:lang w:val="pl"/>
        </w:rPr>
        <w:noBreakHyphen/>
        <w:t>121). Podobnie w sprawie</w:t>
      </w:r>
      <w:hyperlink r:id="rId928" w:history="1">
        <w:r>
          <w:rPr>
            <w:i/>
            <w:iCs/>
            <w:lang w:val="pl"/>
          </w:rPr>
          <w:t xml:space="preserve"> </w:t>
        </w:r>
        <w:r>
          <w:rPr>
            <w:i/>
            <w:iCs/>
            <w:color w:val="0072BC"/>
            <w:lang w:val="pl"/>
          </w:rPr>
          <w:t>Polyakh i Inni p. Ukrainie</w:t>
        </w:r>
      </w:hyperlink>
      <w:r>
        <w:rPr>
          <w:lang w:val="pl"/>
        </w:rPr>
        <w:t xml:space="preserve"> Trybunał uznał, że choć długość postępowania w sprawach skarżących nie była „rozsądna”, co stanowiło naruszenie art. 6 u</w:t>
      </w:r>
      <w:r w:rsidR="00DC2406">
        <w:rPr>
          <w:lang w:val="pl"/>
        </w:rPr>
        <w:t>st. </w:t>
      </w:r>
      <w:r>
        <w:rPr>
          <w:lang w:val="pl"/>
        </w:rPr>
        <w:t>1, skarżący nie musieli zdawać sobie sprawy, że ten środek odwoławczy był nieskuteczny (ze względu na przewlekłość), co oznaczałoby rozpoczęcie biegu czteromiesięcznego terminu w dowolnym czasie przed wydaniem ostatecznego wyroku (§§ 213-216).</w:t>
      </w:r>
    </w:p>
    <w:p w:rsidR="00B71A20" w:rsidRPr="000625F6" w:rsidRDefault="000425B4" w:rsidP="00115011">
      <w:pPr>
        <w:pStyle w:val="Teksttreci0"/>
        <w:numPr>
          <w:ilvl w:val="0"/>
          <w:numId w:val="34"/>
        </w:numPr>
        <w:tabs>
          <w:tab w:val="left" w:pos="514"/>
        </w:tabs>
        <w:spacing w:after="120"/>
        <w:jc w:val="both"/>
        <w:rPr>
          <w:lang w:val="pl-PL"/>
        </w:rPr>
      </w:pPr>
      <w:r>
        <w:rPr>
          <w:lang w:val="pl"/>
        </w:rPr>
        <w:t xml:space="preserve">Ustalenie, czy procedura krajowa stanowi skuteczny środek odwoławczy, który skarżący musi wykorzystać i który należy zatem brać pod uwagę na potrzeby czteromiesięcznego terminu, jest zależne od wielu czynników, tj. skargi skarżącego, zakresu zobowiązań państwa w ramach tego konkretnego postanowienia Konwencji, dostępnych środków odwoławczych w pozwanym państwie oraz konkretnych okoliczności w danej sprawie. Inaczej będzie np. w sprawach dotyczących bezprawnego użycia siły przez funkcjonariuszy państwowych, a inaczej w tych dotyczących błędu w sztuce medycznej </w:t>
      </w:r>
      <w:hyperlink r:id="rId929" w:history="1">
        <w:r>
          <w:rPr>
            <w:lang w:val="pl"/>
          </w:rPr>
          <w:t>(</w:t>
        </w:r>
        <w:r>
          <w:rPr>
            <w:i/>
            <w:iCs/>
            <w:color w:val="0072BC"/>
            <w:lang w:val="pl"/>
          </w:rPr>
          <w:t xml:space="preserve">Lopes de Sousa Fernandes p. Portugalii </w:t>
        </w:r>
      </w:hyperlink>
      <w:r>
        <w:rPr>
          <w:lang w:val="pl"/>
        </w:rPr>
        <w:t>[WI], §§ 134-137). Jeśli chodzi o sprawę dotyc</w:t>
      </w:r>
      <w:r w:rsidR="00F22418">
        <w:rPr>
          <w:lang w:val="pl"/>
        </w:rPr>
        <w:t>zącą działań o </w:t>
      </w:r>
      <w:r>
        <w:rPr>
          <w:lang w:val="pl"/>
        </w:rPr>
        <w:t>charakterze niejawnego nadzoru, patrz</w:t>
      </w:r>
      <w:hyperlink r:id="rId930" w:history="1">
        <w:r>
          <w:rPr>
            <w:i/>
            <w:iCs/>
            <w:lang w:val="pl"/>
          </w:rPr>
          <w:t xml:space="preserve"> </w:t>
        </w:r>
        <w:r>
          <w:rPr>
            <w:i/>
            <w:iCs/>
            <w:color w:val="0072BC"/>
            <w:lang w:val="pl"/>
          </w:rPr>
          <w:t>Hambardzumyan p. Armenii</w:t>
        </w:r>
        <w:r>
          <w:rPr>
            <w:lang w:val="pl"/>
          </w:rPr>
          <w:t>,</w:t>
        </w:r>
      </w:hyperlink>
      <w:r>
        <w:rPr>
          <w:lang w:val="pl"/>
        </w:rPr>
        <w:t xml:space="preserve"> §§ 52-53.</w:t>
      </w:r>
    </w:p>
    <w:p w:rsidR="00B71A20" w:rsidRPr="000625F6" w:rsidRDefault="000425B4" w:rsidP="00115011">
      <w:pPr>
        <w:pStyle w:val="Teksttreci0"/>
        <w:numPr>
          <w:ilvl w:val="0"/>
          <w:numId w:val="34"/>
        </w:numPr>
        <w:tabs>
          <w:tab w:val="left" w:pos="505"/>
        </w:tabs>
        <w:spacing w:after="120"/>
        <w:jc w:val="both"/>
        <w:rPr>
          <w:lang w:val="pl-PL"/>
        </w:rPr>
      </w:pPr>
      <w:r>
        <w:rPr>
          <w:lang w:val="pl"/>
        </w:rPr>
        <w:t xml:space="preserve">Nie mogą być uwzględnione środki odwoławcze, których wykorzystanie jest uzależnione od uznaniowej decyzji urzędników i które w konsekwencji nie są bezpośrednio dostępne dla skarżącego. Podobnie środki, w odniesieniu do których nie ustalono dokładnych ram czasowych, powodują brak pewności i skuteczności zasady czterech miesięcy wyrażonej w art. 35 ust. 1 </w:t>
      </w:r>
      <w:hyperlink r:id="rId931" w:history="1">
        <w:r>
          <w:rPr>
            <w:lang w:val="pl"/>
          </w:rPr>
          <w:t>(</w:t>
        </w:r>
        <w:r>
          <w:rPr>
            <w:i/>
            <w:iCs/>
            <w:color w:val="0072BC"/>
            <w:lang w:val="pl"/>
          </w:rPr>
          <w:t xml:space="preserve">Williams p. Wielkiej Brytanii </w:t>
        </w:r>
      </w:hyperlink>
      <w:r>
        <w:rPr>
          <w:lang w:val="pl"/>
        </w:rPr>
        <w:t>(dec.);</w:t>
      </w:r>
      <w:hyperlink r:id="rId932" w:history="1">
        <w:r>
          <w:rPr>
            <w:i/>
            <w:iCs/>
            <w:lang w:val="pl"/>
          </w:rPr>
          <w:t xml:space="preserve"> </w:t>
        </w:r>
        <w:r>
          <w:rPr>
            <w:i/>
            <w:iCs/>
            <w:color w:val="0072BC"/>
            <w:lang w:val="pl"/>
          </w:rPr>
          <w:t>Abramyan i Inni</w:t>
        </w:r>
      </w:hyperlink>
      <w:r>
        <w:rPr>
          <w:i/>
          <w:iCs/>
          <w:color w:val="0072BC"/>
          <w:lang w:val="pl"/>
        </w:rPr>
        <w:t xml:space="preserve"> </w:t>
      </w:r>
      <w:hyperlink r:id="rId933" w:history="1">
        <w:r>
          <w:rPr>
            <w:i/>
            <w:iCs/>
            <w:color w:val="0072BC"/>
            <w:lang w:val="pl"/>
          </w:rPr>
          <w:t xml:space="preserve">p. Rosji </w:t>
        </w:r>
      </w:hyperlink>
      <w:r>
        <w:rPr>
          <w:lang w:val="pl"/>
        </w:rPr>
        <w:t>(dec.), §§ 97</w:t>
      </w:r>
      <w:r>
        <w:rPr>
          <w:lang w:val="pl"/>
        </w:rPr>
        <w:noBreakHyphen/>
        <w:t>102 i 104;</w:t>
      </w:r>
      <w:hyperlink r:id="rId934" w:history="1">
        <w:r>
          <w:rPr>
            <w:i/>
            <w:iCs/>
            <w:lang w:val="pl"/>
          </w:rPr>
          <w:t xml:space="preserve"> </w:t>
        </w:r>
        <w:r>
          <w:rPr>
            <w:i/>
            <w:iCs/>
            <w:color w:val="0072BC"/>
            <w:lang w:val="pl"/>
          </w:rPr>
          <w:t xml:space="preserve">Kashlan p. Rosji </w:t>
        </w:r>
      </w:hyperlink>
      <w:r w:rsidR="00DC2406">
        <w:rPr>
          <w:lang w:val="pl"/>
        </w:rPr>
        <w:t>(dec), §§ 23 i 26</w:t>
      </w:r>
      <w:r w:rsidR="00DC2406">
        <w:rPr>
          <w:lang w:val="pl"/>
        </w:rPr>
        <w:noBreakHyphen/>
        <w:t>30). W </w:t>
      </w:r>
      <w:r>
        <w:rPr>
          <w:lang w:val="pl"/>
        </w:rPr>
        <w:t xml:space="preserve">wyjątkowym przypadku Trybunał uznał jednak za zasadne, aby skarżąca poczekała na ostateczną decyzję wydaną w trybie uznaniowego środka odwoławczego. W rezultacie nie stwierdzono, by skarżąca celowo usiłowała wydłużyć termin, sięgając po nieodpowiednie procedury, które nie mogły przynieść jej skutecznej rekompensaty </w:t>
      </w:r>
      <w:hyperlink r:id="rId935" w:history="1">
        <w:r>
          <w:rPr>
            <w:lang w:val="pl"/>
          </w:rPr>
          <w:t>(</w:t>
        </w:r>
        <w:r>
          <w:rPr>
            <w:i/>
            <w:iCs/>
            <w:color w:val="0072BC"/>
            <w:lang w:val="pl"/>
          </w:rPr>
          <w:t>Petrović</w:t>
        </w:r>
      </w:hyperlink>
      <w:r>
        <w:rPr>
          <w:i/>
          <w:iCs/>
          <w:color w:val="0072BC"/>
          <w:lang w:val="pl"/>
        </w:rPr>
        <w:t xml:space="preserve"> </w:t>
      </w:r>
      <w:hyperlink r:id="rId936" w:history="1">
        <w:r>
          <w:rPr>
            <w:i/>
            <w:iCs/>
            <w:color w:val="0072BC"/>
            <w:lang w:val="pl"/>
          </w:rPr>
          <w:t>p. Serbii</w:t>
        </w:r>
        <w:r>
          <w:rPr>
            <w:lang w:val="pl"/>
          </w:rPr>
          <w:t>,</w:t>
        </w:r>
      </w:hyperlink>
      <w:r>
        <w:rPr>
          <w:lang w:val="pl"/>
        </w:rPr>
        <w:t xml:space="preserve"> §§ 57</w:t>
      </w:r>
      <w:r>
        <w:rPr>
          <w:lang w:val="pl"/>
        </w:rPr>
        <w:noBreakHyphen/>
        <w:t>61).</w:t>
      </w:r>
    </w:p>
    <w:p w:rsidR="00B71A20" w:rsidRPr="000625F6" w:rsidRDefault="000425B4" w:rsidP="00115011">
      <w:pPr>
        <w:pStyle w:val="Teksttreci0"/>
        <w:numPr>
          <w:ilvl w:val="0"/>
          <w:numId w:val="34"/>
        </w:numPr>
        <w:tabs>
          <w:tab w:val="left" w:pos="514"/>
        </w:tabs>
        <w:spacing w:after="120"/>
        <w:jc w:val="both"/>
        <w:rPr>
          <w:lang w:val="pl-PL"/>
        </w:rPr>
      </w:pPr>
      <w:r>
        <w:rPr>
          <w:lang w:val="pl"/>
        </w:rPr>
        <w:t xml:space="preserve">Artykuł 35 ust. 1 co do zasady nie wymaga od skarżących złożenia wniosku o wznowienie postępowania lub wykorzystania podobnych nadzwyczajnych środków i nie umożliwia wydłużenia czteromiesięcznego terminu w oparciu o fakt skorzystania z takich środków </w:t>
      </w:r>
      <w:hyperlink r:id="rId937" w:history="1">
        <w:r>
          <w:rPr>
            <w:lang w:val="pl"/>
          </w:rPr>
          <w:t>(</w:t>
        </w:r>
        <w:r>
          <w:rPr>
            <w:i/>
            <w:iCs/>
            <w:color w:val="0072BC"/>
            <w:lang w:val="pl"/>
          </w:rPr>
          <w:t>Berdzenishvili</w:t>
        </w:r>
      </w:hyperlink>
      <w:r>
        <w:rPr>
          <w:i/>
          <w:iCs/>
          <w:color w:val="0072BC"/>
          <w:lang w:val="pl"/>
        </w:rPr>
        <w:t xml:space="preserve"> </w:t>
      </w:r>
      <w:hyperlink r:id="rId938" w:history="1">
        <w:r>
          <w:rPr>
            <w:i/>
            <w:iCs/>
            <w:color w:val="0072BC"/>
            <w:lang w:val="pl"/>
          </w:rPr>
          <w:t xml:space="preserve">p. Rosji </w:t>
        </w:r>
      </w:hyperlink>
      <w:r>
        <w:rPr>
          <w:lang w:val="pl"/>
        </w:rPr>
        <w:t>(dec.);</w:t>
      </w:r>
      <w:hyperlink r:id="rId939" w:history="1">
        <w:r>
          <w:rPr>
            <w:lang w:val="pl"/>
          </w:rPr>
          <w:t xml:space="preserve"> </w:t>
        </w:r>
        <w:r>
          <w:rPr>
            <w:i/>
            <w:iCs/>
            <w:color w:val="0072BC"/>
            <w:lang w:val="pl"/>
          </w:rPr>
          <w:t xml:space="preserve">Tucka p. Wielkiej Brytanii (nr 1) </w:t>
        </w:r>
      </w:hyperlink>
      <w:r>
        <w:rPr>
          <w:lang w:val="pl"/>
        </w:rPr>
        <w:t>(dec.);</w:t>
      </w:r>
      <w:hyperlink r:id="rId940" w:history="1">
        <w:r>
          <w:rPr>
            <w:lang w:val="pl"/>
          </w:rPr>
          <w:t xml:space="preserve"> </w:t>
        </w:r>
        <w:r>
          <w:rPr>
            <w:i/>
            <w:iCs/>
            <w:color w:val="0072BC"/>
            <w:lang w:val="pl"/>
          </w:rPr>
          <w:t>Haász i Szabó p. Węgrom</w:t>
        </w:r>
        <w:r>
          <w:rPr>
            <w:lang w:val="pl"/>
          </w:rPr>
          <w:t>,</w:t>
        </w:r>
      </w:hyperlink>
      <w:r>
        <w:rPr>
          <w:lang w:val="pl"/>
        </w:rPr>
        <w:t xml:space="preserve"> §§ 36</w:t>
      </w:r>
      <w:r>
        <w:rPr>
          <w:lang w:val="pl"/>
        </w:rPr>
        <w:noBreakHyphen/>
        <w:t xml:space="preserve">37). Jeżeli jednak środek nadzwyczajny stanowi jedyny środek prawny o charakterze sądowym dostępny dla skarżącego, czteromiesięczny termin może być liczony od daty wydania decyzji odnośnie do tego środka </w:t>
      </w:r>
      <w:hyperlink r:id="rId941" w:history="1">
        <w:r>
          <w:rPr>
            <w:lang w:val="pl"/>
          </w:rPr>
          <w:t>(</w:t>
        </w:r>
        <w:r>
          <w:rPr>
            <w:i/>
            <w:iCs/>
            <w:color w:val="0072BC"/>
            <w:lang w:val="pl"/>
          </w:rPr>
          <w:t xml:space="preserve">Ahtinen p. Finlandii </w:t>
        </w:r>
      </w:hyperlink>
      <w:r>
        <w:rPr>
          <w:lang w:val="pl"/>
        </w:rPr>
        <w:t>(dec.);</w:t>
      </w:r>
      <w:hyperlink r:id="rId942" w:history="1">
        <w:r>
          <w:rPr>
            <w:i/>
            <w:iCs/>
            <w:lang w:val="pl"/>
          </w:rPr>
          <w:t xml:space="preserve"> </w:t>
        </w:r>
        <w:r>
          <w:rPr>
            <w:i/>
            <w:iCs/>
            <w:color w:val="0072BC"/>
            <w:lang w:val="pl"/>
          </w:rPr>
          <w:t>Tomaszewscy p. Polsce</w:t>
        </w:r>
        <w:r>
          <w:rPr>
            <w:lang w:val="pl"/>
          </w:rPr>
          <w:t>,</w:t>
        </w:r>
      </w:hyperlink>
      <w:r>
        <w:rPr>
          <w:lang w:val="pl"/>
        </w:rPr>
        <w:t xml:space="preserve"> §§ 117</w:t>
      </w:r>
      <w:r>
        <w:rPr>
          <w:lang w:val="pl"/>
        </w:rPr>
        <w:noBreakHyphen/>
        <w:t>119).</w:t>
      </w:r>
    </w:p>
    <w:p w:rsidR="00B71A20" w:rsidRPr="000625F6" w:rsidRDefault="000425B4">
      <w:pPr>
        <w:pStyle w:val="Teksttreci0"/>
        <w:spacing w:after="120"/>
        <w:jc w:val="both"/>
        <w:rPr>
          <w:lang w:val="pl-PL"/>
        </w:rPr>
      </w:pPr>
      <w:r>
        <w:rPr>
          <w:lang w:val="pl"/>
        </w:rPr>
        <w:t xml:space="preserve">Skarga, w ramach której skarżący wnosi roszczenia w ciągu czterech miesięcy od momentu podjęcia decyzji oddalającej jego wniosek o wznowienie postępowania, jest niedopuszczalna, ponieważ decyzja ta nie stanowi „decyzji ostatecznej” </w:t>
      </w:r>
      <w:hyperlink r:id="rId943" w:history="1">
        <w:r>
          <w:rPr>
            <w:lang w:val="pl"/>
          </w:rPr>
          <w:t>(</w:t>
        </w:r>
        <w:r>
          <w:rPr>
            <w:i/>
            <w:iCs/>
            <w:color w:val="0072BC"/>
            <w:lang w:val="pl"/>
          </w:rPr>
          <w:t>Sapeyan p. Armenii</w:t>
        </w:r>
        <w:r>
          <w:rPr>
            <w:lang w:val="pl"/>
          </w:rPr>
          <w:t>,</w:t>
        </w:r>
      </w:hyperlink>
      <w:r>
        <w:rPr>
          <w:lang w:val="pl"/>
        </w:rPr>
        <w:t xml:space="preserve"> § 23).</w:t>
      </w:r>
    </w:p>
    <w:p w:rsidR="00B71A20" w:rsidRPr="000625F6" w:rsidRDefault="000425B4">
      <w:pPr>
        <w:pStyle w:val="Teksttreci0"/>
        <w:spacing w:after="220"/>
        <w:jc w:val="both"/>
        <w:rPr>
          <w:lang w:val="pl-PL"/>
        </w:rPr>
      </w:pPr>
      <w:bookmarkStart w:id="122" w:name="bookmark121"/>
      <w:r>
        <w:rPr>
          <w:lang w:val="pl"/>
        </w:rPr>
        <w:t xml:space="preserve">W przypadku wznowienia postępowania lub wzruszenia ostatecznej decyzji bieg czteromiesięcznego terminu zostanie przerwany tylko odnośnie do tych kwestii wynikających z Konwencji, które były przedmiotem takiej weryfikacji lub wznowienia i zostały zbadane przez nadzwyczajny organ odwoławczy </w:t>
      </w:r>
      <w:hyperlink r:id="rId944" w:history="1">
        <w:r>
          <w:rPr>
            <w:lang w:val="pl"/>
          </w:rPr>
          <w:t>(</w:t>
        </w:r>
        <w:r>
          <w:rPr>
            <w:i/>
            <w:iCs/>
            <w:color w:val="0072BC"/>
            <w:lang w:val="pl"/>
          </w:rPr>
          <w:t>ibid.</w:t>
        </w:r>
        <w:r>
          <w:rPr>
            <w:lang w:val="pl"/>
          </w:rPr>
          <w:t>,</w:t>
        </w:r>
      </w:hyperlink>
      <w:r>
        <w:rPr>
          <w:lang w:val="pl"/>
        </w:rPr>
        <w:t xml:space="preserve"> § 24). Nawet gdy wniosek o nadzwyczajną kontrolę nie mógł doprowadzić do wznowienia pierwotnego postępowania, lecz sądy krajowe miały możliwość odniesienia się do istoty zagadnień z zakresu praw człowieka podniesionych następnie przez skarżącego przed Trybunałem, ale tego nie zrobiły, orzeczono o przywróceniu czteromiesięcznego terminu </w:t>
      </w:r>
      <w:hyperlink r:id="rId945" w:history="1">
        <w:r>
          <w:rPr>
            <w:lang w:val="pl"/>
          </w:rPr>
          <w:t>(</w:t>
        </w:r>
        <w:r>
          <w:rPr>
            <w:i/>
            <w:iCs/>
            <w:color w:val="0072BC"/>
            <w:lang w:val="pl"/>
          </w:rPr>
          <w:t>Schmidt p. Łotwie</w:t>
        </w:r>
        <w:r>
          <w:rPr>
            <w:lang w:val="pl"/>
          </w:rPr>
          <w:t>,</w:t>
        </w:r>
      </w:hyperlink>
      <w:r>
        <w:rPr>
          <w:lang w:val="pl"/>
        </w:rPr>
        <w:t xml:space="preserve"> §§ 70</w:t>
      </w:r>
      <w:r>
        <w:rPr>
          <w:lang w:val="pl"/>
        </w:rPr>
        <w:noBreakHyphen/>
        <w:t>71).</w:t>
      </w:r>
      <w:bookmarkEnd w:id="122"/>
    </w:p>
    <w:p w:rsidR="00B71A20" w:rsidRPr="001D7CE1" w:rsidRDefault="001D7CE1" w:rsidP="001D7CE1">
      <w:pPr>
        <w:pStyle w:val="Nagwek41"/>
        <w:keepNext/>
        <w:keepLines/>
        <w:tabs>
          <w:tab w:val="left" w:pos="322"/>
        </w:tabs>
        <w:spacing w:after="120"/>
        <w:jc w:val="both"/>
        <w:rPr>
          <w:lang w:val="pl-PL"/>
        </w:rPr>
      </w:pPr>
      <w:bookmarkStart w:id="123" w:name="_Toc126335639"/>
      <w:bookmarkStart w:id="124" w:name="_Toc126660593"/>
      <w:r>
        <w:rPr>
          <w:lang w:val="pl"/>
        </w:rPr>
        <w:t xml:space="preserve">b.  </w:t>
      </w:r>
      <w:r w:rsidR="000425B4">
        <w:rPr>
          <w:lang w:val="pl"/>
        </w:rPr>
        <w:t>Moment rozpoczęcia biegu terminu</w:t>
      </w:r>
      <w:bookmarkEnd w:id="123"/>
      <w:bookmarkEnd w:id="124"/>
    </w:p>
    <w:p w:rsidR="00B71A20" w:rsidRPr="000625F6" w:rsidRDefault="000425B4" w:rsidP="001A58EB">
      <w:pPr>
        <w:pStyle w:val="Teksttreci0"/>
        <w:numPr>
          <w:ilvl w:val="0"/>
          <w:numId w:val="35"/>
        </w:numPr>
        <w:tabs>
          <w:tab w:val="left" w:pos="500"/>
        </w:tabs>
        <w:spacing w:after="240" w:line="233" w:lineRule="auto"/>
        <w:jc w:val="both"/>
        <w:rPr>
          <w:lang w:val="pl-PL"/>
        </w:rPr>
      </w:pPr>
      <w:r>
        <w:rPr>
          <w:lang w:val="pl"/>
        </w:rPr>
        <w:t xml:space="preserve">Zasada czterech miesięcy jest autonomiczna i musi być interpretowana oraz stosowana do faktów każdej indywidualnej sprawy, by skutecznie umożliwić skorzystanie z prawa do skargi indywidualnej. Chociaż </w:t>
      </w:r>
      <w:bookmarkStart w:id="125" w:name="bookmark124"/>
      <w:r>
        <w:rPr>
          <w:lang w:val="pl"/>
        </w:rPr>
        <w:t xml:space="preserve">uwzględnienie krajowego prawa i krajowej praktyki stanowi ważny aspekt, nie jest decydujące w ustalaniu momentu rozpoczęcia biegu okresu czterech miesięcy </w:t>
      </w:r>
      <w:hyperlink r:id="rId946" w:history="1">
        <w:r>
          <w:rPr>
            <w:lang w:val="pl"/>
          </w:rPr>
          <w:t>(</w:t>
        </w:r>
        <w:r>
          <w:rPr>
            <w:i/>
            <w:iCs/>
            <w:color w:val="0072BC"/>
            <w:lang w:val="pl"/>
          </w:rPr>
          <w:t xml:space="preserve">Sabri Güneş p. Turcji </w:t>
        </w:r>
      </w:hyperlink>
      <w:r w:rsidR="00DC2406">
        <w:rPr>
          <w:lang w:val="pl"/>
        </w:rPr>
        <w:t>[WI], §§ 52 i </w:t>
      </w:r>
      <w:r>
        <w:rPr>
          <w:lang w:val="pl"/>
        </w:rPr>
        <w:t xml:space="preserve">55). Trybunał uznał na przykład, że wymaganie od skarżącego występującego z dwoma powiązanymi zarzutami, aby wniósł dwie skargi w różnych terminach w celu uwzględnienia określonych przepisów </w:t>
      </w:r>
      <w:r>
        <w:rPr>
          <w:lang w:val="pl"/>
        </w:rPr>
        <w:lastRenderedPageBreak/>
        <w:t xml:space="preserve">proceduralnych prawa krajowego, byłoby przejawem nadmiernego formalizmu w interpretowaniu zasady czteromiesięcznego terminu </w:t>
      </w:r>
      <w:hyperlink r:id="rId947" w:history="1">
        <w:r>
          <w:rPr>
            <w:lang w:val="pl"/>
          </w:rPr>
          <w:t>(</w:t>
        </w:r>
        <w:r>
          <w:rPr>
            <w:i/>
            <w:iCs/>
            <w:color w:val="0072BC"/>
            <w:lang w:val="pl"/>
          </w:rPr>
          <w:t>Sociedad</w:t>
        </w:r>
      </w:hyperlink>
      <w:r>
        <w:rPr>
          <w:i/>
          <w:iCs/>
          <w:color w:val="0072BC"/>
          <w:lang w:val="pl"/>
        </w:rPr>
        <w:t xml:space="preserve"> </w:t>
      </w:r>
      <w:hyperlink r:id="rId948" w:history="1">
        <w:r>
          <w:rPr>
            <w:i/>
            <w:iCs/>
            <w:color w:val="0072BC"/>
            <w:lang w:val="pl"/>
          </w:rPr>
          <w:t>Anónima del Ucieza p. Hiszpanii</w:t>
        </w:r>
        <w:r>
          <w:rPr>
            <w:lang w:val="pl"/>
          </w:rPr>
          <w:t>,</w:t>
        </w:r>
      </w:hyperlink>
      <w:r>
        <w:rPr>
          <w:lang w:val="pl"/>
        </w:rPr>
        <w:t xml:space="preserve"> §§ 43</w:t>
      </w:r>
      <w:r>
        <w:rPr>
          <w:lang w:val="pl"/>
        </w:rPr>
        <w:noBreakHyphen/>
        <w:t>45).</w:t>
      </w:r>
      <w:bookmarkEnd w:id="125"/>
    </w:p>
    <w:p w:rsidR="00B71A20" w:rsidRPr="006B16D2" w:rsidRDefault="006B16D2" w:rsidP="006B16D2">
      <w:pPr>
        <w:pStyle w:val="ECHRHeading5"/>
        <w:rPr>
          <w:rFonts w:asciiTheme="minorHAnsi" w:hAnsiTheme="minorHAnsi"/>
        </w:rPr>
      </w:pPr>
      <w:bookmarkStart w:id="126" w:name="_Toc126660594"/>
      <w:r w:rsidRPr="006B16D2">
        <w:rPr>
          <w:rFonts w:asciiTheme="minorHAnsi" w:hAnsiTheme="minorHAnsi"/>
          <w:lang w:val="pl"/>
        </w:rPr>
        <w:t xml:space="preserve">i.  </w:t>
      </w:r>
      <w:r w:rsidR="000425B4" w:rsidRPr="006B16D2">
        <w:rPr>
          <w:rFonts w:asciiTheme="minorHAnsi" w:hAnsiTheme="minorHAnsi"/>
          <w:lang w:val="pl"/>
        </w:rPr>
        <w:t>Wiedza o decyzji</w:t>
      </w:r>
      <w:bookmarkEnd w:id="126"/>
    </w:p>
    <w:p w:rsidR="00B71A20" w:rsidRPr="000625F6" w:rsidRDefault="000425B4" w:rsidP="001A58EB">
      <w:pPr>
        <w:pStyle w:val="Teksttreci0"/>
        <w:numPr>
          <w:ilvl w:val="0"/>
          <w:numId w:val="36"/>
        </w:numPr>
        <w:tabs>
          <w:tab w:val="left" w:pos="500"/>
        </w:tabs>
        <w:spacing w:before="120" w:after="120"/>
        <w:jc w:val="both"/>
        <w:rPr>
          <w:lang w:val="pl-PL"/>
        </w:rPr>
      </w:pPr>
      <w:r>
        <w:rPr>
          <w:lang w:val="pl"/>
        </w:rPr>
        <w:t xml:space="preserve">Termin czterech miesięcy zaczyna bieg od dnia, w którym skarżący lub jego przedstawiciel powziął wystarczającą wiedzę na temat ostatecznej decyzji podjętej na poziomie krajowym </w:t>
      </w:r>
      <w:hyperlink r:id="rId949" w:history="1">
        <w:r>
          <w:rPr>
            <w:lang w:val="pl"/>
          </w:rPr>
          <w:t>(</w:t>
        </w:r>
        <w:r>
          <w:rPr>
            <w:i/>
            <w:iCs/>
            <w:color w:val="0072BC"/>
            <w:lang w:val="pl"/>
          </w:rPr>
          <w:t>Koç i Tosun p. Turcji</w:t>
        </w:r>
      </w:hyperlink>
      <w:r>
        <w:rPr>
          <w:color w:val="0072BC"/>
          <w:lang w:val="pl"/>
        </w:rPr>
        <w:t xml:space="preserve"> </w:t>
      </w:r>
      <w:r>
        <w:rPr>
          <w:lang w:val="pl"/>
        </w:rPr>
        <w:t>(dec.)).</w:t>
      </w:r>
    </w:p>
    <w:p w:rsidR="00B71A20" w:rsidRPr="000625F6" w:rsidRDefault="000425B4" w:rsidP="00115011">
      <w:pPr>
        <w:pStyle w:val="Teksttreci0"/>
        <w:numPr>
          <w:ilvl w:val="0"/>
          <w:numId w:val="36"/>
        </w:numPr>
        <w:tabs>
          <w:tab w:val="left" w:pos="505"/>
        </w:tabs>
        <w:spacing w:after="240"/>
        <w:jc w:val="both"/>
        <w:rPr>
          <w:lang w:val="pl-PL"/>
        </w:rPr>
      </w:pPr>
      <w:bookmarkStart w:id="127" w:name="bookmark127"/>
      <w:r>
        <w:rPr>
          <w:lang w:val="pl"/>
        </w:rPr>
        <w:t xml:space="preserve">To do państwa powołującego się na niedotrzymanie czteromiesięcznego terminu należy ustalenie momentu, w którym skarżący powziął wiedzę na temat ostatecznej decyzji podjętej na poziomie krajowym </w:t>
      </w:r>
      <w:hyperlink r:id="rId950" w:history="1">
        <w:r>
          <w:rPr>
            <w:lang w:val="pl"/>
          </w:rPr>
          <w:t>(</w:t>
        </w:r>
        <w:r>
          <w:rPr>
            <w:i/>
            <w:iCs/>
            <w:color w:val="0072BC"/>
            <w:lang w:val="pl"/>
          </w:rPr>
          <w:t>Şahmo p. Turcji</w:t>
        </w:r>
      </w:hyperlink>
      <w:r>
        <w:rPr>
          <w:color w:val="0072BC"/>
          <w:lang w:val="pl"/>
        </w:rPr>
        <w:t xml:space="preserve"> </w:t>
      </w:r>
      <w:r>
        <w:rPr>
          <w:lang w:val="pl"/>
        </w:rPr>
        <w:t>(dec.);</w:t>
      </w:r>
      <w:hyperlink r:id="rId951" w:history="1">
        <w:r>
          <w:rPr>
            <w:i/>
            <w:iCs/>
            <w:lang w:val="pl"/>
          </w:rPr>
          <w:t xml:space="preserve"> </w:t>
        </w:r>
        <w:r>
          <w:rPr>
            <w:i/>
            <w:iCs/>
            <w:color w:val="0072BC"/>
            <w:lang w:val="pl"/>
          </w:rPr>
          <w:t>Belozorov p. Rosji i Ukrainie</w:t>
        </w:r>
        <w:r>
          <w:rPr>
            <w:lang w:val="pl"/>
          </w:rPr>
          <w:t>,</w:t>
        </w:r>
      </w:hyperlink>
      <w:r>
        <w:rPr>
          <w:lang w:val="pl"/>
        </w:rPr>
        <w:t xml:space="preserve"> §§ 93</w:t>
      </w:r>
      <w:r>
        <w:rPr>
          <w:lang w:val="pl"/>
        </w:rPr>
        <w:noBreakHyphen/>
        <w:t>97).</w:t>
      </w:r>
      <w:bookmarkEnd w:id="127"/>
    </w:p>
    <w:p w:rsidR="00B71A20" w:rsidRPr="006B16D2" w:rsidRDefault="006B16D2" w:rsidP="006B16D2">
      <w:pPr>
        <w:pStyle w:val="ECHRHeading5"/>
        <w:rPr>
          <w:rFonts w:asciiTheme="minorHAnsi" w:hAnsiTheme="minorHAnsi"/>
        </w:rPr>
      </w:pPr>
      <w:bookmarkStart w:id="128" w:name="_Toc126660595"/>
      <w:r w:rsidRPr="006B16D2">
        <w:rPr>
          <w:rFonts w:asciiTheme="minorHAnsi" w:hAnsiTheme="minorHAnsi"/>
          <w:lang w:val="pl"/>
        </w:rPr>
        <w:t xml:space="preserve">ii.  </w:t>
      </w:r>
      <w:r w:rsidR="000425B4" w:rsidRPr="006B16D2">
        <w:rPr>
          <w:rFonts w:asciiTheme="minorHAnsi" w:hAnsiTheme="minorHAnsi"/>
          <w:lang w:val="pl"/>
        </w:rPr>
        <w:t>Doręczenie decyzji</w:t>
      </w:r>
      <w:bookmarkEnd w:id="128"/>
    </w:p>
    <w:p w:rsidR="00B71A20" w:rsidRPr="000625F6" w:rsidRDefault="000425B4" w:rsidP="00190639">
      <w:pPr>
        <w:pStyle w:val="Teksttreci0"/>
        <w:numPr>
          <w:ilvl w:val="0"/>
          <w:numId w:val="37"/>
        </w:numPr>
        <w:tabs>
          <w:tab w:val="left" w:pos="505"/>
        </w:tabs>
        <w:spacing w:before="120" w:after="120"/>
        <w:jc w:val="both"/>
        <w:rPr>
          <w:lang w:val="pl-PL"/>
        </w:rPr>
      </w:pPr>
      <w:r>
        <w:rPr>
          <w:lang w:val="pl"/>
        </w:rPr>
        <w:t xml:space="preserve">Doręczenie skarżącemu: Jeśli skarżący jest z urzędu uprawniony do otrzymania odpisu ostatecznej decyzji podjętej na poziomie krajowym, przedmiot i cel art. 35 ust. 1 Konwencji są najlepiej spełnione, jeżeli bieg czterech miesięcy jest liczony od daty doręczenia odpisu tej decyzji </w:t>
      </w:r>
      <w:hyperlink r:id="rId952" w:history="1">
        <w:r>
          <w:rPr>
            <w:lang w:val="pl"/>
          </w:rPr>
          <w:t>(</w:t>
        </w:r>
        <w:r>
          <w:rPr>
            <w:i/>
            <w:iCs/>
            <w:color w:val="0072BC"/>
            <w:lang w:val="pl"/>
          </w:rPr>
          <w:t>Worm p. Austrii</w:t>
        </w:r>
        <w:r>
          <w:rPr>
            <w:lang w:val="pl"/>
          </w:rPr>
          <w:t>,</w:t>
        </w:r>
      </w:hyperlink>
      <w:r>
        <w:rPr>
          <w:lang w:val="pl"/>
        </w:rPr>
        <w:t xml:space="preserve"> § 33), bez względu na to, czy została ona wcześniej przekazana ustnie </w:t>
      </w:r>
      <w:hyperlink r:id="rId953" w:history="1">
        <w:r>
          <w:rPr>
            <w:lang w:val="pl"/>
          </w:rPr>
          <w:t>(</w:t>
        </w:r>
        <w:r>
          <w:rPr>
            <w:i/>
            <w:iCs/>
            <w:color w:val="0072BC"/>
            <w:lang w:val="pl"/>
          </w:rPr>
          <w:t>Akif Hasanov p. Azerbejdżanowi</w:t>
        </w:r>
        <w:r>
          <w:rPr>
            <w:lang w:val="pl"/>
          </w:rPr>
          <w:t xml:space="preserve">, </w:t>
        </w:r>
      </w:hyperlink>
      <w:r>
        <w:rPr>
          <w:lang w:val="pl"/>
        </w:rPr>
        <w:t>§ 27).</w:t>
      </w:r>
    </w:p>
    <w:p w:rsidR="00B71A20" w:rsidRPr="000625F6" w:rsidRDefault="000425B4" w:rsidP="00115011">
      <w:pPr>
        <w:pStyle w:val="Teksttreci0"/>
        <w:numPr>
          <w:ilvl w:val="0"/>
          <w:numId w:val="37"/>
        </w:numPr>
        <w:tabs>
          <w:tab w:val="left" w:pos="500"/>
        </w:tabs>
        <w:spacing w:after="240"/>
        <w:jc w:val="both"/>
        <w:rPr>
          <w:lang w:val="pl-PL"/>
        </w:rPr>
      </w:pPr>
      <w:bookmarkStart w:id="129" w:name="bookmark130"/>
      <w:r>
        <w:rPr>
          <w:lang w:val="pl"/>
        </w:rPr>
        <w:t xml:space="preserve">Doręczenie adwokatowi: Termin czteromiesięczny zaczyna bieg od dnia, w którym adwokat skarżącego uzyskał wiedzę na temat decyzji stanowiącej wyczerpanie krajowych środków odwoławczych, bez względu na fakt, że skarżący zapoznał się z nią później </w:t>
      </w:r>
      <w:hyperlink r:id="rId954" w:history="1">
        <w:r>
          <w:rPr>
            <w:lang w:val="pl"/>
          </w:rPr>
          <w:t>(</w:t>
        </w:r>
        <w:r>
          <w:rPr>
            <w:i/>
            <w:iCs/>
            <w:color w:val="0072BC"/>
            <w:lang w:val="pl"/>
          </w:rPr>
          <w:t>Çelik p. Turcji</w:t>
        </w:r>
      </w:hyperlink>
      <w:r>
        <w:rPr>
          <w:color w:val="0072BC"/>
          <w:lang w:val="pl"/>
        </w:rPr>
        <w:t xml:space="preserve"> </w:t>
      </w:r>
      <w:r>
        <w:rPr>
          <w:lang w:val="pl"/>
        </w:rPr>
        <w:t>(dec.)).</w:t>
      </w:r>
      <w:bookmarkEnd w:id="129"/>
    </w:p>
    <w:p w:rsidR="00B71A20" w:rsidRPr="006B16D2" w:rsidRDefault="006B16D2" w:rsidP="006B16D2">
      <w:pPr>
        <w:pStyle w:val="ECHRHeading5"/>
        <w:rPr>
          <w:rFonts w:asciiTheme="minorHAnsi" w:hAnsiTheme="minorHAnsi"/>
        </w:rPr>
      </w:pPr>
      <w:bookmarkStart w:id="130" w:name="_Toc126660596"/>
      <w:r w:rsidRPr="006B16D2">
        <w:rPr>
          <w:rFonts w:asciiTheme="minorHAnsi" w:hAnsiTheme="minorHAnsi"/>
          <w:lang w:val="pl"/>
        </w:rPr>
        <w:t xml:space="preserve">iii.  </w:t>
      </w:r>
      <w:r w:rsidR="000425B4" w:rsidRPr="006B16D2">
        <w:rPr>
          <w:rFonts w:asciiTheme="minorHAnsi" w:hAnsiTheme="minorHAnsi"/>
          <w:lang w:val="pl"/>
        </w:rPr>
        <w:t>Brak doręczenia decyzji</w:t>
      </w:r>
      <w:bookmarkEnd w:id="130"/>
    </w:p>
    <w:p w:rsidR="00B71A20" w:rsidRPr="000625F6" w:rsidRDefault="000425B4" w:rsidP="00190639">
      <w:pPr>
        <w:pStyle w:val="Teksttreci0"/>
        <w:numPr>
          <w:ilvl w:val="0"/>
          <w:numId w:val="38"/>
        </w:numPr>
        <w:tabs>
          <w:tab w:val="left" w:pos="505"/>
        </w:tabs>
        <w:spacing w:before="120" w:after="240"/>
        <w:jc w:val="both"/>
        <w:rPr>
          <w:lang w:val="pl-PL"/>
        </w:rPr>
      </w:pPr>
      <w:bookmarkStart w:id="131" w:name="bookmark133"/>
      <w:r>
        <w:rPr>
          <w:lang w:val="pl"/>
        </w:rPr>
        <w:t xml:space="preserve">W przypadku gdy prawo krajowe nie przewiduje doręczenia orzeczenia jako punkt wyjścia należy zastosować datę jego wydania, tj. moment, w którym strony z całą pewnością miały możliwość zapoznania się z jego treścią </w:t>
      </w:r>
      <w:hyperlink r:id="rId955" w:history="1">
        <w:r>
          <w:rPr>
            <w:lang w:val="pl"/>
          </w:rPr>
          <w:t>(</w:t>
        </w:r>
        <w:r>
          <w:rPr>
            <w:i/>
            <w:iCs/>
            <w:color w:val="0072BC"/>
            <w:lang w:val="pl"/>
          </w:rPr>
          <w:t xml:space="preserve">Papachelas p. Grecji </w:t>
        </w:r>
      </w:hyperlink>
      <w:r>
        <w:rPr>
          <w:lang w:val="pl"/>
        </w:rPr>
        <w:t xml:space="preserve">[WI], § 30). Skarżący lub jego pełnomocnik procesowy muszą wykazać się należytą starannością w zakresie uzyskania z kancelarii sądu odpisu orzeczenia </w:t>
      </w:r>
      <w:hyperlink r:id="rId956" w:history="1">
        <w:r>
          <w:rPr>
            <w:lang w:val="pl"/>
          </w:rPr>
          <w:t>(</w:t>
        </w:r>
        <w:r>
          <w:rPr>
            <w:i/>
            <w:iCs/>
            <w:color w:val="0072BC"/>
            <w:lang w:val="pl"/>
          </w:rPr>
          <w:t>Ölmez p. Turcji</w:t>
        </w:r>
      </w:hyperlink>
      <w:r>
        <w:rPr>
          <w:color w:val="0072BC"/>
          <w:lang w:val="pl"/>
        </w:rPr>
        <w:t xml:space="preserve"> </w:t>
      </w:r>
      <w:r>
        <w:rPr>
          <w:lang w:val="pl"/>
        </w:rPr>
        <w:t>(dec.)). Jeśli orzeczenia nie doręczono, mimo że prawo krajowe określa trzydniowy termin na rozpatrzenie odwołania, skarżący nie może zaniechać wszelkiego działania. Ciąży na nim obowiązek osobistego podjęcia podstawowych czynności i zwróce</w:t>
      </w:r>
      <w:r w:rsidR="00DC2406">
        <w:rPr>
          <w:lang w:val="pl"/>
        </w:rPr>
        <w:t>nia się do właściwych organów o </w:t>
      </w:r>
      <w:r>
        <w:rPr>
          <w:lang w:val="pl"/>
        </w:rPr>
        <w:t xml:space="preserve">informacje na temat rezultatu odwołania </w:t>
      </w:r>
      <w:hyperlink r:id="rId957" w:history="1">
        <w:r>
          <w:rPr>
            <w:lang w:val="pl"/>
          </w:rPr>
          <w:t>(</w:t>
        </w:r>
        <w:r>
          <w:rPr>
            <w:i/>
            <w:iCs/>
            <w:color w:val="0072BC"/>
            <w:lang w:val="pl"/>
          </w:rPr>
          <w:t>Akif Hasanov p. Azerbejdżanowi</w:t>
        </w:r>
        <w:r>
          <w:rPr>
            <w:lang w:val="pl"/>
          </w:rPr>
          <w:t>,</w:t>
        </w:r>
      </w:hyperlink>
      <w:r>
        <w:rPr>
          <w:lang w:val="pl"/>
        </w:rPr>
        <w:t xml:space="preserve"> §§ 28-33).</w:t>
      </w:r>
      <w:bookmarkEnd w:id="131"/>
    </w:p>
    <w:p w:rsidR="00B71A20" w:rsidRPr="006B16D2" w:rsidRDefault="006B16D2" w:rsidP="006B16D2">
      <w:pPr>
        <w:pStyle w:val="ECHRHeading5"/>
        <w:rPr>
          <w:rFonts w:asciiTheme="minorHAnsi" w:hAnsiTheme="minorHAnsi"/>
          <w:lang w:val="pl-PL"/>
        </w:rPr>
      </w:pPr>
      <w:bookmarkStart w:id="132" w:name="_Toc126660597"/>
      <w:r w:rsidRPr="006B16D2">
        <w:rPr>
          <w:rFonts w:asciiTheme="minorHAnsi" w:hAnsiTheme="minorHAnsi"/>
          <w:lang w:val="pl"/>
        </w:rPr>
        <w:t xml:space="preserve">iv.  </w:t>
      </w:r>
      <w:r w:rsidR="000425B4" w:rsidRPr="006B16D2">
        <w:rPr>
          <w:rFonts w:asciiTheme="minorHAnsi" w:hAnsiTheme="minorHAnsi"/>
          <w:lang w:val="pl"/>
        </w:rPr>
        <w:t>Brak dostępnych środków odwoławczych</w:t>
      </w:r>
      <w:bookmarkEnd w:id="132"/>
    </w:p>
    <w:p w:rsidR="00B71A20" w:rsidRPr="000625F6" w:rsidRDefault="000425B4" w:rsidP="00190639">
      <w:pPr>
        <w:pStyle w:val="Teksttreci0"/>
        <w:numPr>
          <w:ilvl w:val="0"/>
          <w:numId w:val="39"/>
        </w:numPr>
        <w:tabs>
          <w:tab w:val="left" w:pos="510"/>
        </w:tabs>
        <w:spacing w:before="120" w:after="120"/>
        <w:jc w:val="both"/>
        <w:rPr>
          <w:lang w:val="pl-PL"/>
        </w:rPr>
      </w:pPr>
      <w:r>
        <w:rPr>
          <w:lang w:val="pl"/>
        </w:rPr>
        <w:t xml:space="preserve">Należy pamiętać, że wymogi art. 35 ust. 1 dotyczące wyczerpania krajowych środków odwoławczych i czteromiesięcznego terminu są ze sobą ściśle powiązane </w:t>
      </w:r>
      <w:hyperlink r:id="rId958" w:history="1">
        <w:r>
          <w:rPr>
            <w:lang w:val="pl"/>
          </w:rPr>
          <w:t>(</w:t>
        </w:r>
        <w:r>
          <w:rPr>
            <w:i/>
            <w:iCs/>
            <w:color w:val="0072BC"/>
            <w:lang w:val="pl"/>
          </w:rPr>
          <w:t>Jeronovičs</w:t>
        </w:r>
      </w:hyperlink>
      <w:r>
        <w:rPr>
          <w:i/>
          <w:iCs/>
          <w:color w:val="0072BC"/>
          <w:lang w:val="pl"/>
        </w:rPr>
        <w:t xml:space="preserve"> </w:t>
      </w:r>
      <w:hyperlink r:id="rId959" w:history="1">
        <w:r>
          <w:rPr>
            <w:i/>
            <w:iCs/>
            <w:color w:val="0072BC"/>
            <w:lang w:val="pl"/>
          </w:rPr>
          <w:t xml:space="preserve">p. Łotwie </w:t>
        </w:r>
      </w:hyperlink>
      <w:r>
        <w:rPr>
          <w:lang w:val="pl"/>
        </w:rPr>
        <w:t>[WI], § 75;</w:t>
      </w:r>
      <w:hyperlink r:id="rId960" w:history="1">
        <w:r>
          <w:rPr>
            <w:i/>
            <w:iCs/>
            <w:lang w:val="pl"/>
          </w:rPr>
          <w:t xml:space="preserve"> </w:t>
        </w:r>
        <w:r>
          <w:rPr>
            <w:i/>
            <w:iCs/>
            <w:color w:val="0072BC"/>
            <w:lang w:val="pl"/>
          </w:rPr>
          <w:t xml:space="preserve">Lopes de Sousa Fernandes p. Portugalii </w:t>
        </w:r>
      </w:hyperlink>
      <w:r>
        <w:rPr>
          <w:lang w:val="pl"/>
        </w:rPr>
        <w:t xml:space="preserve">[WI], § 130). Jeżeli od samego początku jest oczywiste, że skarżący nie dysponuje skutecznym środkiem odwoławczym, termin czterech miesięcy biegnie od dnia, w którym miało miejsce zdarzenie będące przedmiotem skargi, lub od dnia, w którym skarżący został bezpośrednio przez takie zdarzenie dotknięty lub uzyskał wiedzę na temat tego zdarzenia bądź jego negatywnych skutków </w:t>
      </w:r>
      <w:hyperlink r:id="rId961" w:history="1">
        <w:r>
          <w:rPr>
            <w:lang w:val="pl"/>
          </w:rPr>
          <w:t>(</w:t>
        </w:r>
        <w:r>
          <w:rPr>
            <w:i/>
            <w:iCs/>
            <w:color w:val="0072BC"/>
            <w:lang w:val="pl"/>
          </w:rPr>
          <w:t>Dennis i Inni p.</w:t>
        </w:r>
      </w:hyperlink>
      <w:r>
        <w:rPr>
          <w:i/>
          <w:iCs/>
          <w:color w:val="0072BC"/>
          <w:lang w:val="pl"/>
        </w:rPr>
        <w:t xml:space="preserve"> </w:t>
      </w:r>
      <w:hyperlink r:id="rId962" w:history="1">
        <w:r>
          <w:rPr>
            <w:i/>
            <w:iCs/>
            <w:color w:val="0072BC"/>
            <w:lang w:val="pl"/>
          </w:rPr>
          <w:t xml:space="preserve">Wielkiej Brytanii </w:t>
        </w:r>
      </w:hyperlink>
      <w:r>
        <w:rPr>
          <w:lang w:val="pl"/>
        </w:rPr>
        <w:t>(dec.);</w:t>
      </w:r>
      <w:hyperlink r:id="rId963" w:history="1">
        <w:r>
          <w:rPr>
            <w:lang w:val="pl"/>
          </w:rPr>
          <w:t xml:space="preserve"> </w:t>
        </w:r>
        <w:r>
          <w:rPr>
            <w:i/>
            <w:iCs/>
            <w:color w:val="0072BC"/>
            <w:lang w:val="pl"/>
          </w:rPr>
          <w:t xml:space="preserve">Varnava i Inni p. Turcji </w:t>
        </w:r>
      </w:hyperlink>
      <w:r>
        <w:rPr>
          <w:lang w:val="pl"/>
        </w:rPr>
        <w:t>[WI], § 157;</w:t>
      </w:r>
      <w:hyperlink r:id="rId964" w:history="1">
        <w:r>
          <w:rPr>
            <w:lang w:val="pl"/>
          </w:rPr>
          <w:t xml:space="preserve"> </w:t>
        </w:r>
        <w:r>
          <w:rPr>
            <w:i/>
            <w:iCs/>
            <w:color w:val="0072BC"/>
            <w:lang w:val="pl"/>
          </w:rPr>
          <w:t>Aydarov i Inni p. Bułgarii</w:t>
        </w:r>
      </w:hyperlink>
      <w:r>
        <w:rPr>
          <w:color w:val="0072BC"/>
          <w:lang w:val="pl"/>
        </w:rPr>
        <w:t xml:space="preserve"> </w:t>
      </w:r>
      <w:r>
        <w:rPr>
          <w:lang w:val="pl"/>
        </w:rPr>
        <w:t>(dec.), § 90).</w:t>
      </w:r>
    </w:p>
    <w:p w:rsidR="00B71A20" w:rsidRPr="000625F6" w:rsidRDefault="000425B4" w:rsidP="00115011">
      <w:pPr>
        <w:pStyle w:val="Teksttreci0"/>
        <w:numPr>
          <w:ilvl w:val="0"/>
          <w:numId w:val="39"/>
        </w:numPr>
        <w:tabs>
          <w:tab w:val="left" w:pos="505"/>
        </w:tabs>
        <w:spacing w:after="240"/>
        <w:jc w:val="both"/>
        <w:rPr>
          <w:lang w:val="pl-PL"/>
        </w:rPr>
      </w:pPr>
      <w:r>
        <w:rPr>
          <w:lang w:val="pl"/>
        </w:rPr>
        <w:t xml:space="preserve">Jeżeli skarżący korzysta z pozornie istniejącego środka odwoławczego i dopiero później zyska wiedzę o okolicznościach powodujących jego nieskuteczność, za rozpoczęcie biegu czteromiesięcznego terminu można uznać moment, w którym skarżący </w:t>
      </w:r>
      <w:bookmarkStart w:id="133" w:name="bookmark136"/>
      <w:r>
        <w:rPr>
          <w:lang w:val="pl"/>
        </w:rPr>
        <w:t xml:space="preserve">uzyskał lub powinien był uzyskać wiedzę o istnieniu tych okoliczności </w:t>
      </w:r>
      <w:hyperlink r:id="rId965" w:history="1">
        <w:r>
          <w:rPr>
            <w:lang w:val="pl"/>
          </w:rPr>
          <w:t>(</w:t>
        </w:r>
        <w:r>
          <w:rPr>
            <w:i/>
            <w:iCs/>
            <w:color w:val="0072BC"/>
            <w:lang w:val="pl"/>
          </w:rPr>
          <w:t>Varnava i Inni p. Turcji</w:t>
        </w:r>
        <w:r>
          <w:rPr>
            <w:color w:val="0072BC"/>
            <w:lang w:val="pl"/>
          </w:rPr>
          <w:t xml:space="preserve"> </w:t>
        </w:r>
      </w:hyperlink>
      <w:r>
        <w:rPr>
          <w:lang w:val="pl"/>
        </w:rPr>
        <w:t>[WI], §§ 157-158;</w:t>
      </w:r>
      <w:hyperlink r:id="rId966" w:history="1">
        <w:r>
          <w:rPr>
            <w:lang w:val="pl"/>
          </w:rPr>
          <w:t xml:space="preserve"> </w:t>
        </w:r>
        <w:r>
          <w:rPr>
            <w:i/>
            <w:iCs/>
            <w:color w:val="0072BC"/>
            <w:lang w:val="pl"/>
          </w:rPr>
          <w:t xml:space="preserve">Jeronovičs p. Łotwie </w:t>
        </w:r>
      </w:hyperlink>
      <w:r>
        <w:rPr>
          <w:lang w:val="pl"/>
        </w:rPr>
        <w:t>[WI], § 75;</w:t>
      </w:r>
      <w:hyperlink r:id="rId967" w:history="1">
        <w:r>
          <w:rPr>
            <w:lang w:val="pl"/>
          </w:rPr>
          <w:t xml:space="preserve"> </w:t>
        </w:r>
        <w:r>
          <w:rPr>
            <w:i/>
            <w:iCs/>
            <w:color w:val="0072BC"/>
            <w:lang w:val="pl"/>
          </w:rPr>
          <w:t>Zubkov i Inni p. Rosji</w:t>
        </w:r>
        <w:r>
          <w:rPr>
            <w:lang w:val="pl"/>
          </w:rPr>
          <w:t>,</w:t>
        </w:r>
      </w:hyperlink>
      <w:r>
        <w:rPr>
          <w:lang w:val="pl"/>
        </w:rPr>
        <w:t xml:space="preserve"> §§ 105</w:t>
      </w:r>
      <w:r>
        <w:rPr>
          <w:lang w:val="pl"/>
        </w:rPr>
        <w:noBreakHyphen/>
        <w:t>109)</w:t>
      </w:r>
      <w:r>
        <w:rPr>
          <w:i/>
          <w:iCs/>
          <w:lang w:val="pl"/>
        </w:rPr>
        <w:t>.</w:t>
      </w:r>
      <w:bookmarkEnd w:id="133"/>
    </w:p>
    <w:p w:rsidR="00B71A20" w:rsidRPr="005A51CE" w:rsidRDefault="005A51CE" w:rsidP="005A51CE">
      <w:pPr>
        <w:pStyle w:val="ECHRHeading5"/>
        <w:rPr>
          <w:rFonts w:asciiTheme="minorHAnsi" w:hAnsiTheme="minorHAnsi"/>
        </w:rPr>
      </w:pPr>
      <w:bookmarkStart w:id="134" w:name="_Toc126660598"/>
      <w:r w:rsidRPr="005A51CE">
        <w:rPr>
          <w:rFonts w:asciiTheme="minorHAnsi" w:hAnsiTheme="minorHAnsi"/>
          <w:lang w:val="pl"/>
        </w:rPr>
        <w:t xml:space="preserve">v.  </w:t>
      </w:r>
      <w:r w:rsidR="000425B4" w:rsidRPr="005A51CE">
        <w:rPr>
          <w:rFonts w:asciiTheme="minorHAnsi" w:hAnsiTheme="minorHAnsi"/>
          <w:lang w:val="pl"/>
        </w:rPr>
        <w:t>Sytuacja utrzymująca się</w:t>
      </w:r>
      <w:bookmarkEnd w:id="134"/>
    </w:p>
    <w:p w:rsidR="00B71A20" w:rsidRPr="000625F6" w:rsidRDefault="000425B4" w:rsidP="00190639">
      <w:pPr>
        <w:pStyle w:val="Teksttreci0"/>
        <w:numPr>
          <w:ilvl w:val="0"/>
          <w:numId w:val="40"/>
        </w:numPr>
        <w:tabs>
          <w:tab w:val="left" w:pos="505"/>
        </w:tabs>
        <w:spacing w:before="120" w:after="120"/>
        <w:jc w:val="both"/>
        <w:rPr>
          <w:lang w:val="pl-PL"/>
        </w:rPr>
      </w:pPr>
      <w:r>
        <w:rPr>
          <w:lang w:val="pl"/>
        </w:rPr>
        <w:t xml:space="preserve">Pojęcie „sytuacji utrzymującej się” odnosi się do stanu rzeczy polegającego na ciągłym podejmowaniu przez państwo lub w jego imieniu działań, których ofiarami stają się skarżący. Sytuacja </w:t>
      </w:r>
      <w:r>
        <w:rPr>
          <w:lang w:val="pl"/>
        </w:rPr>
        <w:lastRenderedPageBreak/>
        <w:t>utrzymująca się może być też bezpośrednim następstwem wprowa</w:t>
      </w:r>
      <w:r w:rsidR="00DC2406">
        <w:rPr>
          <w:lang w:val="pl"/>
        </w:rPr>
        <w:t>dzenia przepisów, które godzą w </w:t>
      </w:r>
      <w:r>
        <w:rPr>
          <w:lang w:val="pl"/>
        </w:rPr>
        <w:t xml:space="preserve">życie prywatne skarżącego </w:t>
      </w:r>
      <w:hyperlink r:id="rId968" w:history="1">
        <w:r>
          <w:rPr>
            <w:lang w:val="pl"/>
          </w:rPr>
          <w:t>(</w:t>
        </w:r>
        <w:r>
          <w:rPr>
            <w:i/>
            <w:iCs/>
            <w:color w:val="0072BC"/>
            <w:lang w:val="pl"/>
          </w:rPr>
          <w:t xml:space="preserve">S.A.S. p. Francji </w:t>
        </w:r>
      </w:hyperlink>
      <w:r>
        <w:rPr>
          <w:lang w:val="pl"/>
        </w:rPr>
        <w:t>[WI], § 110;</w:t>
      </w:r>
      <w:hyperlink r:id="rId969" w:history="1">
        <w:r>
          <w:rPr>
            <w:i/>
            <w:iCs/>
            <w:lang w:val="pl"/>
          </w:rPr>
          <w:t xml:space="preserve"> </w:t>
        </w:r>
        <w:r>
          <w:rPr>
            <w:i/>
            <w:iCs/>
            <w:color w:val="0072BC"/>
            <w:lang w:val="pl"/>
          </w:rPr>
          <w:t xml:space="preserve">Parrillo p. Włochom </w:t>
        </w:r>
      </w:hyperlink>
      <w:r>
        <w:rPr>
          <w:lang w:val="pl"/>
        </w:rPr>
        <w:t>[WI], §§ 109</w:t>
      </w:r>
      <w:r>
        <w:rPr>
          <w:lang w:val="pl"/>
        </w:rPr>
        <w:noBreakHyphen/>
        <w:t xml:space="preserve">114). Fakt, że zdarzenie z upływem czasu niesie ze sobą istotne konsekwencje, nie oznacza, że mamy do czynienia z „sytuacją utrzymującą się” </w:t>
      </w:r>
      <w:hyperlink r:id="rId970" w:history="1">
        <w:r>
          <w:rPr>
            <w:lang w:val="pl"/>
          </w:rPr>
          <w:t>(</w:t>
        </w:r>
        <w:r>
          <w:rPr>
            <w:i/>
            <w:iCs/>
            <w:color w:val="0072BC"/>
            <w:lang w:val="pl"/>
          </w:rPr>
          <w:t>Iordache p. Rumunii</w:t>
        </w:r>
        <w:r>
          <w:rPr>
            <w:lang w:val="pl"/>
          </w:rPr>
          <w:t>,</w:t>
        </w:r>
      </w:hyperlink>
      <w:r>
        <w:rPr>
          <w:lang w:val="pl"/>
        </w:rPr>
        <w:t xml:space="preserve"> § 49;</w:t>
      </w:r>
      <w:hyperlink r:id="rId971" w:history="1">
        <w:r>
          <w:rPr>
            <w:i/>
            <w:iCs/>
            <w:lang w:val="pl"/>
          </w:rPr>
          <w:t xml:space="preserve"> </w:t>
        </w:r>
        <w:r>
          <w:rPr>
            <w:i/>
            <w:iCs/>
            <w:color w:val="0072BC"/>
            <w:lang w:val="pl"/>
          </w:rPr>
          <w:t>Călin i Inni p. Rumunii</w:t>
        </w:r>
        <w:r>
          <w:rPr>
            <w:lang w:val="pl"/>
          </w:rPr>
          <w:t>,</w:t>
        </w:r>
      </w:hyperlink>
      <w:r>
        <w:rPr>
          <w:lang w:val="pl"/>
        </w:rPr>
        <w:t xml:space="preserve"> §§ 58-60).</w:t>
      </w:r>
    </w:p>
    <w:p w:rsidR="00B71A20" w:rsidRPr="000625F6" w:rsidRDefault="000425B4" w:rsidP="00115011">
      <w:pPr>
        <w:pStyle w:val="Teksttreci0"/>
        <w:numPr>
          <w:ilvl w:val="0"/>
          <w:numId w:val="40"/>
        </w:numPr>
        <w:tabs>
          <w:tab w:val="left" w:pos="510"/>
        </w:tabs>
        <w:spacing w:after="120"/>
        <w:jc w:val="both"/>
        <w:rPr>
          <w:lang w:val="pl-PL"/>
        </w:rPr>
      </w:pPr>
      <w:r>
        <w:rPr>
          <w:lang w:val="pl"/>
        </w:rPr>
        <w:t>Powtarzanie się takich samych zdarzeń, przy braku wyraźnego zróżnicowania warunków, na jakie systematycznie narażano skarżącego, w opinii Trybunału stanowił</w:t>
      </w:r>
      <w:r w:rsidR="00DC2406">
        <w:rPr>
          <w:lang w:val="pl"/>
        </w:rPr>
        <w:t>o „sytuację utrzymującą się”, w </w:t>
      </w:r>
      <w:r>
        <w:rPr>
          <w:lang w:val="pl"/>
        </w:rPr>
        <w:t xml:space="preserve">związku z czym kompetencja Trybunału rozciągała się na cały okres objęty skargą </w:t>
      </w:r>
      <w:hyperlink r:id="rId972" w:history="1">
        <w:r>
          <w:rPr>
            <w:lang w:val="pl"/>
          </w:rPr>
          <w:t>(</w:t>
        </w:r>
        <w:r>
          <w:rPr>
            <w:i/>
            <w:iCs/>
            <w:color w:val="0072BC"/>
            <w:lang w:val="pl"/>
          </w:rPr>
          <w:t>Fetisov i Inni p. Rosji</w:t>
        </w:r>
        <w:r>
          <w:rPr>
            <w:lang w:val="pl"/>
          </w:rPr>
          <w:t>,</w:t>
        </w:r>
      </w:hyperlink>
      <w:r>
        <w:rPr>
          <w:lang w:val="pl"/>
        </w:rPr>
        <w:t xml:space="preserve"> § 75 i cytowane tam odniesienia, sprawa dotycząca warunków transportu z zakładu karnego do sądu;</w:t>
      </w:r>
      <w:hyperlink r:id="rId973" w:history="1">
        <w:r>
          <w:rPr>
            <w:i/>
            <w:iCs/>
            <w:lang w:val="pl"/>
          </w:rPr>
          <w:t xml:space="preserve"> </w:t>
        </w:r>
        <w:r>
          <w:rPr>
            <w:i/>
            <w:iCs/>
            <w:color w:val="0072BC"/>
            <w:lang w:val="pl"/>
          </w:rPr>
          <w:t xml:space="preserve">Svinarenko i Slydanev p. Rosji </w:t>
        </w:r>
      </w:hyperlink>
      <w:r>
        <w:rPr>
          <w:lang w:val="pl"/>
        </w:rPr>
        <w:t>[WI], §§ 86</w:t>
      </w:r>
      <w:r>
        <w:rPr>
          <w:lang w:val="pl"/>
        </w:rPr>
        <w:noBreakHyphen/>
        <w:t>87, sprawa dotycząca stosowania metalowej klatki, w której oskarżeni byli przetrzymywani podczas procesu karnego;</w:t>
      </w:r>
      <w:hyperlink r:id="rId974" w:history="1">
        <w:r>
          <w:rPr>
            <w:i/>
            <w:iCs/>
            <w:lang w:val="pl"/>
          </w:rPr>
          <w:t xml:space="preserve"> </w:t>
        </w:r>
        <w:r>
          <w:rPr>
            <w:i/>
            <w:iCs/>
            <w:color w:val="0072BC"/>
            <w:lang w:val="pl"/>
          </w:rPr>
          <w:t>Chaldayev p. Rosji</w:t>
        </w:r>
        <w:r>
          <w:rPr>
            <w:lang w:val="pl"/>
          </w:rPr>
          <w:t>,</w:t>
        </w:r>
      </w:hyperlink>
      <w:r>
        <w:rPr>
          <w:lang w:val="pl"/>
        </w:rPr>
        <w:t xml:space="preserve"> §§ 54</w:t>
      </w:r>
      <w:r>
        <w:rPr>
          <w:lang w:val="pl"/>
        </w:rPr>
        <w:noBreakHyphen/>
        <w:t>57, sprawa dotycząca warunków widzeń w zakładzie karnym;</w:t>
      </w:r>
      <w:hyperlink r:id="rId975" w:history="1">
        <w:r>
          <w:rPr>
            <w:i/>
            <w:iCs/>
            <w:lang w:val="pl"/>
          </w:rPr>
          <w:t xml:space="preserve"> </w:t>
        </w:r>
        <w:r>
          <w:rPr>
            <w:i/>
            <w:iCs/>
            <w:color w:val="0072BC"/>
            <w:lang w:val="pl"/>
          </w:rPr>
          <w:t>Shlykov i Inni p. Rosji</w:t>
        </w:r>
        <w:r>
          <w:rPr>
            <w:lang w:val="pl"/>
          </w:rPr>
          <w:t xml:space="preserve">, </w:t>
        </w:r>
      </w:hyperlink>
      <w:r>
        <w:rPr>
          <w:lang w:val="pl"/>
        </w:rPr>
        <w:t>§§ 60-65, sprawa dotycząca zakładania kajdanek więźniom odbywającym karę dożywotniego pozbawienia wolności za każdym razem, gdy opuszczali celę).</w:t>
      </w:r>
    </w:p>
    <w:p w:rsidR="00B71A20" w:rsidRPr="000625F6" w:rsidRDefault="000425B4" w:rsidP="00115011">
      <w:pPr>
        <w:pStyle w:val="Teksttreci0"/>
        <w:numPr>
          <w:ilvl w:val="0"/>
          <w:numId w:val="40"/>
        </w:numPr>
        <w:tabs>
          <w:tab w:val="left" w:pos="505"/>
        </w:tabs>
        <w:spacing w:after="120"/>
        <w:jc w:val="both"/>
        <w:rPr>
          <w:lang w:val="pl-PL"/>
        </w:rPr>
      </w:pPr>
      <w:r>
        <w:rPr>
          <w:lang w:val="pl"/>
        </w:rPr>
        <w:t xml:space="preserve">Jeżeli zarzucane naruszenie stanowi sytuację powtarzającą się i nie istnieją w związku z nim krajowe środki odwoławcze, termin czterech miesięcy biegnie od jego zakończenia </w:t>
      </w:r>
      <w:hyperlink r:id="rId976" w:history="1">
        <w:r>
          <w:rPr>
            <w:lang w:val="pl"/>
          </w:rPr>
          <w:t>(</w:t>
        </w:r>
        <w:r>
          <w:rPr>
            <w:i/>
            <w:iCs/>
            <w:color w:val="0072BC"/>
            <w:lang w:val="pl"/>
          </w:rPr>
          <w:t>Sabri</w:t>
        </w:r>
      </w:hyperlink>
      <w:r>
        <w:rPr>
          <w:i/>
          <w:iCs/>
          <w:color w:val="0072BC"/>
          <w:lang w:val="pl"/>
        </w:rPr>
        <w:t xml:space="preserve"> </w:t>
      </w:r>
      <w:hyperlink r:id="rId977" w:history="1">
        <w:r>
          <w:rPr>
            <w:i/>
            <w:iCs/>
            <w:color w:val="0072BC"/>
            <w:lang w:val="pl"/>
          </w:rPr>
          <w:t>Güneş p.</w:t>
        </w:r>
        <w:r w:rsidR="00DC2406">
          <w:rPr>
            <w:i/>
            <w:iCs/>
            <w:color w:val="0072BC"/>
            <w:lang w:val="pl"/>
          </w:rPr>
          <w:t> </w:t>
        </w:r>
        <w:r>
          <w:rPr>
            <w:i/>
            <w:iCs/>
            <w:color w:val="0072BC"/>
            <w:lang w:val="pl"/>
          </w:rPr>
          <w:t xml:space="preserve">Turcji </w:t>
        </w:r>
      </w:hyperlink>
      <w:r>
        <w:rPr>
          <w:lang w:val="pl"/>
        </w:rPr>
        <w:t>[WI], § 54;</w:t>
      </w:r>
      <w:hyperlink r:id="rId978" w:history="1">
        <w:r>
          <w:rPr>
            <w:i/>
            <w:iCs/>
            <w:lang w:val="pl"/>
          </w:rPr>
          <w:t xml:space="preserve"> </w:t>
        </w:r>
        <w:r>
          <w:rPr>
            <w:i/>
            <w:iCs/>
            <w:color w:val="0072BC"/>
            <w:lang w:val="pl"/>
          </w:rPr>
          <w:t xml:space="preserve">Varnava i Inni p. Turcji </w:t>
        </w:r>
      </w:hyperlink>
      <w:r>
        <w:rPr>
          <w:lang w:val="pl"/>
        </w:rPr>
        <w:t>[WI], § 159;</w:t>
      </w:r>
      <w:hyperlink r:id="rId979" w:history="1">
        <w:r>
          <w:rPr>
            <w:i/>
            <w:iCs/>
            <w:lang w:val="pl"/>
          </w:rPr>
          <w:t xml:space="preserve"> </w:t>
        </w:r>
        <w:r>
          <w:rPr>
            <w:i/>
            <w:iCs/>
            <w:color w:val="0072BC"/>
            <w:lang w:val="pl"/>
          </w:rPr>
          <w:t xml:space="preserve">Ülke p. Turcji </w:t>
        </w:r>
      </w:hyperlink>
      <w:r>
        <w:rPr>
          <w:lang w:val="pl"/>
        </w:rPr>
        <w:t xml:space="preserve">(dec.)). Dopóki sytuacja się utrzymuje, zasada czterech miesięcy nie ma zastosowania </w:t>
      </w:r>
      <w:hyperlink r:id="rId980" w:history="1">
        <w:r>
          <w:rPr>
            <w:lang w:val="pl"/>
          </w:rPr>
          <w:t>(</w:t>
        </w:r>
        <w:r>
          <w:rPr>
            <w:i/>
            <w:iCs/>
            <w:color w:val="0072BC"/>
            <w:lang w:val="pl"/>
          </w:rPr>
          <w:t>Iordache p. Rumunii</w:t>
        </w:r>
        <w:r>
          <w:rPr>
            <w:lang w:val="pl"/>
          </w:rPr>
          <w:t>,</w:t>
        </w:r>
      </w:hyperlink>
      <w:r>
        <w:rPr>
          <w:lang w:val="pl"/>
        </w:rPr>
        <w:t xml:space="preserve"> § 50;</w:t>
      </w:r>
      <w:hyperlink r:id="rId981" w:history="1">
        <w:r>
          <w:rPr>
            <w:i/>
            <w:iCs/>
            <w:lang w:val="pl"/>
          </w:rPr>
          <w:t xml:space="preserve"> </w:t>
        </w:r>
        <w:r>
          <w:rPr>
            <w:i/>
            <w:iCs/>
            <w:color w:val="0072BC"/>
            <w:lang w:val="pl"/>
          </w:rPr>
          <w:t>Oliari</w:t>
        </w:r>
      </w:hyperlink>
      <w:r>
        <w:rPr>
          <w:i/>
          <w:iCs/>
          <w:color w:val="0072BC"/>
          <w:lang w:val="pl"/>
        </w:rPr>
        <w:t xml:space="preserve"> </w:t>
      </w:r>
      <w:hyperlink r:id="rId982" w:history="1">
        <w:r w:rsidR="00DC2406">
          <w:rPr>
            <w:i/>
            <w:iCs/>
            <w:color w:val="0072BC"/>
            <w:lang w:val="pl"/>
          </w:rPr>
          <w:t>i Inni p. </w:t>
        </w:r>
        <w:r>
          <w:rPr>
            <w:i/>
            <w:iCs/>
            <w:color w:val="0072BC"/>
            <w:lang w:val="pl"/>
          </w:rPr>
          <w:t>Włochom</w:t>
        </w:r>
        <w:r>
          <w:rPr>
            <w:lang w:val="pl"/>
          </w:rPr>
          <w:t>,</w:t>
        </w:r>
      </w:hyperlink>
      <w:r>
        <w:rPr>
          <w:lang w:val="pl"/>
        </w:rPr>
        <w:t xml:space="preserve"> §§ 96-97).</w:t>
      </w:r>
    </w:p>
    <w:p w:rsidR="00B71A20" w:rsidRPr="000625F6" w:rsidRDefault="000425B4" w:rsidP="00115011">
      <w:pPr>
        <w:pStyle w:val="Teksttreci0"/>
        <w:numPr>
          <w:ilvl w:val="0"/>
          <w:numId w:val="40"/>
        </w:numPr>
        <w:tabs>
          <w:tab w:val="left" w:pos="505"/>
        </w:tabs>
        <w:spacing w:after="240"/>
        <w:jc w:val="both"/>
        <w:rPr>
          <w:lang w:val="pl-PL"/>
        </w:rPr>
      </w:pPr>
      <w:bookmarkStart w:id="135" w:name="bookmark139"/>
      <w:r>
        <w:rPr>
          <w:lang w:val="pl"/>
        </w:rPr>
        <w:t>Sytuacja utrzymująca się nie może jednak odsuwać w nieskończoność zastosowania czteromiesięcznego terminu. Trybunał nakłada obowiązek dochowan</w:t>
      </w:r>
      <w:r w:rsidR="00DC2406">
        <w:rPr>
          <w:lang w:val="pl"/>
        </w:rPr>
        <w:t>ia staranności i występowania z </w:t>
      </w:r>
      <w:r>
        <w:rPr>
          <w:lang w:val="pl"/>
        </w:rPr>
        <w:t xml:space="preserve">inicjatywą na skarżących, którzy zamierzają zarzucić utrzymujące się nieprzestrzeganie przez państwo niektórych ciążących na nim zobowiązań, takich jak trwające zaginięcia, prawo własności lub prawo do mieszkania, czy nieegzekwowanie zadłużenia pieniężnego od przedsiębiorstwa państwowego </w:t>
      </w:r>
      <w:hyperlink r:id="rId983" w:history="1">
        <w:r>
          <w:rPr>
            <w:lang w:val="pl"/>
          </w:rPr>
          <w:t>(</w:t>
        </w:r>
        <w:r>
          <w:rPr>
            <w:i/>
            <w:iCs/>
            <w:color w:val="0072BC"/>
            <w:lang w:val="pl"/>
          </w:rPr>
          <w:t xml:space="preserve">Varnava i Inni p. Turcji </w:t>
        </w:r>
      </w:hyperlink>
      <w:r>
        <w:rPr>
          <w:lang w:val="pl"/>
        </w:rPr>
        <w:t>[WI], §§ 159</w:t>
      </w:r>
      <w:r>
        <w:rPr>
          <w:lang w:val="pl"/>
        </w:rPr>
        <w:noBreakHyphen/>
        <w:t>172;</w:t>
      </w:r>
      <w:hyperlink r:id="rId984" w:history="1">
        <w:r>
          <w:rPr>
            <w:i/>
            <w:iCs/>
            <w:lang w:val="pl"/>
          </w:rPr>
          <w:t xml:space="preserve"> </w:t>
        </w:r>
        <w:r>
          <w:rPr>
            <w:i/>
            <w:iCs/>
            <w:color w:val="0072BC"/>
            <w:lang w:val="pl"/>
          </w:rPr>
          <w:t>Sargsyan p. Azerbejdżanowi</w:t>
        </w:r>
      </w:hyperlink>
      <w:r>
        <w:rPr>
          <w:color w:val="0072BC"/>
          <w:lang w:val="pl"/>
        </w:rPr>
        <w:t xml:space="preserve"> </w:t>
      </w:r>
      <w:r>
        <w:rPr>
          <w:lang w:val="pl"/>
        </w:rPr>
        <w:t>(dec.) [WI], §§ 124</w:t>
      </w:r>
      <w:r>
        <w:rPr>
          <w:lang w:val="pl"/>
        </w:rPr>
        <w:noBreakHyphen/>
        <w:t>148;</w:t>
      </w:r>
      <w:hyperlink r:id="rId985" w:history="1">
        <w:r>
          <w:rPr>
            <w:i/>
            <w:iCs/>
            <w:lang w:val="pl"/>
          </w:rPr>
          <w:t xml:space="preserve"> </w:t>
        </w:r>
        <w:r>
          <w:rPr>
            <w:i/>
            <w:iCs/>
            <w:color w:val="0072BC"/>
            <w:lang w:val="pl"/>
          </w:rPr>
          <w:t xml:space="preserve">Sokolov i Inni p. Serbii </w:t>
        </w:r>
      </w:hyperlink>
      <w:r>
        <w:rPr>
          <w:lang w:val="pl"/>
        </w:rPr>
        <w:t>(dec.), §§ 31</w:t>
      </w:r>
      <w:r>
        <w:rPr>
          <w:lang w:val="pl"/>
        </w:rPr>
        <w:noBreakHyphen/>
        <w:t>36; patrz też pkt 5.a poniżej).</w:t>
      </w:r>
      <w:bookmarkEnd w:id="135"/>
    </w:p>
    <w:p w:rsidR="00B71A20" w:rsidRDefault="00190639" w:rsidP="00190639">
      <w:pPr>
        <w:pStyle w:val="Nagwek31"/>
        <w:keepNext/>
        <w:keepLines/>
        <w:tabs>
          <w:tab w:val="left" w:pos="340"/>
        </w:tabs>
        <w:spacing w:after="120"/>
        <w:jc w:val="both"/>
      </w:pPr>
      <w:bookmarkStart w:id="136" w:name="_Toc126335640"/>
      <w:bookmarkStart w:id="137" w:name="_Toc126660599"/>
      <w:r>
        <w:rPr>
          <w:lang w:val="pl"/>
        </w:rPr>
        <w:t xml:space="preserve">3.  </w:t>
      </w:r>
      <w:r w:rsidR="000425B4">
        <w:rPr>
          <w:lang w:val="pl"/>
        </w:rPr>
        <w:t>Wygaśnięcie czteromiesięcznego terminu</w:t>
      </w:r>
      <w:bookmarkEnd w:id="136"/>
      <w:bookmarkEnd w:id="137"/>
    </w:p>
    <w:p w:rsidR="00B71A20" w:rsidRPr="000625F6" w:rsidRDefault="000425B4" w:rsidP="00115011">
      <w:pPr>
        <w:pStyle w:val="Teksttreci0"/>
        <w:numPr>
          <w:ilvl w:val="0"/>
          <w:numId w:val="40"/>
        </w:numPr>
        <w:tabs>
          <w:tab w:val="left" w:pos="505"/>
        </w:tabs>
        <w:spacing w:after="120"/>
        <w:jc w:val="both"/>
        <w:rPr>
          <w:lang w:val="pl-PL"/>
        </w:rPr>
      </w:pPr>
      <w:r>
        <w:rPr>
          <w:lang w:val="pl"/>
        </w:rPr>
        <w:t xml:space="preserve">Termin biegnie od dnia następującego po dniu, w którym ostateczną decyzję ogłoszono publicznie lub w którym skarżący lub jego pełnomocnik zostali o niej poinformowani, i wygasa cztery miesiące kalendarzowe później, bez względu na rzeczywistą długość tych miesięcy kalendarzowych </w:t>
      </w:r>
      <w:hyperlink r:id="rId986" w:history="1">
        <w:r>
          <w:rPr>
            <w:lang w:val="pl"/>
          </w:rPr>
          <w:t>(</w:t>
        </w:r>
        <w:r>
          <w:rPr>
            <w:i/>
            <w:iCs/>
            <w:color w:val="0072BC"/>
            <w:lang w:val="pl"/>
          </w:rPr>
          <w:t>Otto</w:t>
        </w:r>
      </w:hyperlink>
      <w:r>
        <w:rPr>
          <w:i/>
          <w:iCs/>
          <w:color w:val="0072BC"/>
          <w:lang w:val="pl"/>
        </w:rPr>
        <w:t xml:space="preserve"> </w:t>
      </w:r>
      <w:hyperlink r:id="rId987" w:history="1">
        <w:r w:rsidR="00DC2406">
          <w:rPr>
            <w:i/>
            <w:iCs/>
            <w:color w:val="0072BC"/>
            <w:lang w:val="pl"/>
          </w:rPr>
          <w:t>p.</w:t>
        </w:r>
        <w:r w:rsidR="00DC2406" w:rsidRPr="00DC2406">
          <w:rPr>
            <w:lang w:val="pl-PL"/>
          </w:rPr>
          <w:t> </w:t>
        </w:r>
        <w:r>
          <w:rPr>
            <w:i/>
            <w:iCs/>
            <w:color w:val="0072BC"/>
            <w:lang w:val="pl"/>
          </w:rPr>
          <w:t xml:space="preserve">Niemcom </w:t>
        </w:r>
      </w:hyperlink>
      <w:r>
        <w:rPr>
          <w:lang w:val="pl"/>
        </w:rPr>
        <w:t>(dec.);</w:t>
      </w:r>
      <w:hyperlink r:id="rId988" w:history="1">
        <w:r>
          <w:rPr>
            <w:lang w:val="pl"/>
          </w:rPr>
          <w:t xml:space="preserve"> </w:t>
        </w:r>
        <w:r>
          <w:rPr>
            <w:i/>
            <w:iCs/>
            <w:color w:val="0072BC"/>
            <w:lang w:val="pl"/>
          </w:rPr>
          <w:t>Ataykaya p. Turcji</w:t>
        </w:r>
        <w:r>
          <w:rPr>
            <w:lang w:val="pl"/>
          </w:rPr>
          <w:t>,</w:t>
        </w:r>
      </w:hyperlink>
      <w:r>
        <w:rPr>
          <w:lang w:val="pl"/>
        </w:rPr>
        <w:t xml:space="preserve"> § 40).</w:t>
      </w:r>
    </w:p>
    <w:p w:rsidR="00B71A20" w:rsidRPr="000625F6" w:rsidRDefault="000425B4" w:rsidP="00115011">
      <w:pPr>
        <w:pStyle w:val="Teksttreci0"/>
        <w:numPr>
          <w:ilvl w:val="0"/>
          <w:numId w:val="40"/>
        </w:numPr>
        <w:tabs>
          <w:tab w:val="left" w:pos="505"/>
        </w:tabs>
        <w:spacing w:after="120"/>
        <w:jc w:val="both"/>
        <w:rPr>
          <w:lang w:val="pl-PL"/>
        </w:rPr>
      </w:pPr>
      <w:r>
        <w:rPr>
          <w:lang w:val="pl"/>
        </w:rPr>
        <w:t xml:space="preserve">Zgodność z terminem czterech miesięcy ustala się, stosując kryteria wynikające z Konwencji, a nie z ustawodawstwa krajowego każdego pozwanego państwa </w:t>
      </w:r>
      <w:hyperlink r:id="rId989" w:history="1">
        <w:r>
          <w:rPr>
            <w:lang w:val="pl"/>
          </w:rPr>
          <w:t>(</w:t>
        </w:r>
        <w:r>
          <w:rPr>
            <w:i/>
            <w:iCs/>
            <w:color w:val="0072BC"/>
            <w:lang w:val="pl"/>
          </w:rPr>
          <w:t>BENet Praha, spol. s r.o.,</w:t>
        </w:r>
      </w:hyperlink>
      <w:r>
        <w:rPr>
          <w:i/>
          <w:iCs/>
          <w:color w:val="0072BC"/>
          <w:lang w:val="pl"/>
        </w:rPr>
        <w:t xml:space="preserve"> </w:t>
      </w:r>
      <w:hyperlink r:id="rId990" w:history="1">
        <w:r>
          <w:rPr>
            <w:i/>
            <w:iCs/>
            <w:color w:val="0072BC"/>
            <w:lang w:val="pl"/>
          </w:rPr>
          <w:t xml:space="preserve">p. Czechom </w:t>
        </w:r>
      </w:hyperlink>
      <w:r>
        <w:rPr>
          <w:lang w:val="pl"/>
        </w:rPr>
        <w:t>(dec.);</w:t>
      </w:r>
      <w:hyperlink r:id="rId991" w:history="1">
        <w:r>
          <w:rPr>
            <w:i/>
            <w:iCs/>
            <w:lang w:val="pl"/>
          </w:rPr>
          <w:t xml:space="preserve"> </w:t>
        </w:r>
        <w:r>
          <w:rPr>
            <w:i/>
            <w:iCs/>
            <w:color w:val="0072BC"/>
            <w:lang w:val="pl"/>
          </w:rPr>
          <w:t>Poslu i Inni p. Turcji</w:t>
        </w:r>
        <w:r>
          <w:rPr>
            <w:lang w:val="pl"/>
          </w:rPr>
          <w:t>,</w:t>
        </w:r>
      </w:hyperlink>
      <w:r>
        <w:rPr>
          <w:lang w:val="pl"/>
        </w:rPr>
        <w:t xml:space="preserve"> § 10). Stosowanie przez Trybunał własnych kryteriów do obliczania terminów, niezależnie od przepisów krajowych, zmierza do zapewnienia pewności prawa, prawidłowego wymiaru sprawiedliwości, a tym samym praktycznego i skutecznego funkcjonowania mechanizmu Konwencji </w:t>
      </w:r>
      <w:hyperlink r:id="rId992" w:history="1">
        <w:r>
          <w:rPr>
            <w:lang w:val="pl"/>
          </w:rPr>
          <w:t>(</w:t>
        </w:r>
        <w:r>
          <w:rPr>
            <w:i/>
            <w:iCs/>
            <w:color w:val="0072BC"/>
            <w:lang w:val="pl"/>
          </w:rPr>
          <w:t xml:space="preserve">Sabri Güneş p. Turcji </w:t>
        </w:r>
      </w:hyperlink>
      <w:r>
        <w:rPr>
          <w:lang w:val="pl"/>
        </w:rPr>
        <w:t>[WI], § 56).</w:t>
      </w:r>
    </w:p>
    <w:p w:rsidR="00B71A20" w:rsidRPr="000625F6" w:rsidRDefault="000425B4" w:rsidP="00115011">
      <w:pPr>
        <w:pStyle w:val="Teksttreci0"/>
        <w:numPr>
          <w:ilvl w:val="0"/>
          <w:numId w:val="40"/>
        </w:numPr>
        <w:tabs>
          <w:tab w:val="left" w:pos="510"/>
        </w:tabs>
        <w:spacing w:after="120"/>
        <w:jc w:val="both"/>
        <w:rPr>
          <w:lang w:val="pl-PL"/>
        </w:rPr>
      </w:pPr>
      <w:r>
        <w:rPr>
          <w:lang w:val="pl"/>
        </w:rPr>
        <w:t xml:space="preserve">Fakt, że ostatni dzień czteromiesięcznego terminu wypada w sobotę, niedzielę lub w dzień ustawowo wolny od pracy oraz że w takiej sytuacji prawo krajowe przewiduje przedłużenie terminu do następnego dnia roboczego, nie ma wpływu na ustalenie </w:t>
      </w:r>
      <w:r>
        <w:rPr>
          <w:i/>
          <w:iCs/>
          <w:lang w:val="pl"/>
        </w:rPr>
        <w:t xml:space="preserve">dies ad quem </w:t>
      </w:r>
      <w:hyperlink r:id="rId993" w:history="1">
        <w:r>
          <w:rPr>
            <w:lang w:val="pl"/>
          </w:rPr>
          <w:t>(</w:t>
        </w:r>
        <w:r>
          <w:rPr>
            <w:i/>
            <w:iCs/>
            <w:color w:val="0072BC"/>
            <w:lang w:val="pl"/>
          </w:rPr>
          <w:t>ibid</w:t>
        </w:r>
        <w:r>
          <w:rPr>
            <w:color w:val="0072BC"/>
            <w:lang w:val="pl"/>
          </w:rPr>
          <w:t>.</w:t>
        </w:r>
        <w:r>
          <w:rPr>
            <w:lang w:val="pl"/>
          </w:rPr>
          <w:t>,</w:t>
        </w:r>
      </w:hyperlink>
      <w:r>
        <w:rPr>
          <w:lang w:val="pl"/>
        </w:rPr>
        <w:t xml:space="preserve"> §§ 43 i 61).</w:t>
      </w:r>
    </w:p>
    <w:p w:rsidR="00B71A20" w:rsidRPr="000625F6" w:rsidRDefault="000425B4" w:rsidP="00115011">
      <w:pPr>
        <w:pStyle w:val="Teksttreci0"/>
        <w:numPr>
          <w:ilvl w:val="0"/>
          <w:numId w:val="40"/>
        </w:numPr>
        <w:tabs>
          <w:tab w:val="left" w:pos="510"/>
        </w:tabs>
        <w:spacing w:after="120"/>
        <w:jc w:val="both"/>
        <w:rPr>
          <w:lang w:val="pl-PL"/>
        </w:rPr>
      </w:pPr>
      <w:r>
        <w:rPr>
          <w:lang w:val="pl"/>
        </w:rPr>
        <w:t xml:space="preserve">Trybunał może podjąć decyzję o dacie wygaśnięcia czteromiesięcznego terminu, która będzie inna niż data wskazana przez pozwane państwo </w:t>
      </w:r>
      <w:hyperlink r:id="rId994" w:history="1">
        <w:r>
          <w:rPr>
            <w:lang w:val="pl"/>
          </w:rPr>
          <w:t>(</w:t>
        </w:r>
        <w:r>
          <w:rPr>
            <w:i/>
            <w:iCs/>
            <w:color w:val="0072BC"/>
            <w:lang w:val="pl"/>
          </w:rPr>
          <w:t xml:space="preserve">İpek p. Turcji </w:t>
        </w:r>
      </w:hyperlink>
      <w:r>
        <w:rPr>
          <w:lang w:val="pl"/>
        </w:rPr>
        <w:t>(dec.)).</w:t>
      </w:r>
    </w:p>
    <w:p w:rsidR="00B71A20" w:rsidRPr="000625F6" w:rsidRDefault="000425B4" w:rsidP="00115011">
      <w:pPr>
        <w:pStyle w:val="Teksttreci0"/>
        <w:numPr>
          <w:ilvl w:val="0"/>
          <w:numId w:val="40"/>
        </w:numPr>
        <w:tabs>
          <w:tab w:val="left" w:pos="510"/>
        </w:tabs>
        <w:spacing w:after="220"/>
        <w:jc w:val="both"/>
        <w:rPr>
          <w:lang w:val="pl-PL"/>
        </w:rPr>
      </w:pPr>
      <w:bookmarkStart w:id="138" w:name="bookmark142"/>
      <w:r>
        <w:rPr>
          <w:lang w:val="pl"/>
        </w:rPr>
        <w:t>Ponadto w szczególnie wyjątkowych okolicznościach Trybunał może powołać się na przysługującą mu na mocy art. 32 Konwencji właściwość do rozpoznawania zagadnień związanych z jej interpretacją, aby dostosować metodę obliczania biegu czteromiesięcznego terminu w celu zachowania istoty prawa do skargi indywidualnej. W związku z tym kiedy na świecie trwała pandemia COVID-19, a Światowa Organizacja Zdrowia ogłosiła stan zagrożenia zdrowia publiczne</w:t>
      </w:r>
      <w:r w:rsidR="00DC2406">
        <w:rPr>
          <w:lang w:val="pl"/>
        </w:rPr>
        <w:t>go o zasięgu międzynarodowym, w </w:t>
      </w:r>
      <w:r>
        <w:rPr>
          <w:lang w:val="pl"/>
        </w:rPr>
        <w:t xml:space="preserve">dniach 16 marca i 9 kwietnia 2020 r. przewodniczący Trybunału poinformował o wprowadzeniu </w:t>
      </w:r>
      <w:r>
        <w:rPr>
          <w:lang w:val="pl"/>
        </w:rPr>
        <w:lastRenderedPageBreak/>
        <w:t>szczególnych środków, aby umożliwić skarżącym, wysokim układającym się stronom i Trybunałowi radzenie sobie z powstałymi trudnościami</w:t>
      </w:r>
      <w:r>
        <w:rPr>
          <w:vertAlign w:val="superscript"/>
          <w:lang w:val="pl"/>
        </w:rPr>
        <w:footnoteReference w:id="7"/>
      </w:r>
      <w:r>
        <w:rPr>
          <w:lang w:val="pl"/>
        </w:rPr>
        <w:t>. Jednym ze skutków tych działań (wynikających z decyzji przewodniczącego podjętych w ramach wykonywania up</w:t>
      </w:r>
      <w:r w:rsidR="00DC2406">
        <w:rPr>
          <w:lang w:val="pl"/>
        </w:rPr>
        <w:t>rawnień do kierowania pracami i </w:t>
      </w:r>
      <w:r>
        <w:rPr>
          <w:lang w:val="pl"/>
        </w:rPr>
        <w:t xml:space="preserve">administracją Trybunału na podstawie Reguły 9 Regulaminu Trybunału) było nałożenie na Kancelarię Trybunału wymogu, aby podczas przyjmowania wpływających skarg i bez względu na późniejsze decyzje Trybunału w danej sprawie obliczać termin, dodając do obowiązujących wówczas sześciu miesięcy dodatkowe trzy miesiące, jeśli termin sześciu miesięcy kalendarzowych rozpoczynał bieg albo miał upłynąć pomiędzy 16 marca a 15 czerwca 2020 r. Trybunał orzekł, że bieg obowiązującego wówczas sześciomiesięcznego terminu można było zasadnie uznać za zawieszony podczas najgorszego etapu ogólnoświatowej pandemii; poza tym takie rozwiązanie było zgodne z ogólną zasadą prawa międzynarodowego publicznego dotyczącą siły wyższej, a także z zasadą </w:t>
      </w:r>
      <w:r>
        <w:rPr>
          <w:i/>
          <w:iCs/>
          <w:lang w:val="pl"/>
        </w:rPr>
        <w:t>contra non valentem agere nulla currit praescriptio</w:t>
      </w:r>
      <w:r>
        <w:rPr>
          <w:lang w:val="pl"/>
        </w:rPr>
        <w:t xml:space="preserve">, zgodnie z którą nie można stosować przedawnienia wobec osób, które nie mogą podjąć działania. W rezultacie jeśli wspomniany wyżej termin rozpoczynał bieg albo miał upłynąć w przywołanym przedziale czasowym, należało wyjątkowo przyjąć, że obowiązujący wówczas sześciomiesięczny termin ulegał zawieszeniu na trzy miesiące kalendarzowe </w:t>
      </w:r>
      <w:hyperlink r:id="rId995" w:history="1">
        <w:r>
          <w:rPr>
            <w:lang w:val="pl"/>
          </w:rPr>
          <w:t>(</w:t>
        </w:r>
        <w:r>
          <w:rPr>
            <w:i/>
            <w:iCs/>
            <w:color w:val="0072BC"/>
            <w:lang w:val="pl"/>
          </w:rPr>
          <w:t xml:space="preserve">Saakashvili p. Gruzji </w:t>
        </w:r>
      </w:hyperlink>
      <w:r>
        <w:rPr>
          <w:lang w:val="pl"/>
        </w:rPr>
        <w:t>(dec.), §§ 49-59).</w:t>
      </w:r>
      <w:bookmarkEnd w:id="138"/>
    </w:p>
    <w:p w:rsidR="00B71A20" w:rsidRPr="00F1379F" w:rsidRDefault="008A4DB7" w:rsidP="008A4DB7">
      <w:pPr>
        <w:pStyle w:val="Nagwek31"/>
        <w:keepNext/>
        <w:keepLines/>
        <w:tabs>
          <w:tab w:val="left" w:pos="412"/>
        </w:tabs>
        <w:spacing w:after="220"/>
        <w:jc w:val="both"/>
        <w:rPr>
          <w:lang w:val="pl-PL"/>
        </w:rPr>
      </w:pPr>
      <w:bookmarkStart w:id="139" w:name="bookmark143"/>
      <w:bookmarkStart w:id="140" w:name="_Toc126335641"/>
      <w:bookmarkStart w:id="141" w:name="_Toc126660600"/>
      <w:r>
        <w:rPr>
          <w:lang w:val="pl"/>
        </w:rPr>
        <w:t xml:space="preserve">4.  </w:t>
      </w:r>
      <w:r w:rsidR="000425B4">
        <w:rPr>
          <w:lang w:val="pl"/>
        </w:rPr>
        <w:t>Data wniesienia skargi</w:t>
      </w:r>
      <w:bookmarkEnd w:id="139"/>
      <w:bookmarkEnd w:id="140"/>
      <w:bookmarkEnd w:id="141"/>
    </w:p>
    <w:p w:rsidR="00B71A20" w:rsidRPr="00F1379F" w:rsidRDefault="001D7CE1" w:rsidP="001D7CE1">
      <w:pPr>
        <w:pStyle w:val="Nagwek41"/>
        <w:keepNext/>
        <w:keepLines/>
        <w:tabs>
          <w:tab w:val="left" w:pos="412"/>
        </w:tabs>
        <w:jc w:val="both"/>
        <w:rPr>
          <w:lang w:val="pl-PL"/>
        </w:rPr>
      </w:pPr>
      <w:bookmarkStart w:id="142" w:name="_Toc126335642"/>
      <w:bookmarkStart w:id="143" w:name="_Toc126660601"/>
      <w:r>
        <w:rPr>
          <w:lang w:val="pl"/>
        </w:rPr>
        <w:t xml:space="preserve">a.  </w:t>
      </w:r>
      <w:r w:rsidR="000425B4">
        <w:rPr>
          <w:lang w:val="pl"/>
        </w:rPr>
        <w:t>Wypełniony formularz skargi</w:t>
      </w:r>
      <w:bookmarkEnd w:id="142"/>
      <w:bookmarkEnd w:id="143"/>
    </w:p>
    <w:p w:rsidR="00B71A20" w:rsidRPr="000625F6" w:rsidRDefault="000425B4" w:rsidP="00F1379F">
      <w:pPr>
        <w:pStyle w:val="Teksttreci0"/>
        <w:numPr>
          <w:ilvl w:val="0"/>
          <w:numId w:val="42"/>
        </w:numPr>
        <w:tabs>
          <w:tab w:val="left" w:pos="510"/>
        </w:tabs>
        <w:jc w:val="both"/>
        <w:rPr>
          <w:lang w:val="pl-PL"/>
        </w:rPr>
      </w:pPr>
      <w:r>
        <w:rPr>
          <w:lang w:val="pl"/>
        </w:rPr>
        <w:t>Zgodnie z</w:t>
      </w:r>
      <w:hyperlink r:id="rId996" w:history="1">
        <w:r>
          <w:rPr>
            <w:lang w:val="pl"/>
          </w:rPr>
          <w:t xml:space="preserve"> </w:t>
        </w:r>
        <w:r>
          <w:rPr>
            <w:color w:val="0072BC"/>
            <w:lang w:val="pl"/>
          </w:rPr>
          <w:t xml:space="preserve">Regułą 47 </w:t>
        </w:r>
      </w:hyperlink>
      <w:r>
        <w:rPr>
          <w:lang w:val="pl"/>
        </w:rPr>
        <w:t>Regulaminu Trybunału, który wszedł w życie 1 stycznia 2014 r., za datę wniesienia skargi, dla celów określonych w art. 35 ust. 1 Konwencji, uznaje się datę, w której formularz skargi spełniający wymogi tej Reguły został wysłany do Trybunału. Skarga musi zawierać wszystkie informacje wymagane we wszystkich odpowiednich częściach formularza skargi, do którego obowiązkowo należy załączyć kopie stosownych dokumentów pomocniczych. Decyzja w sprawie</w:t>
      </w:r>
      <w:hyperlink r:id="rId997" w:history="1">
        <w:r>
          <w:rPr>
            <w:i/>
            <w:iCs/>
            <w:lang w:val="pl"/>
          </w:rPr>
          <w:t xml:space="preserve"> </w:t>
        </w:r>
        <w:r>
          <w:rPr>
            <w:i/>
            <w:iCs/>
            <w:color w:val="0072BC"/>
            <w:lang w:val="pl"/>
          </w:rPr>
          <w:t>Malysh</w:t>
        </w:r>
      </w:hyperlink>
      <w:r>
        <w:rPr>
          <w:i/>
          <w:iCs/>
          <w:color w:val="0072BC"/>
          <w:lang w:val="pl"/>
        </w:rPr>
        <w:t xml:space="preserve"> </w:t>
      </w:r>
      <w:hyperlink r:id="rId998" w:history="1">
        <w:r>
          <w:rPr>
            <w:i/>
            <w:iCs/>
            <w:color w:val="0072BC"/>
            <w:lang w:val="pl"/>
          </w:rPr>
          <w:t xml:space="preserve">i Ivanin p. Ukrainie </w:t>
        </w:r>
      </w:hyperlink>
      <w:r>
        <w:rPr>
          <w:lang w:val="pl"/>
        </w:rPr>
        <w:t xml:space="preserve">pokazuje, jak zmieniona Reguła 47 działa w praktyce. O ile Reguła 47 nie stanowi inaczej, tylko wypełniony formularz skargi zatrzymuje bieg czteromiesięcznego terminu </w:t>
      </w:r>
      <w:hyperlink r:id="rId999" w:history="1">
        <w:r>
          <w:rPr>
            <w:lang w:val="pl"/>
          </w:rPr>
          <w:t>(</w:t>
        </w:r>
        <w:r>
          <w:rPr>
            <w:color w:val="0072BC"/>
            <w:lang w:val="pl"/>
          </w:rPr>
          <w:t>Instrukcja dotycząca praktyki wszczęcia postępowania</w:t>
        </w:r>
        <w:r>
          <w:rPr>
            <w:lang w:val="pl"/>
          </w:rPr>
          <w:t>,</w:t>
        </w:r>
      </w:hyperlink>
      <w:r>
        <w:rPr>
          <w:lang w:val="pl"/>
        </w:rPr>
        <w:t xml:space="preserve"> § 1).</w:t>
      </w:r>
    </w:p>
    <w:p w:rsidR="00B71A20" w:rsidRPr="000625F6" w:rsidRDefault="000425B4">
      <w:pPr>
        <w:pStyle w:val="Teksttreci0"/>
        <w:jc w:val="both"/>
        <w:rPr>
          <w:lang w:val="pl-PL"/>
        </w:rPr>
      </w:pPr>
      <w:r>
        <w:rPr>
          <w:lang w:val="pl"/>
        </w:rPr>
        <w:t>Jeśli skarżący postanowi, by skargę złożył przedstawiciel, należy wypełnić część formularza skargi dotyczącą umocowania. Część formularza skargi dotyczącą umocowania muszą podpisać zarówno skarżący, jak i przedstawiciel (patrz Reguła 47 § 1 lit. c Regulaminu Trybunału). Odrębne pełnomocnictwo nie jest dopuszczalne na tym etapie, ponieważ Trybunał wymaga, aby wszystkie podstawowe informacje znalazły się na obowiązującym w Trybunale formularzu skar</w:t>
      </w:r>
      <w:r w:rsidR="00DC2406">
        <w:rPr>
          <w:lang w:val="pl"/>
        </w:rPr>
        <w:t>gi. Twierdzenia o </w:t>
      </w:r>
      <w:r>
        <w:rPr>
          <w:lang w:val="pl"/>
        </w:rPr>
        <w:t>braku możliwości uzyskania podpisu skarżącego w części formularza</w:t>
      </w:r>
      <w:r w:rsidR="00DC2406">
        <w:rPr>
          <w:lang w:val="pl"/>
        </w:rPr>
        <w:t xml:space="preserve"> skargi dotyczącej umocowania z </w:t>
      </w:r>
      <w:r>
        <w:rPr>
          <w:lang w:val="pl"/>
        </w:rPr>
        <w:t xml:space="preserve">powodu niemożliwych do pokonania trudności praktycznych wymagają przedstawienia Trybunałowi wyjaśnienia z uzasadnieniem. Wymóg szybkiego wypełnienia formularza skargi w terminie czterech miesięcy nie jest dopuszczalny jako odpowiednie wyjaśnienie </w:t>
      </w:r>
      <w:hyperlink r:id="rId1000" w:history="1">
        <w:r>
          <w:rPr>
            <w:lang w:val="pl"/>
          </w:rPr>
          <w:t>(</w:t>
        </w:r>
        <w:r>
          <w:rPr>
            <w:color w:val="0072BC"/>
            <w:lang w:val="pl"/>
          </w:rPr>
          <w:t>Instrukcja dotycząca praktyki wszczęcia postępowania</w:t>
        </w:r>
        <w:r>
          <w:rPr>
            <w:lang w:val="pl"/>
          </w:rPr>
          <w:t>,</w:t>
        </w:r>
      </w:hyperlink>
      <w:r>
        <w:rPr>
          <w:lang w:val="pl"/>
        </w:rPr>
        <w:t xml:space="preserve"> § 9).</w:t>
      </w:r>
    </w:p>
    <w:p w:rsidR="00B71A20" w:rsidRPr="000625F6" w:rsidRDefault="000425B4">
      <w:pPr>
        <w:pStyle w:val="Teksttreci0"/>
        <w:spacing w:after="160"/>
        <w:jc w:val="both"/>
        <w:rPr>
          <w:lang w:val="pl-PL"/>
        </w:rPr>
      </w:pPr>
      <w:r>
        <w:rPr>
          <w:lang w:val="pl"/>
        </w:rPr>
        <w:t xml:space="preserve">Zgodnie z Regułą 47 § 5 pkt 1 niezastosowanie się do wymogów przewidzianych w ust. 1-3 tej reguły może w określonych sytuacjach spowodować, że skarga nie zostanie rozpatrzona przez Trybunał </w:t>
      </w:r>
      <w:hyperlink r:id="rId1001" w:history="1">
        <w:r>
          <w:rPr>
            <w:lang w:val="pl"/>
          </w:rPr>
          <w:t>(</w:t>
        </w:r>
        <w:r>
          <w:rPr>
            <w:i/>
            <w:iCs/>
            <w:color w:val="0072BC"/>
            <w:lang w:val="pl"/>
          </w:rPr>
          <w:t xml:space="preserve">Radomilja i Inni </w:t>
        </w:r>
      </w:hyperlink>
      <w:r>
        <w:rPr>
          <w:lang w:val="pl"/>
        </w:rPr>
        <w:t>[WI], §§ 112).</w:t>
      </w:r>
    </w:p>
    <w:p w:rsidR="00B71A20" w:rsidRDefault="001D7CE1" w:rsidP="001D7CE1">
      <w:pPr>
        <w:pStyle w:val="Nagwek41"/>
        <w:keepNext/>
        <w:keepLines/>
        <w:tabs>
          <w:tab w:val="left" w:pos="318"/>
        </w:tabs>
        <w:jc w:val="both"/>
      </w:pPr>
      <w:bookmarkStart w:id="144" w:name="bookmark148"/>
      <w:bookmarkStart w:id="145" w:name="_Toc126335643"/>
      <w:bookmarkStart w:id="146" w:name="_Toc126660602"/>
      <w:r>
        <w:rPr>
          <w:lang w:val="pl"/>
        </w:rPr>
        <w:t xml:space="preserve">b.  </w:t>
      </w:r>
      <w:r w:rsidR="000425B4">
        <w:rPr>
          <w:lang w:val="pl"/>
        </w:rPr>
        <w:t>Data wysłania</w:t>
      </w:r>
      <w:bookmarkEnd w:id="144"/>
      <w:bookmarkEnd w:id="145"/>
      <w:bookmarkEnd w:id="146"/>
    </w:p>
    <w:p w:rsidR="00B71A20" w:rsidRPr="000625F6" w:rsidRDefault="000425B4" w:rsidP="00F1379F">
      <w:pPr>
        <w:pStyle w:val="Teksttreci0"/>
        <w:numPr>
          <w:ilvl w:val="0"/>
          <w:numId w:val="43"/>
        </w:numPr>
        <w:tabs>
          <w:tab w:val="left" w:pos="505"/>
        </w:tabs>
        <w:jc w:val="both"/>
        <w:rPr>
          <w:lang w:val="pl-PL"/>
        </w:rPr>
      </w:pPr>
      <w:r>
        <w:rPr>
          <w:lang w:val="pl"/>
        </w:rPr>
        <w:t>O dacie złożenia skargi decyduje data stempla pocztowego na wysłanym przez skarżącego do Trybunału należycie wypełnionym formularzu skargi (Reguła 47 § 6 lit. a Regulaminu Trybunału, patrz również</w:t>
      </w:r>
      <w:hyperlink r:id="rId1002" w:history="1">
        <w:r>
          <w:rPr>
            <w:lang w:val="pl"/>
          </w:rPr>
          <w:t xml:space="preserve"> </w:t>
        </w:r>
        <w:r>
          <w:rPr>
            <w:i/>
            <w:iCs/>
            <w:color w:val="0072BC"/>
            <w:lang w:val="pl"/>
          </w:rPr>
          <w:t xml:space="preserve">Abdulrahman p. Holandii </w:t>
        </w:r>
      </w:hyperlink>
      <w:r>
        <w:rPr>
          <w:lang w:val="pl"/>
        </w:rPr>
        <w:t>(dec.);</w:t>
      </w:r>
      <w:hyperlink r:id="rId1003" w:history="1">
        <w:r>
          <w:rPr>
            <w:lang w:val="pl"/>
          </w:rPr>
          <w:t xml:space="preserve"> </w:t>
        </w:r>
        <w:r>
          <w:rPr>
            <w:i/>
            <w:iCs/>
            <w:color w:val="0072BC"/>
            <w:lang w:val="pl"/>
          </w:rPr>
          <w:t>Brežec p. Chorwacji</w:t>
        </w:r>
        <w:r>
          <w:rPr>
            <w:lang w:val="pl"/>
          </w:rPr>
          <w:t>,</w:t>
        </w:r>
      </w:hyperlink>
      <w:r>
        <w:rPr>
          <w:i/>
          <w:iCs/>
          <w:lang w:val="pl"/>
        </w:rPr>
        <w:t xml:space="preserve"> </w:t>
      </w:r>
      <w:r>
        <w:rPr>
          <w:lang w:val="pl"/>
        </w:rPr>
        <w:t>§ 29;</w:t>
      </w:r>
      <w:hyperlink r:id="rId1004" w:history="1">
        <w:r>
          <w:rPr>
            <w:lang w:val="pl"/>
          </w:rPr>
          <w:t xml:space="preserve"> </w:t>
        </w:r>
        <w:r>
          <w:rPr>
            <w:i/>
            <w:iCs/>
            <w:color w:val="0072BC"/>
            <w:lang w:val="pl"/>
          </w:rPr>
          <w:t xml:space="preserve">Vasiliauskas p. Litwie </w:t>
        </w:r>
      </w:hyperlink>
      <w:r>
        <w:rPr>
          <w:lang w:val="pl"/>
        </w:rPr>
        <w:t>[WI], §§ 115-117;</w:t>
      </w:r>
      <w:hyperlink r:id="rId1005" w:history="1">
        <w:r>
          <w:rPr>
            <w:lang w:val="pl"/>
          </w:rPr>
          <w:t xml:space="preserve"> </w:t>
        </w:r>
        <w:r>
          <w:rPr>
            <w:i/>
            <w:iCs/>
            <w:color w:val="0072BC"/>
            <w:lang w:val="pl"/>
          </w:rPr>
          <w:t>J.L. p. Włochom</w:t>
        </w:r>
        <w:r>
          <w:rPr>
            <w:lang w:val="pl"/>
          </w:rPr>
          <w:t>,</w:t>
        </w:r>
      </w:hyperlink>
      <w:r>
        <w:rPr>
          <w:lang w:val="pl"/>
        </w:rPr>
        <w:t xml:space="preserve"> §§ 73-74).</w:t>
      </w:r>
    </w:p>
    <w:p w:rsidR="00B71A20" w:rsidRPr="000625F6" w:rsidRDefault="000425B4" w:rsidP="00115011">
      <w:pPr>
        <w:pStyle w:val="Teksttreci0"/>
        <w:numPr>
          <w:ilvl w:val="0"/>
          <w:numId w:val="43"/>
        </w:numPr>
        <w:tabs>
          <w:tab w:val="left" w:pos="514"/>
        </w:tabs>
        <w:jc w:val="both"/>
        <w:rPr>
          <w:lang w:val="pl-PL"/>
        </w:rPr>
      </w:pPr>
      <w:r>
        <w:rPr>
          <w:lang w:val="pl"/>
        </w:rPr>
        <w:t xml:space="preserve">Tylko szczególne okoliczności, np. brak możliwości ustalenia miejsca nadania skargi, mogą </w:t>
      </w:r>
      <w:r>
        <w:rPr>
          <w:lang w:val="pl"/>
        </w:rPr>
        <w:lastRenderedPageBreak/>
        <w:t xml:space="preserve">uzasadnić inne podejście, takie jak uznanie daty na formularzu skargi lub, w przypadku jej braku, daty wpływu do Kancelarii Trybunału za datę złożenia skargi </w:t>
      </w:r>
      <w:hyperlink r:id="rId1006" w:history="1">
        <w:r>
          <w:rPr>
            <w:lang w:val="pl"/>
          </w:rPr>
          <w:t>(</w:t>
        </w:r>
        <w:r>
          <w:rPr>
            <w:i/>
            <w:iCs/>
            <w:color w:val="0072BC"/>
            <w:lang w:val="pl"/>
          </w:rPr>
          <w:t>Bulinwar OOD i Hrusanov p. Bułgarii</w:t>
        </w:r>
        <w:r>
          <w:rPr>
            <w:lang w:val="pl"/>
          </w:rPr>
          <w:t>,</w:t>
        </w:r>
      </w:hyperlink>
      <w:r>
        <w:rPr>
          <w:lang w:val="pl"/>
        </w:rPr>
        <w:t xml:space="preserve"> §§ 30-32).</w:t>
      </w:r>
    </w:p>
    <w:p w:rsidR="00B71A20" w:rsidRPr="000625F6" w:rsidRDefault="000425B4" w:rsidP="00115011">
      <w:pPr>
        <w:pStyle w:val="Teksttreci0"/>
        <w:numPr>
          <w:ilvl w:val="0"/>
          <w:numId w:val="43"/>
        </w:numPr>
        <w:tabs>
          <w:tab w:val="left" w:pos="514"/>
        </w:tabs>
        <w:spacing w:after="240"/>
        <w:jc w:val="both"/>
        <w:rPr>
          <w:lang w:val="pl-PL"/>
        </w:rPr>
      </w:pPr>
      <w:bookmarkStart w:id="147" w:name="bookmark151"/>
      <w:r>
        <w:rPr>
          <w:lang w:val="pl"/>
        </w:rPr>
        <w:t xml:space="preserve">Skarżący nie ponoszą odpowiedzialności za opóźnienia podczas transportu mogące mieć wpływ na ich korespondencję z Trybunałem </w:t>
      </w:r>
      <w:hyperlink r:id="rId1007" w:history="1">
        <w:r>
          <w:rPr>
            <w:lang w:val="pl"/>
          </w:rPr>
          <w:t>(</w:t>
        </w:r>
        <w:r>
          <w:rPr>
            <w:i/>
            <w:iCs/>
            <w:color w:val="0072BC"/>
            <w:lang w:val="pl"/>
          </w:rPr>
          <w:t>Anchugov i Gladkov p. Rosji</w:t>
        </w:r>
        <w:r>
          <w:rPr>
            <w:lang w:val="pl"/>
          </w:rPr>
          <w:t>,</w:t>
        </w:r>
      </w:hyperlink>
      <w:r>
        <w:rPr>
          <w:lang w:val="pl"/>
        </w:rPr>
        <w:t xml:space="preserve"> § 70).</w:t>
      </w:r>
      <w:bookmarkEnd w:id="147"/>
    </w:p>
    <w:p w:rsidR="00B71A20" w:rsidRDefault="001D7CE1" w:rsidP="001D7CE1">
      <w:pPr>
        <w:pStyle w:val="Nagwek41"/>
        <w:keepNext/>
        <w:keepLines/>
        <w:tabs>
          <w:tab w:val="left" w:pos="317"/>
        </w:tabs>
        <w:jc w:val="both"/>
      </w:pPr>
      <w:bookmarkStart w:id="148" w:name="_Toc126335644"/>
      <w:bookmarkStart w:id="149" w:name="_Toc126660603"/>
      <w:r>
        <w:rPr>
          <w:lang w:val="pl"/>
        </w:rPr>
        <w:t xml:space="preserve">c.  </w:t>
      </w:r>
      <w:r w:rsidR="000425B4">
        <w:rPr>
          <w:lang w:val="pl"/>
        </w:rPr>
        <w:t>Nadanie faksem</w:t>
      </w:r>
      <w:bookmarkEnd w:id="148"/>
      <w:bookmarkEnd w:id="149"/>
    </w:p>
    <w:p w:rsidR="00B71A20" w:rsidRPr="000625F6" w:rsidRDefault="000425B4" w:rsidP="00826EBD">
      <w:pPr>
        <w:pStyle w:val="Teksttreci0"/>
        <w:numPr>
          <w:ilvl w:val="0"/>
          <w:numId w:val="44"/>
        </w:numPr>
        <w:tabs>
          <w:tab w:val="left" w:pos="500"/>
        </w:tabs>
        <w:spacing w:after="240"/>
        <w:jc w:val="both"/>
        <w:rPr>
          <w:lang w:val="pl-PL"/>
        </w:rPr>
      </w:pPr>
      <w:bookmarkStart w:id="150" w:name="bookmark154"/>
      <w:r>
        <w:rPr>
          <w:lang w:val="pl"/>
        </w:rPr>
        <w:t xml:space="preserve">Skargi wysłane faksem nie przerywają biegu czteromiesięcznego terminu. Skarżący muszą również wysłać podpisany oryginalny dokument pocztą w tym samym czteromiesięcznym terminie </w:t>
      </w:r>
      <w:hyperlink r:id="rId1008" w:history="1">
        <w:r>
          <w:rPr>
            <w:lang w:val="pl"/>
          </w:rPr>
          <w:t>(</w:t>
        </w:r>
        <w:r>
          <w:rPr>
            <w:color w:val="0072BC"/>
            <w:lang w:val="pl"/>
          </w:rPr>
          <w:t>Instrukcja</w:t>
        </w:r>
      </w:hyperlink>
      <w:r>
        <w:rPr>
          <w:color w:val="0072BC"/>
          <w:lang w:val="pl"/>
        </w:rPr>
        <w:t xml:space="preserve"> </w:t>
      </w:r>
      <w:hyperlink r:id="rId1009" w:history="1">
        <w:r>
          <w:rPr>
            <w:color w:val="0072BC"/>
            <w:lang w:val="pl"/>
          </w:rPr>
          <w:t>dotycząca praktyki wszczęcia postępowania</w:t>
        </w:r>
        <w:r>
          <w:rPr>
            <w:lang w:val="pl"/>
          </w:rPr>
          <w:t>,</w:t>
        </w:r>
      </w:hyperlink>
      <w:r>
        <w:rPr>
          <w:lang w:val="pl"/>
        </w:rPr>
        <w:t xml:space="preserve"> § 3).</w:t>
      </w:r>
      <w:bookmarkEnd w:id="150"/>
    </w:p>
    <w:p w:rsidR="00B71A20" w:rsidRDefault="001D7CE1" w:rsidP="001D7CE1">
      <w:pPr>
        <w:pStyle w:val="Nagwek41"/>
        <w:keepNext/>
        <w:keepLines/>
        <w:tabs>
          <w:tab w:val="left" w:pos="322"/>
        </w:tabs>
        <w:spacing w:after="240"/>
        <w:jc w:val="both"/>
      </w:pPr>
      <w:bookmarkStart w:id="151" w:name="_Toc126335645"/>
      <w:bookmarkStart w:id="152" w:name="_Toc126660604"/>
      <w:r>
        <w:rPr>
          <w:lang w:val="pl"/>
        </w:rPr>
        <w:t xml:space="preserve">d.  </w:t>
      </w:r>
      <w:r w:rsidR="000425B4">
        <w:rPr>
          <w:lang w:val="pl"/>
        </w:rPr>
        <w:t>Charakterystyka skargi</w:t>
      </w:r>
      <w:bookmarkEnd w:id="151"/>
      <w:bookmarkEnd w:id="152"/>
    </w:p>
    <w:p w:rsidR="00B71A20" w:rsidRPr="000625F6" w:rsidRDefault="000425B4" w:rsidP="00826EBD">
      <w:pPr>
        <w:pStyle w:val="Teksttreci0"/>
        <w:numPr>
          <w:ilvl w:val="0"/>
          <w:numId w:val="45"/>
        </w:numPr>
        <w:tabs>
          <w:tab w:val="left" w:pos="514"/>
        </w:tabs>
        <w:jc w:val="both"/>
        <w:rPr>
          <w:lang w:val="pl-PL"/>
        </w:rPr>
      </w:pPr>
      <w:r>
        <w:rPr>
          <w:lang w:val="pl"/>
        </w:rPr>
        <w:t xml:space="preserve">Skargę charakteryzuje określony w niej stan faktyczny, a nie tylko podstawy prawne lub przytaczane argumenty </w:t>
      </w:r>
      <w:hyperlink r:id="rId1010" w:history="1">
        <w:r>
          <w:rPr>
            <w:lang w:val="pl"/>
          </w:rPr>
          <w:t>(</w:t>
        </w:r>
        <w:r>
          <w:rPr>
            <w:i/>
            <w:iCs/>
            <w:color w:val="0072BC"/>
            <w:lang w:val="pl"/>
          </w:rPr>
          <w:t xml:space="preserve">Scoppola p. Włochom (nr 2) </w:t>
        </w:r>
      </w:hyperlink>
      <w:r>
        <w:rPr>
          <w:lang w:val="pl"/>
        </w:rPr>
        <w:t>[WI], § 54;</w:t>
      </w:r>
      <w:hyperlink r:id="rId1011" w:history="1">
        <w:r>
          <w:rPr>
            <w:i/>
            <w:iCs/>
            <w:lang w:val="pl"/>
          </w:rPr>
          <w:t xml:space="preserve"> </w:t>
        </w:r>
        <w:r>
          <w:rPr>
            <w:i/>
            <w:iCs/>
            <w:color w:val="0072BC"/>
            <w:lang w:val="pl"/>
          </w:rPr>
          <w:t xml:space="preserve">Radomilja i Inni p. Chorwacji </w:t>
        </w:r>
      </w:hyperlink>
      <w:r w:rsidR="00DC2406">
        <w:rPr>
          <w:lang w:val="pl"/>
        </w:rPr>
        <w:t>[WI], §§ </w:t>
      </w:r>
      <w:r>
        <w:rPr>
          <w:lang w:val="pl"/>
        </w:rPr>
        <w:t xml:space="preserve">110-126). Zgodnie z zasadą </w:t>
      </w:r>
      <w:r>
        <w:rPr>
          <w:i/>
          <w:iCs/>
          <w:lang w:val="pl"/>
        </w:rPr>
        <w:t>jura novit curia</w:t>
      </w:r>
      <w:r>
        <w:rPr>
          <w:lang w:val="pl"/>
        </w:rPr>
        <w:t xml:space="preserve"> Trybunał nie jest związany podstawą prawną przywołaną przez skarżącego na podstawie Konwencji i </w:t>
      </w:r>
      <w:r w:rsidR="00C90A3D">
        <w:rPr>
          <w:lang w:val="pl"/>
        </w:rPr>
        <w:t>P</w:t>
      </w:r>
      <w:r>
        <w:rPr>
          <w:lang w:val="pl"/>
        </w:rPr>
        <w:t xml:space="preserve">rotokołów </w:t>
      </w:r>
      <w:r w:rsidR="00C90A3D">
        <w:rPr>
          <w:lang w:val="pl"/>
        </w:rPr>
        <w:t>do niej</w:t>
      </w:r>
      <w:r>
        <w:rPr>
          <w:lang w:val="pl"/>
        </w:rPr>
        <w:t xml:space="preserve"> i jest uprawniony do tego, aby decydować o kwalifikacji prawnej zaskarżonych faktów w drodze badania skargi w świetle innych artykułów lub postanowień Konwencji niż te, na których oparł się skarżący </w:t>
      </w:r>
      <w:hyperlink r:id="rId1012" w:history="1">
        <w:r>
          <w:rPr>
            <w:lang w:val="pl"/>
          </w:rPr>
          <w:t xml:space="preserve">(sprawa </w:t>
        </w:r>
        <w:r>
          <w:rPr>
            <w:i/>
            <w:iCs/>
            <w:color w:val="0072BC"/>
            <w:lang w:val="pl"/>
          </w:rPr>
          <w:t xml:space="preserve">Navalnyy p. Rosji </w:t>
        </w:r>
      </w:hyperlink>
      <w:r>
        <w:rPr>
          <w:lang w:val="pl"/>
        </w:rPr>
        <w:t>[WI], §§ 62</w:t>
      </w:r>
      <w:r>
        <w:rPr>
          <w:lang w:val="pl"/>
        </w:rPr>
        <w:noBreakHyphen/>
        <w:t>66, w której Trybunał zwrócił uwagę, że elementy faktyczne skarg wniesionych na podstawie art. 18 występowały we wszystkich wstępnych skargach, choć skarżący powołał się na to postanowienie tylko w dwóch z nich; tym samym Trybunał nie uznał zastrzeżenia rządu, że części tych skarg zostały wniesione po terminie, tj. w czasie toczącego się postępowania przed Wielką Izbą). Wskazanie podstawy faktycznej skargi i rodzaju domniemanego naruszenia Konwencji jest wymagane dla celów złożenia skargi i przerwania biegu czteromiesięcznego terminu. Skarżący muszą sformułować zarzuty i przedstawić informacje, które powinny wystarczyć Trybun</w:t>
      </w:r>
      <w:r w:rsidR="00DC2406">
        <w:rPr>
          <w:lang w:val="pl"/>
        </w:rPr>
        <w:t>ałowi do ustalenia charakteru i </w:t>
      </w:r>
      <w:r>
        <w:rPr>
          <w:lang w:val="pl"/>
        </w:rPr>
        <w:t xml:space="preserve">zakresu skargi. Nieostre wyrażenia lub pojedyncze słowa nie wystarczą do przyjęcia, że dany zarzut został podniesiony </w:t>
      </w:r>
      <w:hyperlink r:id="rId1013" w:history="1">
        <w:r>
          <w:rPr>
            <w:lang w:val="pl"/>
          </w:rPr>
          <w:t>(</w:t>
        </w:r>
        <w:r>
          <w:rPr>
            <w:i/>
            <w:iCs/>
            <w:color w:val="0072BC"/>
            <w:lang w:val="pl"/>
          </w:rPr>
          <w:t>Ilias</w:t>
        </w:r>
      </w:hyperlink>
      <w:r>
        <w:rPr>
          <w:i/>
          <w:iCs/>
          <w:color w:val="0072BC"/>
          <w:lang w:val="pl"/>
        </w:rPr>
        <w:t xml:space="preserve"> </w:t>
      </w:r>
      <w:hyperlink r:id="rId1014" w:history="1">
        <w:r>
          <w:rPr>
            <w:i/>
            <w:iCs/>
            <w:color w:val="0072BC"/>
            <w:lang w:val="pl"/>
          </w:rPr>
          <w:t xml:space="preserve">i Ahmed p. Węgrom </w:t>
        </w:r>
      </w:hyperlink>
      <w:r>
        <w:rPr>
          <w:lang w:val="pl"/>
        </w:rPr>
        <w:t>[WI], §§ 82-85 i cytowane tam odniesienia).</w:t>
      </w:r>
    </w:p>
    <w:p w:rsidR="00B71A20" w:rsidRPr="000625F6" w:rsidRDefault="000425B4">
      <w:pPr>
        <w:pStyle w:val="Teksttreci0"/>
        <w:spacing w:after="240"/>
        <w:jc w:val="both"/>
        <w:rPr>
          <w:lang w:val="pl-PL"/>
        </w:rPr>
      </w:pPr>
      <w:bookmarkStart w:id="153" w:name="bookmark157"/>
      <w:r>
        <w:rPr>
          <w:lang w:val="pl"/>
        </w:rPr>
        <w:t xml:space="preserve">W związku z tym Reguła 47 § 1 lit. e i f Regulaminu Trybunału stanowi, że wszystkie skargi muszą zawierać m.in. zwięzłe i czytelne przedstawienie stanu faktycznego i zarzucanego naruszenia lub zarzucanych naruszeń Konwencji oraz istotnych argumentów. Zgodnie z </w:t>
      </w:r>
      <w:r w:rsidR="00DC2406">
        <w:rPr>
          <w:lang w:val="pl"/>
        </w:rPr>
        <w:t>Regułą 47 § 1 lit. f i § 2 lit. </w:t>
      </w:r>
      <w:r>
        <w:rPr>
          <w:lang w:val="pl"/>
        </w:rPr>
        <w:t xml:space="preserve">a Regulaminu Trybunału nie można oczekiwać od Trybunału, że przy ustalaniu charakteru i zakresu wniesionych zarzutów uwzględni inny dokument niż zwięzłe i czytelne przedstawienie zarzucanego naruszenia lub zarzucanych naruszeń Konwencji opisanych przez skarżącego </w:t>
      </w:r>
      <w:hyperlink r:id="rId1015" w:history="1">
        <w:r>
          <w:rPr>
            <w:lang w:val="pl"/>
          </w:rPr>
          <w:t>(</w:t>
        </w:r>
        <w:r>
          <w:rPr>
            <w:i/>
            <w:iCs/>
            <w:color w:val="0072BC"/>
            <w:lang w:val="pl"/>
          </w:rPr>
          <w:t>Rustavi 2 Broadcasting</w:t>
        </w:r>
      </w:hyperlink>
      <w:r>
        <w:rPr>
          <w:i/>
          <w:iCs/>
          <w:color w:val="0072BC"/>
          <w:lang w:val="pl"/>
        </w:rPr>
        <w:t xml:space="preserve"> </w:t>
      </w:r>
      <w:hyperlink r:id="rId1016" w:history="1">
        <w:r>
          <w:rPr>
            <w:i/>
            <w:iCs/>
            <w:color w:val="0072BC"/>
            <w:lang w:val="pl"/>
          </w:rPr>
          <w:t>Company Ltd i Inni p. Gruzji</w:t>
        </w:r>
        <w:r>
          <w:rPr>
            <w:lang w:val="pl"/>
          </w:rPr>
          <w:t>,</w:t>
        </w:r>
      </w:hyperlink>
      <w:r>
        <w:rPr>
          <w:lang w:val="pl"/>
        </w:rPr>
        <w:t xml:space="preserve"> §§ 244-246).</w:t>
      </w:r>
      <w:bookmarkEnd w:id="153"/>
    </w:p>
    <w:p w:rsidR="00B71A20" w:rsidRDefault="001D7CE1" w:rsidP="001D7CE1">
      <w:pPr>
        <w:pStyle w:val="Nagwek41"/>
        <w:keepNext/>
        <w:keepLines/>
        <w:tabs>
          <w:tab w:val="left" w:pos="317"/>
        </w:tabs>
        <w:jc w:val="both"/>
      </w:pPr>
      <w:bookmarkStart w:id="154" w:name="_Toc126335646"/>
      <w:bookmarkStart w:id="155" w:name="_Toc126660605"/>
      <w:r>
        <w:rPr>
          <w:lang w:val="pl"/>
        </w:rPr>
        <w:t xml:space="preserve">e.  </w:t>
      </w:r>
      <w:r w:rsidR="000425B4">
        <w:rPr>
          <w:lang w:val="pl"/>
        </w:rPr>
        <w:t>Kolejne skargi</w:t>
      </w:r>
      <w:bookmarkEnd w:id="154"/>
      <w:bookmarkEnd w:id="155"/>
    </w:p>
    <w:p w:rsidR="00B71A20" w:rsidRPr="000625F6" w:rsidRDefault="000425B4" w:rsidP="004E4EAC">
      <w:pPr>
        <w:pStyle w:val="Teksttreci0"/>
        <w:numPr>
          <w:ilvl w:val="0"/>
          <w:numId w:val="46"/>
        </w:numPr>
        <w:tabs>
          <w:tab w:val="left" w:pos="514"/>
        </w:tabs>
        <w:jc w:val="both"/>
        <w:rPr>
          <w:lang w:val="pl-PL"/>
        </w:rPr>
      </w:pPr>
      <w:r>
        <w:rPr>
          <w:lang w:val="pl"/>
        </w:rPr>
        <w:t xml:space="preserve">W odniesieniu do zarzutów nieujętych w pierwotnej skardze bieg czteromiesięcznego terminu nie zostanie przerwany do dnia pierwszego wniesienia skargi do Trybunału </w:t>
      </w:r>
      <w:hyperlink r:id="rId1017" w:history="1">
        <w:r>
          <w:rPr>
            <w:lang w:val="pl"/>
          </w:rPr>
          <w:t>(</w:t>
        </w:r>
        <w:r>
          <w:rPr>
            <w:i/>
            <w:iCs/>
            <w:color w:val="0072BC"/>
            <w:lang w:val="pl"/>
          </w:rPr>
          <w:t>Allan</w:t>
        </w:r>
      </w:hyperlink>
      <w:r>
        <w:rPr>
          <w:i/>
          <w:iCs/>
          <w:color w:val="0072BC"/>
          <w:lang w:val="pl"/>
        </w:rPr>
        <w:t xml:space="preserve"> </w:t>
      </w:r>
      <w:hyperlink r:id="rId1018" w:history="1">
        <w:r>
          <w:rPr>
            <w:i/>
            <w:iCs/>
            <w:color w:val="0072BC"/>
            <w:lang w:val="pl"/>
          </w:rPr>
          <w:t xml:space="preserve">p. Wielkiej Brytanii </w:t>
        </w:r>
      </w:hyperlink>
      <w:r>
        <w:rPr>
          <w:lang w:val="pl"/>
        </w:rPr>
        <w:t>(dec.)).</w:t>
      </w:r>
    </w:p>
    <w:p w:rsidR="00B71A20" w:rsidRPr="000625F6" w:rsidRDefault="000425B4" w:rsidP="00115011">
      <w:pPr>
        <w:pStyle w:val="Teksttreci0"/>
        <w:numPr>
          <w:ilvl w:val="0"/>
          <w:numId w:val="46"/>
        </w:numPr>
        <w:tabs>
          <w:tab w:val="left" w:pos="505"/>
        </w:tabs>
        <w:jc w:val="both"/>
        <w:rPr>
          <w:lang w:val="pl-PL"/>
        </w:rPr>
      </w:pPr>
      <w:r>
        <w:rPr>
          <w:lang w:val="pl"/>
        </w:rPr>
        <w:t xml:space="preserve">Skarżący może wyjaśnić lub rozwinąć przedstawiony wstępnie stan faktyczny, lecz jeśli takie dodatkowe informacje prowadzą w rezultacie do podniesienia nowych i odrębnych zarzutów, te zarzuty muszą spełniać wymogi dopuszczalności, w tym wymóg dochowania czteromiesięcznego terminu </w:t>
      </w:r>
      <w:hyperlink r:id="rId1019" w:history="1">
        <w:r>
          <w:rPr>
            <w:lang w:val="pl"/>
          </w:rPr>
          <w:t>(</w:t>
        </w:r>
        <w:r>
          <w:rPr>
            <w:i/>
            <w:iCs/>
            <w:color w:val="0072BC"/>
            <w:lang w:val="pl"/>
          </w:rPr>
          <w:t xml:space="preserve">Radomilja i Inni p. Chorwacji </w:t>
        </w:r>
      </w:hyperlink>
      <w:r>
        <w:rPr>
          <w:lang w:val="pl"/>
        </w:rPr>
        <w:t xml:space="preserve">[WI], §§ 122 oraz 128-139). Zarzuty podnoszone po upływie czteromiesięcznego terminu mogą być rozpatrywane wyłącznie jeśli w istocie nie są odrębnymi zarzutami, a jedynie dotyczą konkretnych aspektów lub dodatkowych argumentów na poparcie pierwotnych zarzutów wniesionych w terminie </w:t>
      </w:r>
      <w:hyperlink r:id="rId1020" w:history="1">
        <w:r>
          <w:rPr>
            <w:lang w:val="pl"/>
          </w:rPr>
          <w:t>(</w:t>
        </w:r>
        <w:r>
          <w:rPr>
            <w:i/>
            <w:iCs/>
            <w:color w:val="0072BC"/>
            <w:lang w:val="pl"/>
          </w:rPr>
          <w:t>Merabishvili p. Gruzji</w:t>
        </w:r>
      </w:hyperlink>
      <w:r>
        <w:rPr>
          <w:color w:val="0072BC"/>
          <w:lang w:val="pl"/>
        </w:rPr>
        <w:t xml:space="preserve"> </w:t>
      </w:r>
      <w:r>
        <w:rPr>
          <w:lang w:val="pl"/>
        </w:rPr>
        <w:t>[WI], § 250;</w:t>
      </w:r>
      <w:hyperlink r:id="rId1021" w:history="1">
        <w:r>
          <w:rPr>
            <w:i/>
            <w:iCs/>
            <w:lang w:val="pl"/>
          </w:rPr>
          <w:t xml:space="preserve"> </w:t>
        </w:r>
        <w:r>
          <w:rPr>
            <w:i/>
            <w:iCs/>
            <w:color w:val="0072BC"/>
            <w:lang w:val="pl"/>
          </w:rPr>
          <w:t xml:space="preserve">Sâmbata Bihor Greco-Catholic Parish p. Rumunii </w:t>
        </w:r>
      </w:hyperlink>
      <w:r>
        <w:rPr>
          <w:lang w:val="pl"/>
        </w:rPr>
        <w:t>(dec.)).</w:t>
      </w:r>
    </w:p>
    <w:p w:rsidR="00B71A20" w:rsidRPr="000625F6" w:rsidRDefault="000425B4" w:rsidP="00115011">
      <w:pPr>
        <w:pStyle w:val="Teksttreci0"/>
        <w:numPr>
          <w:ilvl w:val="0"/>
          <w:numId w:val="46"/>
        </w:numPr>
        <w:tabs>
          <w:tab w:val="left" w:pos="510"/>
        </w:tabs>
        <w:jc w:val="both"/>
        <w:rPr>
          <w:lang w:val="pl-PL"/>
        </w:rPr>
      </w:pPr>
      <w:r>
        <w:rPr>
          <w:lang w:val="pl"/>
        </w:rPr>
        <w:t xml:space="preserve">Sam fakt, że skarżący powołał się w skardze na art. 6, nie jest wystarczający do wniesienia </w:t>
      </w:r>
      <w:r>
        <w:rPr>
          <w:lang w:val="pl"/>
        </w:rPr>
        <w:lastRenderedPageBreak/>
        <w:t>jakichkolwiek kolejnych zarzutów na podstawie tego postanowienia, gdy początkowo nie wskazano podstawy faktycznej skargi ani charakteru zarzucanego naruszenia</w:t>
      </w:r>
      <w:r>
        <w:rPr>
          <w:i/>
          <w:iCs/>
          <w:lang w:val="pl"/>
        </w:rPr>
        <w:t xml:space="preserve"> </w:t>
      </w:r>
      <w:hyperlink r:id="rId1022" w:history="1">
        <w:r>
          <w:rPr>
            <w:lang w:val="pl"/>
          </w:rPr>
          <w:t>(</w:t>
        </w:r>
        <w:r>
          <w:rPr>
            <w:i/>
            <w:iCs/>
            <w:color w:val="0072BC"/>
            <w:lang w:val="pl"/>
          </w:rPr>
          <w:t xml:space="preserve">Ramos Nunes de Carvalho e Sá p. Portugalii </w:t>
        </w:r>
      </w:hyperlink>
      <w:r>
        <w:rPr>
          <w:lang w:val="pl"/>
        </w:rPr>
        <w:t>[WI], §§ 102</w:t>
      </w:r>
      <w:r>
        <w:rPr>
          <w:lang w:val="pl"/>
        </w:rPr>
        <w:noBreakHyphen/>
        <w:t>106</w:t>
      </w:r>
      <w:r>
        <w:rPr>
          <w:sz w:val="20"/>
          <w:szCs w:val="20"/>
          <w:lang w:val="pl"/>
        </w:rPr>
        <w:t>;</w:t>
      </w:r>
      <w:hyperlink r:id="rId1023" w:history="1">
        <w:r>
          <w:rPr>
            <w:i/>
            <w:iCs/>
            <w:sz w:val="20"/>
            <w:szCs w:val="20"/>
            <w:lang w:val="pl"/>
          </w:rPr>
          <w:t xml:space="preserve"> </w:t>
        </w:r>
        <w:r>
          <w:rPr>
            <w:i/>
            <w:iCs/>
            <w:color w:val="0072BC"/>
            <w:lang w:val="pl"/>
          </w:rPr>
          <w:t>Allan p. Wielkiej Brytanii</w:t>
        </w:r>
      </w:hyperlink>
      <w:r>
        <w:rPr>
          <w:color w:val="0072BC"/>
          <w:lang w:val="pl"/>
        </w:rPr>
        <w:t xml:space="preserve"> </w:t>
      </w:r>
      <w:r>
        <w:rPr>
          <w:lang w:val="pl"/>
        </w:rPr>
        <w:t>(dec.);</w:t>
      </w:r>
      <w:hyperlink r:id="rId1024" w:history="1">
        <w:r>
          <w:rPr>
            <w:i/>
            <w:iCs/>
            <w:lang w:val="pl"/>
          </w:rPr>
          <w:t xml:space="preserve"> </w:t>
        </w:r>
        <w:r>
          <w:rPr>
            <w:i/>
            <w:iCs/>
            <w:color w:val="0072BC"/>
            <w:lang w:val="pl"/>
          </w:rPr>
          <w:t xml:space="preserve">Adam i Inni p. Niemcom </w:t>
        </w:r>
      </w:hyperlink>
      <w:r>
        <w:rPr>
          <w:lang w:val="pl"/>
        </w:rPr>
        <w:t xml:space="preserve">(dec.)). Podobnie skarga wniesiona na podstawie art. 14 powinna zawierać przynajmniej wskazanie osoby lub grupy osób, w porównaniu z którą skarżący w jego mniemaniu został potraktowany inaczej, a także podstawę rozróżnienia, której zastosowanie zarzucono. Trybunał nie może przyjąć, że sam fakt ujęcia w formularzu skargi zarzutu na podstawie art. 14 Konwencji wystarczy do stwierdzenia, że wszystkie kolejne zarzuty wniesiono w świetle tego postanowienia </w:t>
      </w:r>
      <w:hyperlink r:id="rId1025" w:history="1">
        <w:r>
          <w:rPr>
            <w:lang w:val="pl"/>
          </w:rPr>
          <w:t>(</w:t>
        </w:r>
        <w:r>
          <w:rPr>
            <w:i/>
            <w:iCs/>
            <w:color w:val="0072BC"/>
            <w:lang w:val="pl"/>
          </w:rPr>
          <w:t xml:space="preserve">Fábián p. Węgrom </w:t>
        </w:r>
      </w:hyperlink>
      <w:r>
        <w:rPr>
          <w:lang w:val="pl"/>
        </w:rPr>
        <w:t>[WI], § 96).</w:t>
      </w:r>
    </w:p>
    <w:p w:rsidR="00B71A20" w:rsidRPr="000625F6" w:rsidRDefault="000425B4" w:rsidP="00115011">
      <w:pPr>
        <w:pStyle w:val="Teksttreci0"/>
        <w:numPr>
          <w:ilvl w:val="0"/>
          <w:numId w:val="46"/>
        </w:numPr>
        <w:tabs>
          <w:tab w:val="left" w:pos="505"/>
        </w:tabs>
        <w:spacing w:after="240"/>
        <w:jc w:val="both"/>
        <w:rPr>
          <w:lang w:val="pl-PL"/>
        </w:rPr>
      </w:pPr>
      <w:bookmarkStart w:id="156" w:name="bookmark160"/>
      <w:r>
        <w:rPr>
          <w:lang w:val="pl"/>
        </w:rPr>
        <w:t xml:space="preserve">Udostępnienie dokumentów dotyczących postępowania krajowego nie jest wystarczające dla celów wniesienia dalszych skarg w odniesieniu to tego postępowania. Wskazanie rodzaju domniemanego naruszenia Konwencji, choćby w sposób ogólny, jest wymagane dla celów wniesienia zarzutu, a tym samym przerwania biegu czteromiesięcznego terminu </w:t>
      </w:r>
      <w:hyperlink r:id="rId1026" w:history="1">
        <w:r>
          <w:rPr>
            <w:lang w:val="pl"/>
          </w:rPr>
          <w:t>(</w:t>
        </w:r>
        <w:r>
          <w:rPr>
            <w:i/>
            <w:iCs/>
            <w:color w:val="0072BC"/>
            <w:lang w:val="pl"/>
          </w:rPr>
          <w:t>Božinovski p. Byłej</w:t>
        </w:r>
      </w:hyperlink>
      <w:r>
        <w:rPr>
          <w:i/>
          <w:iCs/>
          <w:color w:val="0072BC"/>
          <w:lang w:val="pl"/>
        </w:rPr>
        <w:t xml:space="preserve"> </w:t>
      </w:r>
      <w:hyperlink r:id="rId1027" w:history="1">
        <w:r>
          <w:rPr>
            <w:i/>
            <w:iCs/>
            <w:color w:val="0072BC"/>
            <w:lang w:val="pl"/>
          </w:rPr>
          <w:t xml:space="preserve">Jugosłowiańskiej Republice Macedonii </w:t>
        </w:r>
      </w:hyperlink>
      <w:r>
        <w:rPr>
          <w:lang w:val="pl"/>
        </w:rPr>
        <w:t>(dec.)).</w:t>
      </w:r>
      <w:bookmarkEnd w:id="156"/>
    </w:p>
    <w:p w:rsidR="00B71A20" w:rsidRPr="00041B3E" w:rsidRDefault="004E4EAC" w:rsidP="004E4EAC">
      <w:pPr>
        <w:pStyle w:val="Nagwek31"/>
        <w:keepNext/>
        <w:keepLines/>
        <w:tabs>
          <w:tab w:val="left" w:pos="331"/>
        </w:tabs>
        <w:spacing w:after="240" w:line="218" w:lineRule="auto"/>
        <w:jc w:val="both"/>
        <w:rPr>
          <w:lang w:val="pl-PL"/>
        </w:rPr>
      </w:pPr>
      <w:bookmarkStart w:id="157" w:name="bookmark161"/>
      <w:bookmarkStart w:id="158" w:name="_Toc126335647"/>
      <w:bookmarkStart w:id="159" w:name="_Toc126660606"/>
      <w:r>
        <w:rPr>
          <w:lang w:val="pl"/>
        </w:rPr>
        <w:t xml:space="preserve">5.  </w:t>
      </w:r>
      <w:r w:rsidR="000425B4">
        <w:rPr>
          <w:lang w:val="pl"/>
        </w:rPr>
        <w:t>Szczególne sytuacje</w:t>
      </w:r>
      <w:bookmarkEnd w:id="157"/>
      <w:bookmarkEnd w:id="158"/>
      <w:bookmarkEnd w:id="159"/>
    </w:p>
    <w:p w:rsidR="00B71A20" w:rsidRPr="000625F6" w:rsidRDefault="001D7CE1" w:rsidP="001D7CE1">
      <w:pPr>
        <w:pStyle w:val="Nagwek41"/>
        <w:keepNext/>
        <w:keepLines/>
        <w:ind w:left="426" w:hanging="426"/>
        <w:jc w:val="both"/>
        <w:rPr>
          <w:lang w:val="pl-PL"/>
        </w:rPr>
      </w:pPr>
      <w:bookmarkStart w:id="160" w:name="_Toc126335648"/>
      <w:bookmarkStart w:id="161" w:name="_Toc126660607"/>
      <w:r w:rsidRPr="001D7CE1">
        <w:rPr>
          <w:lang w:val="pl-PL"/>
        </w:rPr>
        <w:t>a</w:t>
      </w:r>
      <w:r>
        <w:rPr>
          <w:lang w:val="pl-PL"/>
        </w:rPr>
        <w:t xml:space="preserve">.  </w:t>
      </w:r>
      <w:r w:rsidR="000425B4">
        <w:rPr>
          <w:lang w:val="pl"/>
        </w:rPr>
        <w:t>Zastosowanie ograniczeń czasowych do utrzymujących się sytuacji dotyczących prawa do życia, mieszkania i własności</w:t>
      </w:r>
      <w:bookmarkEnd w:id="160"/>
      <w:bookmarkEnd w:id="161"/>
    </w:p>
    <w:p w:rsidR="00B71A20" w:rsidRPr="000625F6" w:rsidRDefault="000425B4" w:rsidP="00017BF0">
      <w:pPr>
        <w:pStyle w:val="Teksttreci0"/>
        <w:numPr>
          <w:ilvl w:val="0"/>
          <w:numId w:val="47"/>
        </w:numPr>
        <w:tabs>
          <w:tab w:val="left" w:pos="519"/>
        </w:tabs>
        <w:jc w:val="both"/>
        <w:rPr>
          <w:lang w:val="pl-PL"/>
        </w:rPr>
      </w:pPr>
      <w:r>
        <w:rPr>
          <w:lang w:val="pl"/>
        </w:rPr>
        <w:t xml:space="preserve">Mimo że nie istnieje precyzyjnie określony moment rozpoczynający bieg czteromiesięcznego terminu, Trybunał nakłada obowiązek staranności i inicjatywy na skarżących, którzy chcą wnieść skargę na utrzymujący się brak postępowania przygotowawczego w sprawie zaginięć w sytuacjach zagrażających życiu. Ze względu na typową dla takich sytuacji niepewność i dezorientację może to być uzasadnione, że bliscy osoby zaginionej czekają długo, aż organy krajowe zakończą prowadzone postępowania, nawet jeśli te postępowania toczą się z przerwami i z wieloma problemami </w:t>
      </w:r>
      <w:hyperlink r:id="rId1028" w:history="1">
        <w:r>
          <w:rPr>
            <w:lang w:val="pl"/>
          </w:rPr>
          <w:t>(</w:t>
        </w:r>
        <w:r w:rsidR="00DC2406">
          <w:rPr>
            <w:i/>
            <w:iCs/>
            <w:color w:val="0072BC"/>
            <w:lang w:val="pl"/>
          </w:rPr>
          <w:t>Varnava i </w:t>
        </w:r>
        <w:r>
          <w:rPr>
            <w:i/>
            <w:iCs/>
            <w:color w:val="0072BC"/>
            <w:lang w:val="pl"/>
          </w:rPr>
          <w:t xml:space="preserve">Inni p. Turcji </w:t>
        </w:r>
      </w:hyperlink>
      <w:r>
        <w:rPr>
          <w:lang w:val="pl"/>
        </w:rPr>
        <w:t>[WI], §§ 162</w:t>
      </w:r>
      <w:r>
        <w:rPr>
          <w:lang w:val="pl"/>
        </w:rPr>
        <w:noBreakHyphen/>
        <w:t xml:space="preserve">163). Skarżący nie mogą jednak czekać w nieskończoność ze złożeniem skargi do Trybunału. Muszą przedstawić swoje zarzuty bez zbędnej zwłoki </w:t>
      </w:r>
      <w:hyperlink r:id="rId1029" w:history="1">
        <w:r>
          <w:rPr>
            <w:lang w:val="pl"/>
          </w:rPr>
          <w:t>(</w:t>
        </w:r>
        <w:r>
          <w:rPr>
            <w:i/>
            <w:iCs/>
            <w:color w:val="0072BC"/>
            <w:lang w:val="pl"/>
          </w:rPr>
          <w:t>ibid.</w:t>
        </w:r>
        <w:r>
          <w:rPr>
            <w:lang w:val="pl"/>
          </w:rPr>
          <w:t>,</w:t>
        </w:r>
      </w:hyperlink>
      <w:r>
        <w:rPr>
          <w:lang w:val="pl"/>
        </w:rPr>
        <w:t xml:space="preserve"> §§ 161-166). Trybunał zasadniczo nie uznaje, że wystąpiła zbędna zwłoka ze strony skarżących, dopóki bliscy i władze utrzymują konstruktywny kontakt, jeśli chodzi o zarzuty i wnioski o informację, albo istnieją oznaki lub zachodzą realne przesłanki, że czynności dochodzeniowo-śledcze postępują </w:t>
      </w:r>
      <w:hyperlink r:id="rId1030" w:history="1">
        <w:r>
          <w:rPr>
            <w:lang w:val="pl"/>
          </w:rPr>
          <w:t>(</w:t>
        </w:r>
        <w:r>
          <w:rPr>
            <w:i/>
            <w:iCs/>
            <w:color w:val="0072BC"/>
            <w:lang w:val="pl"/>
          </w:rPr>
          <w:t>ibid.</w:t>
        </w:r>
        <w:r>
          <w:rPr>
            <w:lang w:val="pl"/>
          </w:rPr>
          <w:t>,</w:t>
        </w:r>
      </w:hyperlink>
      <w:r>
        <w:rPr>
          <w:lang w:val="pl"/>
        </w:rPr>
        <w:t xml:space="preserve"> § 165; patrz też</w:t>
      </w:r>
      <w:hyperlink r:id="rId1031" w:history="1">
        <w:r>
          <w:rPr>
            <w:i/>
            <w:iCs/>
            <w:lang w:val="pl"/>
          </w:rPr>
          <w:t xml:space="preserve"> </w:t>
        </w:r>
        <w:r>
          <w:rPr>
            <w:i/>
            <w:iCs/>
            <w:color w:val="0072BC"/>
            <w:lang w:val="pl"/>
          </w:rPr>
          <w:t>Pitsayeva i Inni</w:t>
        </w:r>
      </w:hyperlink>
      <w:r>
        <w:rPr>
          <w:i/>
          <w:iCs/>
          <w:color w:val="0072BC"/>
          <w:lang w:val="pl"/>
        </w:rPr>
        <w:t xml:space="preserve"> </w:t>
      </w:r>
      <w:hyperlink r:id="rId1032" w:history="1">
        <w:r>
          <w:rPr>
            <w:i/>
            <w:iCs/>
            <w:color w:val="0072BC"/>
            <w:lang w:val="pl"/>
          </w:rPr>
          <w:t>p. Rosji</w:t>
        </w:r>
        <w:r>
          <w:rPr>
            <w:lang w:val="pl"/>
          </w:rPr>
          <w:t>,</w:t>
        </w:r>
      </w:hyperlink>
      <w:r>
        <w:rPr>
          <w:lang w:val="pl"/>
        </w:rPr>
        <w:t xml:space="preserve"> §§ 386</w:t>
      </w:r>
      <w:r>
        <w:rPr>
          <w:lang w:val="pl"/>
        </w:rPr>
        <w:noBreakHyphen/>
        <w:t>393;</w:t>
      </w:r>
      <w:hyperlink r:id="rId1033" w:history="1">
        <w:r>
          <w:rPr>
            <w:i/>
            <w:iCs/>
            <w:lang w:val="pl"/>
          </w:rPr>
          <w:t xml:space="preserve"> </w:t>
        </w:r>
        <w:r>
          <w:rPr>
            <w:i/>
            <w:iCs/>
            <w:color w:val="0072BC"/>
            <w:lang w:val="pl"/>
          </w:rPr>
          <w:t>Sultygov i Inni p. Rosji</w:t>
        </w:r>
        <w:r>
          <w:rPr>
            <w:lang w:val="pl"/>
          </w:rPr>
          <w:t>,</w:t>
        </w:r>
      </w:hyperlink>
      <w:r>
        <w:rPr>
          <w:lang w:val="pl"/>
        </w:rPr>
        <w:t xml:space="preserve"> §§ 375</w:t>
      </w:r>
      <w:r>
        <w:rPr>
          <w:lang w:val="pl"/>
        </w:rPr>
        <w:noBreakHyphen/>
        <w:t>380;</w:t>
      </w:r>
      <w:hyperlink r:id="rId1034" w:history="1">
        <w:r>
          <w:rPr>
            <w:i/>
            <w:iCs/>
            <w:lang w:val="pl"/>
          </w:rPr>
          <w:t xml:space="preserve"> </w:t>
        </w:r>
        <w:r>
          <w:rPr>
            <w:i/>
            <w:iCs/>
            <w:color w:val="0072BC"/>
            <w:lang w:val="pl"/>
          </w:rPr>
          <w:t>Sagayeva i Inni p. Rosji</w:t>
        </w:r>
        <w:r>
          <w:rPr>
            <w:lang w:val="pl"/>
          </w:rPr>
          <w:t>,</w:t>
        </w:r>
      </w:hyperlink>
      <w:r>
        <w:rPr>
          <w:lang w:val="pl"/>
        </w:rPr>
        <w:t xml:space="preserve"> §§ 58</w:t>
      </w:r>
      <w:r>
        <w:rPr>
          <w:lang w:val="pl"/>
        </w:rPr>
        <w:noBreakHyphen/>
        <w:t>62;</w:t>
      </w:r>
      <w:hyperlink r:id="rId1035" w:history="1">
        <w:r>
          <w:rPr>
            <w:i/>
            <w:iCs/>
            <w:lang w:val="pl"/>
          </w:rPr>
          <w:t xml:space="preserve"> </w:t>
        </w:r>
        <w:r>
          <w:rPr>
            <w:i/>
            <w:iCs/>
            <w:color w:val="0072BC"/>
            <w:lang w:val="pl"/>
          </w:rPr>
          <w:t xml:space="preserve">Doshuyeva i Yusupov p. Rosji </w:t>
        </w:r>
      </w:hyperlink>
      <w:r>
        <w:rPr>
          <w:lang w:val="pl"/>
        </w:rPr>
        <w:t>(dec.), §§ 41</w:t>
      </w:r>
      <w:r>
        <w:rPr>
          <w:lang w:val="pl"/>
        </w:rPr>
        <w:noBreakHyphen/>
        <w:t xml:space="preserve">47). Jeśli upłynęło więcej niż dziesięć lat, skarżący co do zasady muszą wykazać w przekonujący sposób, że na bieżąco są osiągane konkretne postępy, które uzasadniają dalszą zwłokę w zwróceniu się do Trybunału </w:t>
      </w:r>
      <w:hyperlink r:id="rId1036" w:history="1">
        <w:r>
          <w:rPr>
            <w:lang w:val="pl"/>
          </w:rPr>
          <w:t>(</w:t>
        </w:r>
        <w:r>
          <w:rPr>
            <w:i/>
            <w:iCs/>
            <w:color w:val="0072BC"/>
            <w:lang w:val="pl"/>
          </w:rPr>
          <w:t>Varnava i</w:t>
        </w:r>
      </w:hyperlink>
      <w:r>
        <w:rPr>
          <w:i/>
          <w:iCs/>
          <w:color w:val="0072BC"/>
          <w:lang w:val="pl"/>
        </w:rPr>
        <w:t xml:space="preserve"> </w:t>
      </w:r>
      <w:hyperlink r:id="rId1037" w:history="1">
        <w:r>
          <w:rPr>
            <w:i/>
            <w:iCs/>
            <w:color w:val="0072BC"/>
            <w:lang w:val="pl"/>
          </w:rPr>
          <w:t xml:space="preserve">Inni p. Turcji </w:t>
        </w:r>
      </w:hyperlink>
      <w:r>
        <w:rPr>
          <w:lang w:val="pl"/>
        </w:rPr>
        <w:t>[WI], § 166; patrz też</w:t>
      </w:r>
      <w:hyperlink r:id="rId1038" w:history="1">
        <w:r>
          <w:rPr>
            <w:lang w:val="pl"/>
          </w:rPr>
          <w:t xml:space="preserve"> </w:t>
        </w:r>
        <w:r>
          <w:rPr>
            <w:i/>
            <w:iCs/>
            <w:color w:val="0072BC"/>
            <w:lang w:val="pl"/>
          </w:rPr>
          <w:t>Açış p. Turcji</w:t>
        </w:r>
        <w:r>
          <w:rPr>
            <w:lang w:val="pl"/>
          </w:rPr>
          <w:t>,</w:t>
        </w:r>
      </w:hyperlink>
      <w:r>
        <w:rPr>
          <w:lang w:val="pl"/>
        </w:rPr>
        <w:t xml:space="preserve"> §§ 41</w:t>
      </w:r>
      <w:r>
        <w:rPr>
          <w:lang w:val="pl"/>
        </w:rPr>
        <w:noBreakHyphen/>
        <w:t>42;</w:t>
      </w:r>
      <w:hyperlink r:id="rId1039" w:history="1">
        <w:r>
          <w:rPr>
            <w:lang w:val="pl"/>
          </w:rPr>
          <w:t xml:space="preserve"> </w:t>
        </w:r>
        <w:r>
          <w:rPr>
            <w:i/>
            <w:iCs/>
            <w:color w:val="0072BC"/>
            <w:lang w:val="pl"/>
          </w:rPr>
          <w:t>Er i Inni p. Turcji</w:t>
        </w:r>
        <w:r>
          <w:rPr>
            <w:lang w:val="pl"/>
          </w:rPr>
          <w:t>,</w:t>
        </w:r>
      </w:hyperlink>
      <w:r>
        <w:rPr>
          <w:lang w:val="pl"/>
        </w:rPr>
        <w:t xml:space="preserve"> §§ 59</w:t>
      </w:r>
      <w:r>
        <w:rPr>
          <w:lang w:val="pl"/>
        </w:rPr>
        <w:noBreakHyphen/>
        <w:t xml:space="preserve">60 oraz </w:t>
      </w:r>
      <w:hyperlink r:id="rId1040" w:history="1">
        <w:r>
          <w:rPr>
            <w:i/>
            <w:iCs/>
            <w:color w:val="0072BC"/>
            <w:lang w:val="pl"/>
          </w:rPr>
          <w:t>Trivkanović p. Chorwacji</w:t>
        </w:r>
        <w:r>
          <w:rPr>
            <w:lang w:val="pl"/>
          </w:rPr>
          <w:t>,</w:t>
        </w:r>
      </w:hyperlink>
      <w:r>
        <w:rPr>
          <w:lang w:val="pl"/>
        </w:rPr>
        <w:t xml:space="preserve"> §§ 54</w:t>
      </w:r>
      <w:r>
        <w:rPr>
          <w:lang w:val="pl"/>
        </w:rPr>
        <w:noBreakHyphen/>
        <w:t>58).</w:t>
      </w:r>
    </w:p>
    <w:p w:rsidR="00B71A20" w:rsidRPr="000625F6" w:rsidRDefault="000425B4" w:rsidP="00115011">
      <w:pPr>
        <w:pStyle w:val="Teksttreci0"/>
        <w:numPr>
          <w:ilvl w:val="0"/>
          <w:numId w:val="47"/>
        </w:numPr>
        <w:tabs>
          <w:tab w:val="left" w:pos="505"/>
        </w:tabs>
        <w:jc w:val="both"/>
        <w:rPr>
          <w:lang w:val="pl-PL"/>
        </w:rPr>
      </w:pPr>
      <w:r>
        <w:rPr>
          <w:lang w:val="pl"/>
        </w:rPr>
        <w:t>Podobnie jest z zarzucanymi naruszeniami prawa do własności lub mieszkania w kontekście długotrwałego konfliktu. Może nadejść czas, kiedy skarżący powinien wnieść sprawę, gdyż dalsza bierna postawa w obliczu trwającej sytuacji nie miałaby dłużej uzasadnienia. Z chwilą gdy skarżący uświadomi sobie lub powinien był uświadomić sobie, że nie ma realnej nadziei na odzyskanie dostępu do własności i mieszkania w przewidywalnej przyszłości, niewytłumaczone lub nadmierne opóźnienie w złożeniu skargi może doprowadzić do odrzucenia skargi z powodu przekrocz</w:t>
      </w:r>
      <w:r w:rsidR="00DC2406">
        <w:rPr>
          <w:lang w:val="pl"/>
        </w:rPr>
        <w:t>enia terminu na jej złożenie. W </w:t>
      </w:r>
      <w:r>
        <w:rPr>
          <w:lang w:val="pl"/>
        </w:rPr>
        <w:t xml:space="preserve">złożonej sytuacji będącej następstwem konfliktu ramy czasowe powinny być elastyczne, by pozwolić na unormowanie sytuacji i umożliwić skarżącym zebranie obszernych informacji o uzyskaniu rozwiązania na poziomie krajowym </w:t>
      </w:r>
      <w:hyperlink r:id="rId1041" w:history="1">
        <w:r>
          <w:rPr>
            <w:lang w:val="pl"/>
          </w:rPr>
          <w:t xml:space="preserve">(w sprawie </w:t>
        </w:r>
        <w:r>
          <w:rPr>
            <w:i/>
            <w:iCs/>
            <w:color w:val="0072BC"/>
            <w:lang w:val="pl"/>
          </w:rPr>
          <w:t xml:space="preserve">Sargsyan p. Azerbejdżanowi </w:t>
        </w:r>
      </w:hyperlink>
      <w:r>
        <w:rPr>
          <w:lang w:val="pl"/>
        </w:rPr>
        <w:t>(dec.) [WI], §§ 140-141, blisko trzy lata od ratyfikacji Konwencji; w sprawie</w:t>
      </w:r>
      <w:hyperlink r:id="rId1042" w:history="1">
        <w:r>
          <w:rPr>
            <w:lang w:val="pl"/>
          </w:rPr>
          <w:t xml:space="preserve"> </w:t>
        </w:r>
        <w:r>
          <w:rPr>
            <w:i/>
            <w:iCs/>
            <w:color w:val="0072BC"/>
            <w:lang w:val="pl"/>
          </w:rPr>
          <w:t xml:space="preserve">Chiragov i Inni p. Armenii </w:t>
        </w:r>
      </w:hyperlink>
      <w:r>
        <w:rPr>
          <w:lang w:val="pl"/>
        </w:rPr>
        <w:t>(dec.) [WI], §§ 141-142, cztery lata i niemal cztery miesiące od ratyfikacji; por. z kolei sprawę</w:t>
      </w:r>
      <w:hyperlink r:id="rId1043" w:history="1">
        <w:r>
          <w:rPr>
            <w:lang w:val="pl"/>
          </w:rPr>
          <w:t xml:space="preserve"> </w:t>
        </w:r>
        <w:r>
          <w:rPr>
            <w:i/>
            <w:iCs/>
            <w:color w:val="0072BC"/>
            <w:lang w:val="pl"/>
          </w:rPr>
          <w:t>Samadov</w:t>
        </w:r>
      </w:hyperlink>
      <w:r>
        <w:rPr>
          <w:i/>
          <w:iCs/>
          <w:color w:val="0072BC"/>
          <w:lang w:val="pl"/>
        </w:rPr>
        <w:t xml:space="preserve"> </w:t>
      </w:r>
      <w:hyperlink r:id="rId1044" w:history="1">
        <w:r>
          <w:rPr>
            <w:i/>
            <w:iCs/>
            <w:color w:val="0072BC"/>
            <w:lang w:val="pl"/>
          </w:rPr>
          <w:t xml:space="preserve">p. Armenii </w:t>
        </w:r>
      </w:hyperlink>
      <w:r>
        <w:rPr>
          <w:lang w:val="pl"/>
        </w:rPr>
        <w:t>(dec.), §§ 9-18, w której okres ten wyniósł ponad sześć lat od ratyfikacji).</w:t>
      </w:r>
    </w:p>
    <w:p w:rsidR="00B71A20" w:rsidRPr="000625F6" w:rsidRDefault="000425B4" w:rsidP="00115011">
      <w:pPr>
        <w:pStyle w:val="Teksttreci0"/>
        <w:numPr>
          <w:ilvl w:val="0"/>
          <w:numId w:val="47"/>
        </w:numPr>
        <w:tabs>
          <w:tab w:val="left" w:pos="503"/>
        </w:tabs>
        <w:spacing w:after="220"/>
        <w:jc w:val="both"/>
        <w:rPr>
          <w:lang w:val="pl-PL"/>
        </w:rPr>
      </w:pPr>
      <w:bookmarkStart w:id="162" w:name="bookmark166"/>
      <w:r>
        <w:rPr>
          <w:lang w:val="pl"/>
        </w:rPr>
        <w:t xml:space="preserve">Zasada należytej staranności znalazła też zastosowanie w kontekście nieegzekwowania długów pieniężnych przedsiębiorstwa państwowego </w:t>
      </w:r>
      <w:hyperlink r:id="rId1045" w:history="1">
        <w:r>
          <w:rPr>
            <w:lang w:val="pl"/>
          </w:rPr>
          <w:t>(</w:t>
        </w:r>
        <w:r>
          <w:rPr>
            <w:i/>
            <w:iCs/>
            <w:color w:val="0072BC"/>
            <w:lang w:val="pl"/>
          </w:rPr>
          <w:t xml:space="preserve">Sokolov i Inni p. Serbii </w:t>
        </w:r>
      </w:hyperlink>
      <w:r>
        <w:rPr>
          <w:lang w:val="pl"/>
        </w:rPr>
        <w:t>(dec.), §§ 31</w:t>
      </w:r>
      <w:r>
        <w:rPr>
          <w:lang w:val="pl"/>
        </w:rPr>
        <w:noBreakHyphen/>
        <w:t>33).</w:t>
      </w:r>
      <w:bookmarkEnd w:id="162"/>
    </w:p>
    <w:p w:rsidR="00B71A20" w:rsidRPr="000625F6" w:rsidRDefault="00BC57A4" w:rsidP="00BC57A4">
      <w:pPr>
        <w:pStyle w:val="Nagwek41"/>
        <w:keepNext/>
        <w:keepLines/>
        <w:tabs>
          <w:tab w:val="left" w:pos="318"/>
        </w:tabs>
        <w:ind w:left="567" w:hanging="567"/>
        <w:jc w:val="both"/>
        <w:rPr>
          <w:lang w:val="pl-PL"/>
        </w:rPr>
      </w:pPr>
      <w:bookmarkStart w:id="163" w:name="_Toc126335649"/>
      <w:bookmarkStart w:id="164" w:name="_Toc126660608"/>
      <w:r>
        <w:rPr>
          <w:lang w:val="pl-PL"/>
        </w:rPr>
        <w:lastRenderedPageBreak/>
        <w:t xml:space="preserve">b.  </w:t>
      </w:r>
      <w:r w:rsidR="000425B4">
        <w:rPr>
          <w:lang w:val="pl"/>
        </w:rPr>
        <w:t>Zastosowanie ograniczenia czasowego w związku z brakiem skutecznego postępowania przygotowawczego w sprawie śmierci i złego traktowania</w:t>
      </w:r>
      <w:bookmarkEnd w:id="163"/>
      <w:bookmarkEnd w:id="164"/>
    </w:p>
    <w:p w:rsidR="00B71A20" w:rsidRPr="000625F6" w:rsidRDefault="000425B4" w:rsidP="00017BF0">
      <w:pPr>
        <w:pStyle w:val="Teksttreci0"/>
        <w:numPr>
          <w:ilvl w:val="0"/>
          <w:numId w:val="48"/>
        </w:numPr>
        <w:tabs>
          <w:tab w:val="left" w:pos="510"/>
        </w:tabs>
        <w:jc w:val="both"/>
        <w:rPr>
          <w:lang w:val="pl-PL"/>
        </w:rPr>
      </w:pPr>
      <w:r>
        <w:rPr>
          <w:lang w:val="pl"/>
        </w:rPr>
        <w:t xml:space="preserve">Ustalając zakres należytej staranności skarżących, którzy zamierzają zarzucić brak skutecznego postępowania przygotowawczego w sprawie śmierci lub złego traktowania (art. 2 i 3 Konwencji), Trybunał kieruje się głównie orzecznictwem dotyczącym zaginięć osób w kontekście konfliktu międzynarodowego lub stanu nadzwyczajnego w kraju </w:t>
      </w:r>
      <w:hyperlink r:id="rId1046" w:history="1">
        <w:r>
          <w:rPr>
            <w:lang w:val="pl"/>
          </w:rPr>
          <w:t>(</w:t>
        </w:r>
        <w:r>
          <w:rPr>
            <w:i/>
            <w:iCs/>
            <w:color w:val="0072BC"/>
            <w:lang w:val="pl"/>
          </w:rPr>
          <w:t xml:space="preserve">Mocanu i Inni p. Rumunii </w:t>
        </w:r>
      </w:hyperlink>
      <w:r>
        <w:rPr>
          <w:lang w:val="pl"/>
        </w:rPr>
        <w:t xml:space="preserve">[WI], § 267). Również w tych sprawach Trybunał rozważał, czy utrzymywano konstruktywny kontakt z władzami lub czy istniały oznaki lub zachodziły realne przesłanki, że postępują czynności dochodzeniowo-śledcze </w:t>
      </w:r>
      <w:hyperlink r:id="rId1047" w:history="1">
        <w:r>
          <w:rPr>
            <w:lang w:val="pl"/>
          </w:rPr>
          <w:t>(</w:t>
        </w:r>
        <w:r>
          <w:rPr>
            <w:i/>
            <w:iCs/>
            <w:color w:val="0072BC"/>
            <w:lang w:val="pl"/>
          </w:rPr>
          <w:t>Şakir Kaçmaz p. Turcji</w:t>
        </w:r>
        <w:r>
          <w:rPr>
            <w:lang w:val="pl"/>
          </w:rPr>
          <w:t>,</w:t>
        </w:r>
      </w:hyperlink>
      <w:r>
        <w:rPr>
          <w:lang w:val="pl"/>
        </w:rPr>
        <w:t xml:space="preserve"> §§ 72</w:t>
      </w:r>
      <w:r>
        <w:rPr>
          <w:lang w:val="pl"/>
        </w:rPr>
        <w:noBreakHyphen/>
        <w:t>75;</w:t>
      </w:r>
      <w:hyperlink r:id="rId1048" w:history="1">
        <w:r>
          <w:rPr>
            <w:i/>
            <w:iCs/>
            <w:lang w:val="pl"/>
          </w:rPr>
          <w:t xml:space="preserve"> </w:t>
        </w:r>
        <w:r>
          <w:rPr>
            <w:i/>
            <w:iCs/>
            <w:color w:val="0072BC"/>
            <w:lang w:val="pl"/>
          </w:rPr>
          <w:t>Vatandaş p. Turcji</w:t>
        </w:r>
        <w:r>
          <w:rPr>
            <w:lang w:val="pl"/>
          </w:rPr>
          <w:t>,</w:t>
        </w:r>
      </w:hyperlink>
      <w:r>
        <w:rPr>
          <w:lang w:val="pl"/>
        </w:rPr>
        <w:t xml:space="preserve"> §§ 26</w:t>
      </w:r>
      <w:r>
        <w:rPr>
          <w:lang w:val="pl"/>
        </w:rPr>
        <w:noBreakHyphen/>
        <w:t xml:space="preserve">27). Trybunał rozpatrywał też zakres i złożoność krajowego postępowania przygotowawczego, aby ocenić, czy skarżący mógł zasadnie przypuszczać, że będzie ono skuteczne </w:t>
      </w:r>
      <w:hyperlink r:id="rId1049" w:history="1">
        <w:r>
          <w:rPr>
            <w:lang w:val="pl"/>
          </w:rPr>
          <w:t>(</w:t>
        </w:r>
        <w:r>
          <w:rPr>
            <w:i/>
            <w:iCs/>
            <w:color w:val="0072BC"/>
            <w:lang w:val="pl"/>
          </w:rPr>
          <w:t>Melnichuk i Inni p. Rumunii</w:t>
        </w:r>
        <w:r>
          <w:rPr>
            <w:lang w:val="pl"/>
          </w:rPr>
          <w:t>,</w:t>
        </w:r>
      </w:hyperlink>
      <w:r>
        <w:rPr>
          <w:lang w:val="pl"/>
        </w:rPr>
        <w:t xml:space="preserve"> §§ 87</w:t>
      </w:r>
      <w:r>
        <w:rPr>
          <w:lang w:val="pl"/>
        </w:rPr>
        <w:noBreakHyphen/>
        <w:t>89). Jeśli chodzi o ustalenie, kiedy skarżący musiał dowiedzieć się o nieskuteczności krajowych środków odwoławczych wobec bezczynności władz w związku z jego zarzutem, patrz</w:t>
      </w:r>
      <w:hyperlink r:id="rId1050" w:history="1">
        <w:r>
          <w:rPr>
            <w:i/>
            <w:iCs/>
            <w:lang w:val="pl"/>
          </w:rPr>
          <w:t xml:space="preserve"> </w:t>
        </w:r>
        <w:r>
          <w:rPr>
            <w:i/>
            <w:iCs/>
            <w:color w:val="0072BC"/>
            <w:lang w:val="pl"/>
          </w:rPr>
          <w:t>Mehmet Ali Eser p. Turcji</w:t>
        </w:r>
        <w:r>
          <w:rPr>
            <w:lang w:val="pl"/>
          </w:rPr>
          <w:t>,</w:t>
        </w:r>
      </w:hyperlink>
      <w:r>
        <w:rPr>
          <w:lang w:val="pl"/>
        </w:rPr>
        <w:t xml:space="preserve"> §§ 30-31.</w:t>
      </w:r>
    </w:p>
    <w:p w:rsidR="00B71A20" w:rsidRPr="000625F6" w:rsidRDefault="000425B4" w:rsidP="00115011">
      <w:pPr>
        <w:pStyle w:val="Teksttreci0"/>
        <w:numPr>
          <w:ilvl w:val="0"/>
          <w:numId w:val="48"/>
        </w:numPr>
        <w:tabs>
          <w:tab w:val="left" w:pos="519"/>
        </w:tabs>
        <w:jc w:val="both"/>
        <w:rPr>
          <w:lang w:val="pl-PL"/>
        </w:rPr>
      </w:pPr>
      <w:r>
        <w:rPr>
          <w:lang w:val="pl"/>
        </w:rPr>
        <w:t xml:space="preserve">Obowiązek staranności obejmuje dwa odrębne choć ściśle powiązane aspekty: skarżący musi niezwłocznie skontaktować się z władzami krajowymi w sprawie postępów w postępowaniu przygotowawczym, a także musi niezwłocznie wnieść skargę do Trybunału, gdy tylko dowie się albo powinien się dowiedzieć, że to postępowanie jest nieskuteczne. Sama bezczynność skarżących na poziomie krajowym nie ma znaczenia dla oceny, czy dochowano czteromiesięcznego terminu. Gdyby jednak Trybunał stwierdził, że zanim skarżący zwrócili się do właściwych władz krajowych, wiedzieli już albo powinni byli wiedzieć, że nie toczy się skuteczne postępowanie przygotowawcze w sprawie karnej, nie ulegałoby wątpliwości, że skargi wniesione następnie do Trybunału byłyby </w:t>
      </w:r>
      <w:r>
        <w:rPr>
          <w:i/>
          <w:iCs/>
          <w:lang w:val="pl"/>
        </w:rPr>
        <w:t>a fortiori</w:t>
      </w:r>
      <w:r>
        <w:rPr>
          <w:lang w:val="pl"/>
        </w:rPr>
        <w:t xml:space="preserve"> wniesione po terminie </w:t>
      </w:r>
      <w:hyperlink r:id="rId1051" w:history="1">
        <w:r>
          <w:rPr>
            <w:lang w:val="pl"/>
          </w:rPr>
          <w:t>(</w:t>
        </w:r>
        <w:r>
          <w:rPr>
            <w:i/>
            <w:iCs/>
            <w:color w:val="0072BC"/>
            <w:lang w:val="pl"/>
          </w:rPr>
          <w:t xml:space="preserve">Mocanu i Inni p. Rumunii </w:t>
        </w:r>
      </w:hyperlink>
      <w:r>
        <w:rPr>
          <w:lang w:val="pl"/>
        </w:rPr>
        <w:t>[WI], §§ 256</w:t>
      </w:r>
      <w:r>
        <w:rPr>
          <w:lang w:val="pl"/>
        </w:rPr>
        <w:noBreakHyphen/>
        <w:t>257, 262</w:t>
      </w:r>
      <w:r>
        <w:rPr>
          <w:lang w:val="pl"/>
        </w:rPr>
        <w:noBreakHyphen/>
        <w:t>264 i 272). W sprawie</w:t>
      </w:r>
      <w:hyperlink r:id="rId1052" w:history="1">
        <w:r>
          <w:rPr>
            <w:i/>
            <w:iCs/>
            <w:lang w:val="pl"/>
          </w:rPr>
          <w:t xml:space="preserve"> </w:t>
        </w:r>
        <w:r>
          <w:rPr>
            <w:i/>
            <w:iCs/>
            <w:color w:val="0072BC"/>
            <w:lang w:val="pl"/>
          </w:rPr>
          <w:t>Sakvarelidze p. Gruzji</w:t>
        </w:r>
      </w:hyperlink>
      <w:r>
        <w:rPr>
          <w:lang w:val="pl"/>
        </w:rPr>
        <w:t xml:space="preserve"> Trybunał uznał, że skarżący, który systematycznie pytał o postępy w śledztwie, począwszy od wczesnego etapu postępowania, i podjął działania, aby przyspieszyć śledztwo, licząc na skuteczniejszy rezultat, wypełnił ciążący na nim obowiązek dochowania należytej staranności (§§ 41-46 i cytowane tam odniesienia).</w:t>
      </w:r>
    </w:p>
    <w:p w:rsidR="00B71A20" w:rsidRPr="000625F6" w:rsidRDefault="000425B4" w:rsidP="00115011">
      <w:pPr>
        <w:pStyle w:val="Teksttreci0"/>
        <w:numPr>
          <w:ilvl w:val="0"/>
          <w:numId w:val="48"/>
        </w:numPr>
        <w:tabs>
          <w:tab w:val="left" w:pos="505"/>
        </w:tabs>
        <w:jc w:val="both"/>
        <w:rPr>
          <w:lang w:val="pl-PL"/>
        </w:rPr>
      </w:pPr>
      <w:r>
        <w:rPr>
          <w:lang w:val="pl"/>
        </w:rPr>
        <w:t xml:space="preserve">Kwestię dochowania należytej staranności należy badać w kontekście okoliczności sprawy. To, czy skarżący z opóźnieniem wniósł zarzuty do władz krajowych, nie ma waloru rozstrzygającego, jeśli władze powinny były wiedzieć, że dana osoba mogła być źle traktowana, ponieważ obowiązek podjęcia czynności dochodzeniowo-śledczych ciąży na władzach bez względu na to, czy podniesiono wyraźny zarzut </w:t>
      </w:r>
      <w:hyperlink r:id="rId1053" w:history="1">
        <w:r>
          <w:rPr>
            <w:lang w:val="pl"/>
          </w:rPr>
          <w:t>(</w:t>
        </w:r>
        <w:r>
          <w:rPr>
            <w:i/>
            <w:iCs/>
            <w:color w:val="0072BC"/>
            <w:lang w:val="pl"/>
          </w:rPr>
          <w:t>Velev p. Bułgarii</w:t>
        </w:r>
        <w:r>
          <w:rPr>
            <w:lang w:val="pl"/>
          </w:rPr>
          <w:t>,</w:t>
        </w:r>
      </w:hyperlink>
      <w:r>
        <w:rPr>
          <w:lang w:val="pl"/>
        </w:rPr>
        <w:t xml:space="preserve"> §§ 40 i 59-60). Takie opóźnienie nie wpływa też na dopuszczalność skargi, jeśli skarżący znajdował się w szczególnie trudnym położeniu. Przykładowo, Trybunał uznał trudne położenie skarżącego i towarzyszące mu poczucie bezsilności jako dopuszczalne wyjaśnienie opóźnienia w podniesieniu zarzutu na poziomie krajowym </w:t>
      </w:r>
      <w:hyperlink r:id="rId1054" w:history="1">
        <w:r>
          <w:rPr>
            <w:lang w:val="pl"/>
          </w:rPr>
          <w:t>(</w:t>
        </w:r>
        <w:r>
          <w:rPr>
            <w:i/>
            <w:iCs/>
            <w:color w:val="0072BC"/>
            <w:lang w:val="pl"/>
          </w:rPr>
          <w:t>Mocanu i Inni p. Rumunii</w:t>
        </w:r>
      </w:hyperlink>
      <w:r>
        <w:rPr>
          <w:color w:val="0072BC"/>
          <w:lang w:val="pl"/>
        </w:rPr>
        <w:t xml:space="preserve"> </w:t>
      </w:r>
      <w:r w:rsidR="00DC2406">
        <w:rPr>
          <w:lang w:val="pl"/>
        </w:rPr>
        <w:t>[WI], §§ 265 i </w:t>
      </w:r>
      <w:r>
        <w:rPr>
          <w:lang w:val="pl"/>
        </w:rPr>
        <w:t>273</w:t>
      </w:r>
      <w:r>
        <w:rPr>
          <w:lang w:val="pl"/>
        </w:rPr>
        <w:noBreakHyphen/>
        <w:t>275).</w:t>
      </w:r>
    </w:p>
    <w:p w:rsidR="00B71A20" w:rsidRPr="000625F6" w:rsidRDefault="000425B4">
      <w:pPr>
        <w:pStyle w:val="Teksttreci0"/>
        <w:jc w:val="both"/>
        <w:rPr>
          <w:lang w:val="pl-PL"/>
        </w:rPr>
      </w:pPr>
      <w:r>
        <w:rPr>
          <w:lang w:val="pl"/>
        </w:rPr>
        <w:t xml:space="preserve">Trudno o precyzję przy wskazaniu dokładnego momentu, w którym skarżący uświadomił sobie albo powinien był sobie uświadomić, że postępowanie przygotowawcze nie jest skuteczne. Trybunał odrzuca jako wniesione po terminie skargi, w przypadku których opóźnienie po stronie skarżących było nadmierne lub nie zostało wyjaśnione </w:t>
      </w:r>
      <w:hyperlink r:id="rId1055" w:history="1">
        <w:r>
          <w:rPr>
            <w:lang w:val="pl"/>
          </w:rPr>
          <w:t>(</w:t>
        </w:r>
        <w:r>
          <w:rPr>
            <w:i/>
            <w:iCs/>
            <w:color w:val="0072BC"/>
            <w:lang w:val="pl"/>
          </w:rPr>
          <w:t>Melnichuk i Inni p. Rumunii</w:t>
        </w:r>
        <w:r>
          <w:rPr>
            <w:lang w:val="pl"/>
          </w:rPr>
          <w:t>,</w:t>
        </w:r>
      </w:hyperlink>
      <w:r>
        <w:rPr>
          <w:lang w:val="pl"/>
        </w:rPr>
        <w:t xml:space="preserve"> §§ 82</w:t>
      </w:r>
      <w:r>
        <w:rPr>
          <w:lang w:val="pl"/>
        </w:rPr>
        <w:noBreakHyphen/>
        <w:t>83 i cytowane tam odniesienia; patrz też</w:t>
      </w:r>
      <w:hyperlink r:id="rId1056" w:history="1">
        <w:r>
          <w:rPr>
            <w:i/>
            <w:iCs/>
            <w:lang w:val="pl"/>
          </w:rPr>
          <w:t xml:space="preserve"> </w:t>
        </w:r>
        <w:r>
          <w:rPr>
            <w:i/>
            <w:iCs/>
            <w:color w:val="0072BC"/>
            <w:lang w:val="pl"/>
          </w:rPr>
          <w:t>Khadzhimuradov i Inni p. Rosji</w:t>
        </w:r>
        <w:r>
          <w:rPr>
            <w:lang w:val="pl"/>
          </w:rPr>
          <w:t>,</w:t>
        </w:r>
      </w:hyperlink>
      <w:r>
        <w:rPr>
          <w:lang w:val="pl"/>
        </w:rPr>
        <w:t xml:space="preserve"> §§ 73</w:t>
      </w:r>
      <w:r>
        <w:rPr>
          <w:lang w:val="pl"/>
        </w:rPr>
        <w:noBreakHyphen/>
        <w:t>74).</w:t>
      </w:r>
    </w:p>
    <w:p w:rsidR="00B71A20" w:rsidRPr="000625F6" w:rsidRDefault="000425B4" w:rsidP="00115011">
      <w:pPr>
        <w:pStyle w:val="Teksttreci0"/>
        <w:numPr>
          <w:ilvl w:val="0"/>
          <w:numId w:val="48"/>
        </w:numPr>
        <w:tabs>
          <w:tab w:val="left" w:pos="510"/>
        </w:tabs>
        <w:spacing w:after="220"/>
        <w:jc w:val="both"/>
        <w:rPr>
          <w:lang w:val="pl-PL"/>
        </w:rPr>
      </w:pPr>
      <w:bookmarkStart w:id="165" w:name="bookmark169"/>
      <w:r>
        <w:rPr>
          <w:lang w:val="pl"/>
        </w:rPr>
        <w:t xml:space="preserve">W niektórych sprawach informacje rzekomo stawiające w nowym świetle okoliczności śmierci mogą zostać upublicznione na późniejszym etapie. W zależności od sytuacji można zatem skontrolować obowiązek procesowy podjęcia śledztwa i na tej podstawie wyznaczyć nowy początek biegu czteromiesięcznego terminu </w:t>
      </w:r>
      <w:hyperlink r:id="rId1057" w:history="1">
        <w:r>
          <w:rPr>
            <w:lang w:val="pl"/>
          </w:rPr>
          <w:t>(</w:t>
        </w:r>
        <w:r>
          <w:rPr>
            <w:i/>
            <w:iCs/>
            <w:color w:val="0072BC"/>
            <w:lang w:val="pl"/>
          </w:rPr>
          <w:t>Khadzhimuradov i Inni p. Rosji</w:t>
        </w:r>
        <w:r>
          <w:rPr>
            <w:lang w:val="pl"/>
          </w:rPr>
          <w:t>,</w:t>
        </w:r>
      </w:hyperlink>
      <w:r>
        <w:rPr>
          <w:lang w:val="pl"/>
        </w:rPr>
        <w:t xml:space="preserve"> §§ 67 i 75</w:t>
      </w:r>
      <w:r>
        <w:rPr>
          <w:lang w:val="pl"/>
        </w:rPr>
        <w:noBreakHyphen/>
        <w:t xml:space="preserve">77). Jeśli różne etapy śledztwa uznaje się za odrębne, skarżący może uchybić czteromiesięcznemu terminowi w odniesieniu do zarzutów dotyczących braków w pierwotnym postępowaniu przygotowawczym </w:t>
      </w:r>
      <w:hyperlink r:id="rId1058" w:history="1">
        <w:r>
          <w:rPr>
            <w:lang w:val="pl"/>
          </w:rPr>
          <w:t>(</w:t>
        </w:r>
        <w:r>
          <w:rPr>
            <w:i/>
            <w:iCs/>
            <w:color w:val="0072BC"/>
            <w:lang w:val="pl"/>
          </w:rPr>
          <w:t>Tsalikidis i</w:t>
        </w:r>
      </w:hyperlink>
      <w:r>
        <w:rPr>
          <w:i/>
          <w:iCs/>
          <w:color w:val="0072BC"/>
          <w:lang w:val="pl"/>
        </w:rPr>
        <w:t xml:space="preserve"> </w:t>
      </w:r>
      <w:hyperlink r:id="rId1059" w:history="1">
        <w:r>
          <w:rPr>
            <w:i/>
            <w:iCs/>
            <w:color w:val="0072BC"/>
            <w:lang w:val="pl"/>
          </w:rPr>
          <w:t>Inni p. Grecji</w:t>
        </w:r>
        <w:r>
          <w:rPr>
            <w:lang w:val="pl"/>
          </w:rPr>
          <w:t>,</w:t>
        </w:r>
      </w:hyperlink>
      <w:r>
        <w:rPr>
          <w:lang w:val="pl"/>
        </w:rPr>
        <w:t xml:space="preserve"> § 52, gdzie między dwoma etapami postępowania przygotowawczego w sprawie karnej upłynęło ponad pięć lat).</w:t>
      </w:r>
      <w:bookmarkEnd w:id="165"/>
    </w:p>
    <w:p w:rsidR="00B71A20" w:rsidRPr="000625F6" w:rsidRDefault="00BC57A4" w:rsidP="00BC57A4">
      <w:pPr>
        <w:pStyle w:val="Nagwek41"/>
        <w:keepNext/>
        <w:keepLines/>
        <w:ind w:left="426" w:hanging="426"/>
        <w:jc w:val="both"/>
        <w:rPr>
          <w:lang w:val="pl-PL"/>
        </w:rPr>
      </w:pPr>
      <w:bookmarkStart w:id="166" w:name="_Toc126335650"/>
      <w:bookmarkStart w:id="167" w:name="_Toc126660609"/>
      <w:r>
        <w:rPr>
          <w:lang w:val="pl"/>
        </w:rPr>
        <w:lastRenderedPageBreak/>
        <w:t xml:space="preserve">c.  </w:t>
      </w:r>
      <w:r w:rsidR="000425B4">
        <w:rPr>
          <w:lang w:val="pl"/>
        </w:rPr>
        <w:t>Zastosowanie zasady czteromiesięcznego terminu w odniesieniu do warunków pozbawienia wolności</w:t>
      </w:r>
      <w:bookmarkEnd w:id="166"/>
      <w:bookmarkEnd w:id="167"/>
    </w:p>
    <w:p w:rsidR="00B71A20" w:rsidRPr="00DC2406" w:rsidRDefault="000425B4" w:rsidP="00786BF7">
      <w:pPr>
        <w:pStyle w:val="Teksttreci0"/>
        <w:numPr>
          <w:ilvl w:val="0"/>
          <w:numId w:val="49"/>
        </w:numPr>
        <w:tabs>
          <w:tab w:val="left" w:pos="510"/>
          <w:tab w:val="left" w:pos="6254"/>
        </w:tabs>
        <w:spacing w:after="0"/>
        <w:jc w:val="both"/>
        <w:rPr>
          <w:lang w:val="pl-PL"/>
        </w:rPr>
      </w:pPr>
      <w:r w:rsidRPr="00DC2406">
        <w:rPr>
          <w:lang w:val="pl"/>
        </w:rPr>
        <w:t>Pozbawienie wolności w przypadku skarżącego należy traktować jako „sytuację utrzymującą się”, o ile skarżący był przetrzymywany w takiego samego rodzaju zakładzie karnym w zasadniczo podobnych warunkach. Krótkie nieobecności (kiedy skarżący był wyprowadzany z</w:t>
      </w:r>
      <w:r w:rsidR="00DC2406" w:rsidRPr="00DC2406">
        <w:rPr>
          <w:lang w:val="pl"/>
        </w:rPr>
        <w:t xml:space="preserve"> zakładu na przesłuchania lub w </w:t>
      </w:r>
      <w:r w:rsidRPr="00DC2406">
        <w:rPr>
          <w:lang w:val="pl"/>
        </w:rPr>
        <w:t xml:space="preserve">celu przeprowadzenia innych czynności procesowych) nie mają wpływu na charakter pozbawienia wolności jako sytuacji utrzymującej się. Z kolei zwolnienie skarżącego albo przeniesienie go do miejsca pozbawienia wolności o innym rygorze, znajdującego się w tym samym albo w innym zakładzie karnym, przerywa bieg „sytuacji utrzymującej się”. Zarzuty dotyczące warunków pozbawienia wolności należy wnieść przed upływem czterech miesięcy od dnia, w którym zarzucana sytuacja dobiegła końca, albo – jeśli istniał skuteczny środek odwoławczy, który należało wykorzystać – od dnia wydania ostatecznej decyzji w ramach korzystania z tego środka odwoławczego </w:t>
      </w:r>
      <w:hyperlink r:id="rId1060" w:history="1">
        <w:r w:rsidRPr="00DC2406">
          <w:rPr>
            <w:lang w:val="pl"/>
          </w:rPr>
          <w:t>(</w:t>
        </w:r>
        <w:r w:rsidRPr="00DC2406">
          <w:rPr>
            <w:i/>
            <w:iCs/>
            <w:color w:val="0072BC"/>
            <w:lang w:val="pl"/>
          </w:rPr>
          <w:t>Ananyev i Inni p. Rosji</w:t>
        </w:r>
        <w:r w:rsidRPr="00DC2406">
          <w:rPr>
            <w:lang w:val="pl"/>
          </w:rPr>
          <w:t xml:space="preserve">, </w:t>
        </w:r>
      </w:hyperlink>
      <w:r w:rsidRPr="00DC2406">
        <w:rPr>
          <w:lang w:val="pl"/>
        </w:rPr>
        <w:t>§§ 75-78 i cytowane tam odniesienia, a jako przykład pozbawienia wolności w dwóch zakładach karnych –</w:t>
      </w:r>
      <w:hyperlink r:id="rId1061" w:history="1">
        <w:r w:rsidRPr="00DC2406">
          <w:rPr>
            <w:i/>
            <w:iCs/>
            <w:lang w:val="pl"/>
          </w:rPr>
          <w:t xml:space="preserve"> </w:t>
        </w:r>
        <w:r w:rsidRPr="00DC2406">
          <w:rPr>
            <w:i/>
            <w:iCs/>
            <w:color w:val="0072BC"/>
            <w:lang w:val="pl"/>
          </w:rPr>
          <w:t>Petrescu p. Portugalii</w:t>
        </w:r>
        <w:r w:rsidRPr="00DC2406">
          <w:rPr>
            <w:lang w:val="pl"/>
          </w:rPr>
          <w:t>,</w:t>
        </w:r>
      </w:hyperlink>
      <w:r w:rsidRPr="00DC2406">
        <w:rPr>
          <w:lang w:val="pl"/>
        </w:rPr>
        <w:t xml:space="preserve"> § 93). Jeśli między okresami pozbawienia wolności była przerwa trwająca dłużej niż trzy miesiące, Trybunał nie uznaje tych okresów jako „sytuacji utrzymującej się” </w:t>
      </w:r>
      <w:hyperlink r:id="rId1062" w:history="1">
        <w:r w:rsidRPr="00DC2406">
          <w:rPr>
            <w:lang w:val="pl"/>
          </w:rPr>
          <w:t>(</w:t>
        </w:r>
        <w:r w:rsidRPr="00DC2406">
          <w:rPr>
            <w:i/>
            <w:iCs/>
            <w:color w:val="0072BC"/>
            <w:lang w:val="pl"/>
          </w:rPr>
          <w:t>Shishanov p. Republice Mołdawii</w:t>
        </w:r>
        <w:r w:rsidRPr="00DC2406">
          <w:rPr>
            <w:lang w:val="pl"/>
          </w:rPr>
          <w:t>,</w:t>
        </w:r>
      </w:hyperlink>
      <w:r w:rsidR="00DC2406" w:rsidRPr="00DC2406">
        <w:rPr>
          <w:lang w:val="pl"/>
        </w:rPr>
        <w:t xml:space="preserve"> </w:t>
      </w:r>
      <w:r w:rsidRPr="00DC2406">
        <w:rPr>
          <w:lang w:val="pl"/>
        </w:rPr>
        <w:t>§§ 68</w:t>
      </w:r>
      <w:r w:rsidRPr="00DC2406">
        <w:rPr>
          <w:lang w:val="pl"/>
        </w:rPr>
        <w:noBreakHyphen/>
        <w:t>69). Podobnie wiele</w:t>
      </w:r>
      <w:r w:rsidR="00DC2406">
        <w:rPr>
          <w:lang w:val="pl"/>
        </w:rPr>
        <w:t xml:space="preserve"> </w:t>
      </w:r>
      <w:r w:rsidRPr="00DC2406">
        <w:rPr>
          <w:lang w:val="pl"/>
        </w:rPr>
        <w:t xml:space="preserve">następujących po sobie zatrzymań, po których następowało wniesienie aktu oskarżenia, skazanie i zasądzenie kary pozbawienia wolności, a które miały miejsce bezpośrednio po dokonaniu przestępstw przez skarżącego, nie stanowi „sytuacji utrzymującej się”, nawet jeśli skarżący w międzyczasie przebywał na wolności tylko przez kilka minut </w:t>
      </w:r>
      <w:hyperlink r:id="rId1063" w:history="1">
        <w:r w:rsidRPr="00DC2406">
          <w:rPr>
            <w:lang w:val="pl"/>
          </w:rPr>
          <w:t>(</w:t>
        </w:r>
        <w:r w:rsidRPr="00DC2406">
          <w:rPr>
            <w:i/>
            <w:iCs/>
            <w:color w:val="0072BC"/>
            <w:lang w:val="pl"/>
          </w:rPr>
          <w:t>Gough p. Wielkiej</w:t>
        </w:r>
      </w:hyperlink>
      <w:r w:rsidRPr="00DC2406">
        <w:rPr>
          <w:i/>
          <w:iCs/>
          <w:color w:val="0072BC"/>
          <w:lang w:val="pl"/>
        </w:rPr>
        <w:t xml:space="preserve"> </w:t>
      </w:r>
      <w:hyperlink r:id="rId1064" w:history="1">
        <w:r w:rsidRPr="00DC2406">
          <w:rPr>
            <w:i/>
            <w:iCs/>
            <w:color w:val="0072BC"/>
            <w:lang w:val="pl"/>
          </w:rPr>
          <w:t>Brytanii</w:t>
        </w:r>
        <w:r w:rsidRPr="00DC2406">
          <w:rPr>
            <w:lang w:val="pl"/>
          </w:rPr>
          <w:t>,</w:t>
        </w:r>
      </w:hyperlink>
      <w:r w:rsidRPr="00DC2406">
        <w:rPr>
          <w:lang w:val="pl"/>
        </w:rPr>
        <w:t xml:space="preserve"> §§ 133</w:t>
      </w:r>
      <w:r w:rsidRPr="00DC2406">
        <w:rPr>
          <w:lang w:val="pl"/>
        </w:rPr>
        <w:noBreakHyphen/>
        <w:t>134).</w:t>
      </w:r>
    </w:p>
    <w:p w:rsidR="00B71A20" w:rsidRPr="000625F6" w:rsidRDefault="000425B4" w:rsidP="00DC2406">
      <w:pPr>
        <w:pStyle w:val="Teksttreci0"/>
        <w:spacing w:before="120" w:after="220"/>
        <w:jc w:val="both"/>
        <w:rPr>
          <w:lang w:val="pl-PL"/>
        </w:rPr>
      </w:pPr>
      <w:r>
        <w:rPr>
          <w:lang w:val="pl"/>
        </w:rPr>
        <w:t>W sprawie</w:t>
      </w:r>
      <w:hyperlink r:id="rId1065" w:history="1">
        <w:r>
          <w:rPr>
            <w:i/>
            <w:iCs/>
            <w:lang w:val="pl"/>
          </w:rPr>
          <w:t xml:space="preserve"> </w:t>
        </w:r>
        <w:r>
          <w:rPr>
            <w:i/>
            <w:iCs/>
            <w:color w:val="0072BC"/>
            <w:lang w:val="pl"/>
          </w:rPr>
          <w:t xml:space="preserve">Ulemek p. Chorwacji </w:t>
        </w:r>
      </w:hyperlink>
      <w:r>
        <w:rPr>
          <w:lang w:val="pl"/>
        </w:rPr>
        <w:t>krajowy sąd najwyższy zbadał przedmiot zarzutów skarżącego dotyczących nieodpowiednich warunków pozbawienia wolności w odniesieniu do całego okresu pozbawienia wolności w dwóch różnych zakładach karnych po tym, jak skarżący wyszedł na wolność, a zarzuty podniesione przez skarżącego przed Trybunałem nie zostały odrzucone z powodu niewyczerpania krajowych środków odwoławczych lub uchybienia czteromiesięcznemu term</w:t>
      </w:r>
      <w:r w:rsidR="00DC2406">
        <w:rPr>
          <w:lang w:val="pl"/>
        </w:rPr>
        <w:t>inowi (§§ </w:t>
      </w:r>
      <w:r>
        <w:rPr>
          <w:lang w:val="pl"/>
        </w:rPr>
        <w:t>117</w:t>
      </w:r>
      <w:r w:rsidR="00DC2406">
        <w:rPr>
          <w:lang w:val="pl"/>
        </w:rPr>
        <w:t>-</w:t>
      </w:r>
      <w:r>
        <w:rPr>
          <w:lang w:val="pl"/>
        </w:rPr>
        <w:t>118).</w:t>
      </w:r>
    </w:p>
    <w:p w:rsidR="00B71A20" w:rsidRPr="000625F6" w:rsidRDefault="00BC57A4" w:rsidP="00BC57A4">
      <w:pPr>
        <w:pStyle w:val="Nagwek41"/>
        <w:keepNext/>
        <w:keepLines/>
        <w:tabs>
          <w:tab w:val="left" w:pos="322"/>
        </w:tabs>
        <w:ind w:left="426" w:hanging="426"/>
        <w:jc w:val="both"/>
        <w:rPr>
          <w:lang w:val="pl-PL"/>
        </w:rPr>
      </w:pPr>
      <w:bookmarkStart w:id="168" w:name="bookmark173"/>
      <w:bookmarkStart w:id="169" w:name="_Toc126335651"/>
      <w:bookmarkStart w:id="170" w:name="_Toc126660610"/>
      <w:r>
        <w:rPr>
          <w:lang w:val="pl-PL"/>
        </w:rPr>
        <w:t xml:space="preserve">d.  </w:t>
      </w:r>
      <w:r w:rsidR="000425B4">
        <w:rPr>
          <w:lang w:val="pl"/>
        </w:rPr>
        <w:t>Warunki zastosowania zasady czteromiesięcznego terminu w przypadku kilku okresów pozbawienia wolności zgodnie z art. 5 ust. 3 Konwencji</w:t>
      </w:r>
      <w:bookmarkEnd w:id="168"/>
      <w:bookmarkEnd w:id="169"/>
      <w:bookmarkEnd w:id="170"/>
    </w:p>
    <w:p w:rsidR="00B71A20" w:rsidRPr="000625F6" w:rsidRDefault="000425B4" w:rsidP="00017BF0">
      <w:pPr>
        <w:pStyle w:val="Teksttreci0"/>
        <w:numPr>
          <w:ilvl w:val="0"/>
          <w:numId w:val="50"/>
        </w:numPr>
        <w:tabs>
          <w:tab w:val="left" w:pos="500"/>
        </w:tabs>
        <w:jc w:val="both"/>
        <w:rPr>
          <w:lang w:val="pl-PL"/>
        </w:rPr>
      </w:pPr>
      <w:r>
        <w:rPr>
          <w:lang w:val="pl"/>
        </w:rPr>
        <w:t xml:space="preserve">Kilka kolejnych okresów pozbawienia wolności należy traktować jako całość, a termin czterech miesięcy powinien rozpocząć swój bieg dopiero od zakończenia ostatniego okresu pozbawienia wolności </w:t>
      </w:r>
      <w:hyperlink r:id="rId1066" w:history="1">
        <w:r>
          <w:rPr>
            <w:lang w:val="pl"/>
          </w:rPr>
          <w:t>(</w:t>
        </w:r>
        <w:r>
          <w:rPr>
            <w:i/>
            <w:iCs/>
            <w:color w:val="0072BC"/>
            <w:lang w:val="pl"/>
          </w:rPr>
          <w:t>Solmaz p. Turcji</w:t>
        </w:r>
        <w:r>
          <w:rPr>
            <w:lang w:val="pl"/>
          </w:rPr>
          <w:t>,</w:t>
        </w:r>
      </w:hyperlink>
      <w:r>
        <w:rPr>
          <w:lang w:val="pl"/>
        </w:rPr>
        <w:t xml:space="preserve"> § 36).</w:t>
      </w:r>
    </w:p>
    <w:p w:rsidR="00B71A20" w:rsidRPr="000625F6" w:rsidRDefault="000425B4" w:rsidP="00115011">
      <w:pPr>
        <w:pStyle w:val="Teksttreci0"/>
        <w:numPr>
          <w:ilvl w:val="0"/>
          <w:numId w:val="50"/>
        </w:numPr>
        <w:tabs>
          <w:tab w:val="left" w:pos="514"/>
        </w:tabs>
        <w:jc w:val="both"/>
        <w:rPr>
          <w:lang w:val="pl-PL"/>
        </w:rPr>
      </w:pPr>
      <w:r>
        <w:rPr>
          <w:lang w:val="pl"/>
        </w:rPr>
        <w:t>W przypadku gdy aresztowanie tymczasowe oskarżonego jest podzielone na kilka nienastępujących po sobie okresów, nie powinny one być traktow</w:t>
      </w:r>
      <w:r w:rsidR="00DB71B7">
        <w:rPr>
          <w:lang w:val="pl"/>
        </w:rPr>
        <w:t>ane łącznie tylko rozłącznie. W </w:t>
      </w:r>
      <w:r>
        <w:rPr>
          <w:lang w:val="pl"/>
        </w:rPr>
        <w:t xml:space="preserve">związku z tym z chwilą wyjścia na wolność skarżący jest zobowiązany wnieść skargę na aresztowanie tymczasowe w ciągu czterech miesięcy od daty faktycznego zwolnienia. Jednak jeżeli te okresy są częścią tego samego postępowania karnego przeciwko skarżącemu, wówczas Trybunał, oceniając ogólną zasadność pozbawienia wolności na gruncie art. 5 ust. 3, może uwzględnić fakt, że skarżący wcześniej był aresztowany tymczasowo, oczekując na rozprawę sądową </w:t>
      </w:r>
      <w:hyperlink r:id="rId1067" w:history="1">
        <w:r>
          <w:rPr>
            <w:lang w:val="pl"/>
          </w:rPr>
          <w:t>(</w:t>
        </w:r>
        <w:r>
          <w:rPr>
            <w:i/>
            <w:iCs/>
            <w:color w:val="0072BC"/>
            <w:lang w:val="pl"/>
          </w:rPr>
          <w:t xml:space="preserve">Idalov p. Rosji </w:t>
        </w:r>
      </w:hyperlink>
      <w:r>
        <w:rPr>
          <w:lang w:val="pl"/>
        </w:rPr>
        <w:t>[WI], §§ 129-130).</w:t>
      </w:r>
    </w:p>
    <w:p w:rsidR="00017BF0" w:rsidRDefault="00017BF0">
      <w:pPr>
        <w:rPr>
          <w:rFonts w:ascii="Calibri" w:eastAsia="Calibri" w:hAnsi="Calibri" w:cs="Calibri"/>
          <w:b/>
          <w:bCs/>
          <w:sz w:val="32"/>
          <w:szCs w:val="32"/>
          <w:lang w:val="pl"/>
        </w:rPr>
      </w:pPr>
      <w:bookmarkStart w:id="171" w:name="bookmark175"/>
      <w:bookmarkStart w:id="172" w:name="_Toc126335652"/>
      <w:r>
        <w:rPr>
          <w:lang w:val="pl"/>
        </w:rPr>
        <w:br w:type="page"/>
      </w:r>
    </w:p>
    <w:p w:rsidR="00B71A20" w:rsidRDefault="000425B4">
      <w:pPr>
        <w:pStyle w:val="Nagwek21"/>
        <w:keepNext/>
        <w:keepLines/>
        <w:spacing w:after="202"/>
        <w:rPr>
          <w:lang w:val="pl"/>
        </w:rPr>
      </w:pPr>
      <w:bookmarkStart w:id="173" w:name="_Toc126660611"/>
      <w:r>
        <w:rPr>
          <w:lang w:val="pl"/>
        </w:rPr>
        <w:lastRenderedPageBreak/>
        <w:t>C. Skarga anonimowa</w:t>
      </w:r>
      <w:bookmarkEnd w:id="171"/>
      <w:bookmarkEnd w:id="172"/>
      <w:bookmarkEnd w:id="173"/>
    </w:p>
    <w:tbl>
      <w:tblPr>
        <w:tblStyle w:val="Tabela-Siatka"/>
        <w:tblW w:w="0" w:type="auto"/>
        <w:shd w:val="clear" w:color="auto" w:fill="FAFAFA"/>
        <w:tblLook w:val="04A0" w:firstRow="1" w:lastRow="0" w:firstColumn="1" w:lastColumn="0" w:noHBand="0" w:noVBand="1"/>
      </w:tblPr>
      <w:tblGrid>
        <w:gridCol w:w="9096"/>
      </w:tblGrid>
      <w:tr w:rsidR="0075656E" w:rsidRPr="0075656E" w:rsidTr="0024595F">
        <w:trPr>
          <w:trHeight w:val="1217"/>
        </w:trPr>
        <w:tc>
          <w:tcPr>
            <w:tcW w:w="9096" w:type="dxa"/>
            <w:tcBorders>
              <w:bottom w:val="single" w:sz="4" w:space="0" w:color="auto"/>
            </w:tcBorders>
            <w:shd w:val="clear" w:color="auto" w:fill="FAFAFA"/>
          </w:tcPr>
          <w:p w:rsidR="0075656E" w:rsidRPr="0075656E" w:rsidRDefault="0075656E" w:rsidP="00AB5B73">
            <w:pPr>
              <w:pStyle w:val="Teksttreci0"/>
              <w:spacing w:before="120" w:after="120"/>
              <w:rPr>
                <w:b/>
                <w:bCs/>
                <w:color w:val="00548C"/>
                <w:lang w:val="pl"/>
              </w:rPr>
            </w:pPr>
            <w:r w:rsidRPr="0075656E">
              <w:rPr>
                <w:b/>
                <w:bCs/>
                <w:color w:val="00548C"/>
                <w:lang w:val="pl"/>
              </w:rPr>
              <w:t>Artykuł 35 ust. 2 lit. a Konwencji – Wymogi dopuszczalności</w:t>
            </w:r>
          </w:p>
          <w:p w:rsidR="0075656E" w:rsidRPr="0075656E" w:rsidRDefault="0075656E" w:rsidP="0075656E">
            <w:pPr>
              <w:pStyle w:val="Teksttreci0"/>
              <w:ind w:left="596"/>
              <w:rPr>
                <w:b/>
                <w:bCs/>
                <w:color w:val="00548C"/>
                <w:lang w:val="pl"/>
              </w:rPr>
            </w:pPr>
            <w:r w:rsidRPr="0075656E">
              <w:rPr>
                <w:color w:val="262626"/>
                <w:sz w:val="20"/>
                <w:szCs w:val="20"/>
                <w:lang w:val="pl"/>
              </w:rPr>
              <w:t>„1. Trybunał nie rozpatruje żadnej skargi wniesionej w trybie artykułu 34, która:</w:t>
            </w:r>
          </w:p>
          <w:p w:rsidR="0075656E" w:rsidRPr="0075656E" w:rsidRDefault="0075656E" w:rsidP="005F440F">
            <w:pPr>
              <w:pStyle w:val="Teksttreci0"/>
              <w:tabs>
                <w:tab w:val="left" w:pos="596"/>
              </w:tabs>
              <w:spacing w:after="240"/>
              <w:jc w:val="both"/>
              <w:rPr>
                <w:lang w:val="pl-PL"/>
              </w:rPr>
            </w:pPr>
            <w:r w:rsidRPr="0075656E">
              <w:rPr>
                <w:color w:val="262626"/>
                <w:sz w:val="20"/>
                <w:szCs w:val="20"/>
                <w:lang w:val="pl"/>
              </w:rPr>
              <w:tab/>
              <w:t>a) jest anonimowa;”</w:t>
            </w:r>
            <w:r w:rsidRPr="0075656E">
              <w:rPr>
                <w:color w:val="262626"/>
                <w:sz w:val="20"/>
                <w:szCs w:val="20"/>
                <w:vertAlign w:val="superscript"/>
                <w:lang w:val="pl"/>
              </w:rPr>
              <w:footnoteReference w:id="8"/>
            </w:r>
          </w:p>
        </w:tc>
      </w:tr>
      <w:tr w:rsidR="0075656E" w:rsidRPr="00C31F37" w:rsidTr="0024595F">
        <w:trPr>
          <w:trHeight w:val="953"/>
        </w:trPr>
        <w:tc>
          <w:tcPr>
            <w:tcW w:w="9096" w:type="dxa"/>
            <w:tcBorders>
              <w:bottom w:val="single" w:sz="4" w:space="0" w:color="auto"/>
            </w:tcBorders>
            <w:shd w:val="clear" w:color="auto" w:fill="FAFAFA"/>
          </w:tcPr>
          <w:p w:rsidR="0075656E" w:rsidRPr="0075656E" w:rsidRDefault="0075656E" w:rsidP="00AB5B73">
            <w:pPr>
              <w:pStyle w:val="Teksttreci0"/>
              <w:spacing w:before="120" w:after="120"/>
              <w:rPr>
                <w:b/>
                <w:bCs/>
                <w:color w:val="00548C"/>
                <w:lang w:val="pl"/>
              </w:rPr>
            </w:pPr>
            <w:r w:rsidRPr="0075656E">
              <w:rPr>
                <w:b/>
                <w:bCs/>
                <w:color w:val="00548C"/>
                <w:lang w:val="pl"/>
              </w:rPr>
              <w:t>Słowa klucze w bazie HUDOC</w:t>
            </w:r>
          </w:p>
          <w:p w:rsidR="0075656E" w:rsidRPr="0075656E" w:rsidRDefault="0075656E" w:rsidP="0075656E">
            <w:pPr>
              <w:pStyle w:val="Teksttreci0"/>
              <w:spacing w:after="330"/>
              <w:ind w:left="596"/>
              <w:rPr>
                <w:lang w:val="pl-PL"/>
              </w:rPr>
            </w:pPr>
            <w:r w:rsidRPr="0075656E">
              <w:rPr>
                <w:color w:val="262626"/>
                <w:sz w:val="20"/>
                <w:szCs w:val="20"/>
                <w:lang w:val="pl"/>
              </w:rPr>
              <w:t>Skarga anonimowa (35-2-a)</w:t>
            </w:r>
          </w:p>
        </w:tc>
      </w:tr>
    </w:tbl>
    <w:p w:rsidR="00B71A20" w:rsidRPr="000625F6" w:rsidRDefault="000425B4" w:rsidP="005F440F">
      <w:pPr>
        <w:pStyle w:val="Teksttreci0"/>
        <w:numPr>
          <w:ilvl w:val="0"/>
          <w:numId w:val="51"/>
        </w:numPr>
        <w:tabs>
          <w:tab w:val="left" w:pos="519"/>
        </w:tabs>
        <w:spacing w:before="240"/>
        <w:jc w:val="both"/>
        <w:rPr>
          <w:lang w:val="pl-PL"/>
        </w:rPr>
      </w:pPr>
      <w:r>
        <w:rPr>
          <w:lang w:val="pl"/>
        </w:rPr>
        <w:t>Tożsamość skarżącego musi być należycie określona w formul</w:t>
      </w:r>
      <w:r w:rsidR="00DB71B7">
        <w:rPr>
          <w:lang w:val="pl"/>
        </w:rPr>
        <w:t>arzu skargi (Reguła 47 § 1 lit. </w:t>
      </w:r>
      <w:r>
        <w:rPr>
          <w:lang w:val="pl"/>
        </w:rPr>
        <w:t>a Regulaminu Trybunału). Trybunał może podjąć decyzję o nieujawnianiu publicznie tożsamości skarżącego (Reguła 47 § 4); w takiej sytuacji skarżący będzie oznaczony inicjałami lub po prostu literą.</w:t>
      </w:r>
    </w:p>
    <w:p w:rsidR="00B71A20" w:rsidRDefault="000425B4" w:rsidP="00115011">
      <w:pPr>
        <w:pStyle w:val="Teksttreci0"/>
        <w:numPr>
          <w:ilvl w:val="0"/>
          <w:numId w:val="51"/>
        </w:numPr>
        <w:tabs>
          <w:tab w:val="left" w:pos="523"/>
        </w:tabs>
        <w:spacing w:after="240"/>
        <w:jc w:val="both"/>
      </w:pPr>
      <w:bookmarkStart w:id="174" w:name="bookmark178"/>
      <w:r>
        <w:rPr>
          <w:lang w:val="pl"/>
        </w:rPr>
        <w:t xml:space="preserve">Tylko Trybunał jest uprawiony do decydowania o tym, czy skarga jest anonimowa w rozumieniu art. 35 ust. 2 lit. a </w:t>
      </w:r>
      <w:hyperlink r:id="rId1068" w:history="1">
        <w:r>
          <w:rPr>
            <w:lang w:val="pl"/>
          </w:rPr>
          <w:t>(</w:t>
        </w:r>
        <w:r>
          <w:rPr>
            <w:i/>
            <w:iCs/>
            <w:color w:val="0072BC"/>
            <w:lang w:val="pl"/>
          </w:rPr>
          <w:t xml:space="preserve">Sindicatul Păstorul cel Bun p. Rumunii </w:t>
        </w:r>
      </w:hyperlink>
      <w:r>
        <w:rPr>
          <w:lang w:val="pl"/>
        </w:rPr>
        <w:t xml:space="preserve">[WI], § 69). Jeżeli pozwany rząd ma wątpliwości, czy skarga jest autentyczna, powinien o tym poinformować Trybunał w odpowiednim czasie </w:t>
      </w:r>
      <w:hyperlink r:id="rId1069" w:history="1">
        <w:r>
          <w:rPr>
            <w:lang w:val="pl"/>
          </w:rPr>
          <w:t>(</w:t>
        </w:r>
        <w:r>
          <w:rPr>
            <w:i/>
            <w:iCs/>
            <w:color w:val="0072BC"/>
            <w:lang w:val="pl"/>
          </w:rPr>
          <w:t>ibid.</w:t>
        </w:r>
        <w:r>
          <w:rPr>
            <w:lang w:val="pl"/>
          </w:rPr>
          <w:t>)</w:t>
        </w:r>
      </w:hyperlink>
      <w:r>
        <w:rPr>
          <w:lang w:val="pl"/>
        </w:rPr>
        <w:t>.</w:t>
      </w:r>
      <w:bookmarkEnd w:id="174"/>
    </w:p>
    <w:p w:rsidR="00B71A20" w:rsidRDefault="00714765" w:rsidP="00714765">
      <w:pPr>
        <w:pStyle w:val="Nagwek31"/>
        <w:keepNext/>
        <w:keepLines/>
        <w:tabs>
          <w:tab w:val="left" w:pos="340"/>
        </w:tabs>
        <w:spacing w:after="100"/>
        <w:jc w:val="both"/>
      </w:pPr>
      <w:bookmarkStart w:id="175" w:name="_Toc126335653"/>
      <w:bookmarkStart w:id="176" w:name="_Toc126660612"/>
      <w:r>
        <w:rPr>
          <w:lang w:val="pl"/>
        </w:rPr>
        <w:t>1.</w:t>
      </w:r>
      <w:r>
        <w:rPr>
          <w:lang w:val="pl"/>
        </w:rPr>
        <w:tab/>
      </w:r>
      <w:r w:rsidR="000425B4">
        <w:rPr>
          <w:lang w:val="pl"/>
        </w:rPr>
        <w:t>Skarga anonimowa</w:t>
      </w:r>
      <w:bookmarkEnd w:id="175"/>
      <w:bookmarkEnd w:id="176"/>
    </w:p>
    <w:p w:rsidR="00B71A20" w:rsidRPr="000625F6" w:rsidRDefault="000425B4" w:rsidP="00115011">
      <w:pPr>
        <w:pStyle w:val="Teksttreci0"/>
        <w:numPr>
          <w:ilvl w:val="0"/>
          <w:numId w:val="51"/>
        </w:numPr>
        <w:tabs>
          <w:tab w:val="left" w:pos="523"/>
        </w:tabs>
        <w:jc w:val="both"/>
        <w:rPr>
          <w:lang w:val="pl-PL"/>
        </w:rPr>
      </w:pPr>
      <w:r>
        <w:rPr>
          <w:lang w:val="pl"/>
        </w:rPr>
        <w:t xml:space="preserve">Skarga wniesiona do Europejskiego Trybunału Praw Człowieka jest uznawana za anonimową, jeśli akta sprawy nie zawierają żadnego elementu umożliwiającego Trybunałowi identyfikację skarżącego </w:t>
      </w:r>
      <w:hyperlink r:id="rId1070" w:history="1">
        <w:r>
          <w:rPr>
            <w:lang w:val="pl"/>
          </w:rPr>
          <w:t>(</w:t>
        </w:r>
        <w:r>
          <w:rPr>
            <w:i/>
            <w:iCs/>
            <w:color w:val="0072BC"/>
            <w:lang w:val="pl"/>
          </w:rPr>
          <w:t xml:space="preserve">„Blondje” p. Holandii </w:t>
        </w:r>
      </w:hyperlink>
      <w:r>
        <w:rPr>
          <w:lang w:val="pl"/>
        </w:rPr>
        <w:t>(dec.)). Żaden ze złożonych formularzy lub dok</w:t>
      </w:r>
      <w:r w:rsidR="00DB71B7">
        <w:rPr>
          <w:lang w:val="pl"/>
        </w:rPr>
        <w:t>umentów nie zawierał wzmianki o </w:t>
      </w:r>
      <w:r>
        <w:rPr>
          <w:lang w:val="pl"/>
        </w:rPr>
        <w:t>nazwisku, a jedynie odniesienie i pseudonimy, a pełnomocnictwo było podpisane znakiem „X”: tożsamość skarżącego nie została ujawniona.</w:t>
      </w:r>
    </w:p>
    <w:p w:rsidR="00B71A20" w:rsidRPr="000625F6" w:rsidRDefault="000425B4" w:rsidP="00115011">
      <w:pPr>
        <w:pStyle w:val="Teksttreci0"/>
        <w:numPr>
          <w:ilvl w:val="0"/>
          <w:numId w:val="51"/>
        </w:numPr>
        <w:tabs>
          <w:tab w:val="left" w:pos="514"/>
        </w:tabs>
        <w:jc w:val="both"/>
        <w:rPr>
          <w:lang w:val="pl-PL"/>
        </w:rPr>
      </w:pPr>
      <w:r>
        <w:rPr>
          <w:lang w:val="pl"/>
        </w:rPr>
        <w:t xml:space="preserve">Trybunał orzekł o niedopuszczalności ze względu na niezgodność co do </w:t>
      </w:r>
      <w:r>
        <w:rPr>
          <w:i/>
          <w:iCs/>
          <w:lang w:val="pl"/>
        </w:rPr>
        <w:t xml:space="preserve">ratione personae </w:t>
      </w:r>
      <w:r>
        <w:rPr>
          <w:lang w:val="pl"/>
        </w:rPr>
        <w:t>(a nie z</w:t>
      </w:r>
      <w:r w:rsidR="00DB71B7">
        <w:rPr>
          <w:lang w:val="pl"/>
        </w:rPr>
        <w:t> </w:t>
      </w:r>
      <w:r>
        <w:rPr>
          <w:lang w:val="pl"/>
        </w:rPr>
        <w:t>powodu anonimowości) skarg wniesionych przez grupę osób, których imiona lub nazwiska, a</w:t>
      </w:r>
      <w:r w:rsidR="00DB71B7">
        <w:rPr>
          <w:lang w:val="pl"/>
        </w:rPr>
        <w:t> </w:t>
      </w:r>
      <w:r>
        <w:rPr>
          <w:lang w:val="pl"/>
        </w:rPr>
        <w:t>w</w:t>
      </w:r>
      <w:r w:rsidR="00DB71B7">
        <w:rPr>
          <w:lang w:val="pl"/>
        </w:rPr>
        <w:t> </w:t>
      </w:r>
      <w:r>
        <w:rPr>
          <w:lang w:val="pl"/>
        </w:rPr>
        <w:t xml:space="preserve">niektórych przypadkach również płeć, podane w formularzu skargi były inne niż w aktach postępowań krajowych, co powodowało nadmierne trudności w ustaleniu ich tożsamości </w:t>
      </w:r>
      <w:hyperlink r:id="rId1071" w:history="1">
        <w:r>
          <w:rPr>
            <w:lang w:val="pl"/>
          </w:rPr>
          <w:t>(</w:t>
        </w:r>
        <w:r>
          <w:rPr>
            <w:i/>
            <w:iCs/>
            <w:color w:val="0072BC"/>
            <w:lang w:val="pl"/>
          </w:rPr>
          <w:t>Mastilovic i</w:t>
        </w:r>
      </w:hyperlink>
      <w:r w:rsidR="00DB71B7">
        <w:rPr>
          <w:i/>
          <w:iCs/>
          <w:color w:val="0072BC"/>
          <w:lang w:val="pl"/>
        </w:rPr>
        <w:t> </w:t>
      </w:r>
      <w:hyperlink r:id="rId1072" w:history="1">
        <w:r>
          <w:rPr>
            <w:i/>
            <w:iCs/>
            <w:color w:val="0072BC"/>
            <w:lang w:val="pl"/>
          </w:rPr>
          <w:t>Inni p. Czarnogórze</w:t>
        </w:r>
      </w:hyperlink>
      <w:r>
        <w:rPr>
          <w:lang w:val="pl"/>
        </w:rPr>
        <w:t>, §§ 35-36).</w:t>
      </w:r>
    </w:p>
    <w:p w:rsidR="00B71A20" w:rsidRPr="000625F6" w:rsidRDefault="000425B4" w:rsidP="00115011">
      <w:pPr>
        <w:pStyle w:val="Teksttreci0"/>
        <w:numPr>
          <w:ilvl w:val="0"/>
          <w:numId w:val="51"/>
        </w:numPr>
        <w:tabs>
          <w:tab w:val="left" w:pos="523"/>
        </w:tabs>
        <w:spacing w:after="240"/>
        <w:jc w:val="both"/>
        <w:rPr>
          <w:lang w:val="pl-PL"/>
        </w:rPr>
      </w:pPr>
      <w:bookmarkStart w:id="177" w:name="bookmark181"/>
      <w:r>
        <w:rPr>
          <w:lang w:val="pl"/>
        </w:rPr>
        <w:t xml:space="preserve">Skarga wniesiona przez stowarzyszenie w imieniu niezidentyfikowanych osób, gdzie stowarzyszenie nie podaje się za ofiarę, lecz skarży się na naruszenie prawa do poszanowania życia prywatnego w imieniu niezidentyfikowanych osób, które w ten sposób stają się skarżącymi reprezentowanymi przez takie stowarzyszenie, została uznana za anonimową </w:t>
      </w:r>
      <w:hyperlink r:id="rId1073" w:history="1">
        <w:r>
          <w:rPr>
            <w:lang w:val="pl"/>
          </w:rPr>
          <w:t>(</w:t>
        </w:r>
        <w:r>
          <w:rPr>
            <w:i/>
            <w:iCs/>
            <w:color w:val="0072BC"/>
            <w:lang w:val="pl"/>
          </w:rPr>
          <w:t>Federation of French Medical Trade</w:t>
        </w:r>
      </w:hyperlink>
      <w:r>
        <w:rPr>
          <w:i/>
          <w:iCs/>
          <w:color w:val="0072BC"/>
          <w:lang w:val="pl"/>
        </w:rPr>
        <w:t xml:space="preserve"> </w:t>
      </w:r>
      <w:hyperlink r:id="rId1074" w:history="1">
        <w:r>
          <w:rPr>
            <w:i/>
            <w:iCs/>
            <w:color w:val="0072BC"/>
            <w:lang w:val="pl"/>
          </w:rPr>
          <w:t>Unions i National Federation of Nurses p. Francji</w:t>
        </w:r>
        <w:r>
          <w:rPr>
            <w:lang w:val="pl"/>
          </w:rPr>
          <w:t>,</w:t>
        </w:r>
      </w:hyperlink>
      <w:r>
        <w:rPr>
          <w:i/>
          <w:iCs/>
          <w:lang w:val="pl"/>
        </w:rPr>
        <w:t xml:space="preserve"> </w:t>
      </w:r>
      <w:r>
        <w:rPr>
          <w:lang w:val="pl"/>
        </w:rPr>
        <w:t>decyzja Komisji).</w:t>
      </w:r>
      <w:bookmarkEnd w:id="177"/>
    </w:p>
    <w:p w:rsidR="00B71A20" w:rsidRDefault="00714765" w:rsidP="00714765">
      <w:pPr>
        <w:pStyle w:val="Nagwek31"/>
        <w:keepNext/>
        <w:keepLines/>
        <w:tabs>
          <w:tab w:val="left" w:pos="340"/>
        </w:tabs>
        <w:spacing w:after="100"/>
        <w:jc w:val="both"/>
      </w:pPr>
      <w:bookmarkStart w:id="178" w:name="_Toc126335654"/>
      <w:bookmarkStart w:id="179" w:name="_Toc126660613"/>
      <w:r>
        <w:rPr>
          <w:lang w:val="pl"/>
        </w:rPr>
        <w:t>2.</w:t>
      </w:r>
      <w:r>
        <w:rPr>
          <w:lang w:val="pl"/>
        </w:rPr>
        <w:tab/>
      </w:r>
      <w:r w:rsidR="000425B4">
        <w:rPr>
          <w:lang w:val="pl"/>
        </w:rPr>
        <w:t>Skarga nieanonimowa</w:t>
      </w:r>
      <w:bookmarkEnd w:id="178"/>
      <w:bookmarkEnd w:id="179"/>
    </w:p>
    <w:p w:rsidR="00B71A20" w:rsidRPr="000625F6" w:rsidRDefault="000425B4" w:rsidP="00115011">
      <w:pPr>
        <w:pStyle w:val="Teksttreci0"/>
        <w:numPr>
          <w:ilvl w:val="0"/>
          <w:numId w:val="51"/>
        </w:numPr>
        <w:tabs>
          <w:tab w:val="left" w:pos="514"/>
        </w:tabs>
        <w:jc w:val="both"/>
        <w:rPr>
          <w:lang w:val="pl-PL"/>
        </w:rPr>
      </w:pPr>
      <w:r>
        <w:rPr>
          <w:lang w:val="pl"/>
        </w:rPr>
        <w:t>Artykuł 35 ust. 2 lit. a Konwencji nie ma zastosowania, jeśli s</w:t>
      </w:r>
      <w:r w:rsidR="00DB71B7">
        <w:rPr>
          <w:lang w:val="pl"/>
        </w:rPr>
        <w:t>karżący przedłożyli faktyczne i </w:t>
      </w:r>
      <w:r>
        <w:rPr>
          <w:lang w:val="pl"/>
        </w:rPr>
        <w:t xml:space="preserve">prawne informacje, na podstawie których Trybunał mógł ustalić ich tożsamość oraz związek z faktami oraz zarzutami podnoszonymi w skardze </w:t>
      </w:r>
      <w:hyperlink r:id="rId1075" w:history="1">
        <w:r>
          <w:rPr>
            <w:lang w:val="pl"/>
          </w:rPr>
          <w:t>(</w:t>
        </w:r>
        <w:r>
          <w:rPr>
            <w:i/>
            <w:iCs/>
            <w:color w:val="0072BC"/>
            <w:lang w:val="pl"/>
          </w:rPr>
          <w:t xml:space="preserve">Sindicatul Păstorul cel Bun p. Rumunii </w:t>
        </w:r>
      </w:hyperlink>
      <w:r>
        <w:rPr>
          <w:lang w:val="pl"/>
        </w:rPr>
        <w:t>[WI], § 71).</w:t>
      </w:r>
    </w:p>
    <w:p w:rsidR="00B71A20" w:rsidRPr="000625F6" w:rsidRDefault="000425B4" w:rsidP="00115011">
      <w:pPr>
        <w:pStyle w:val="Teksttreci0"/>
        <w:numPr>
          <w:ilvl w:val="0"/>
          <w:numId w:val="51"/>
        </w:numPr>
        <w:tabs>
          <w:tab w:val="left" w:pos="505"/>
        </w:tabs>
        <w:spacing w:after="120"/>
        <w:jc w:val="both"/>
        <w:rPr>
          <w:lang w:val="pl-PL"/>
        </w:rPr>
      </w:pPr>
      <w:r>
        <w:rPr>
          <w:lang w:val="pl"/>
        </w:rPr>
        <w:t xml:space="preserve">Skargi wniesione pod fikcyjnym nazwiskiem: osoby używające pseudonimów, które wyjaśniły Trybunałowi, że w kontekście konfliktu zbrojnego są zobowiązane do nieujawniania swoich prawdziwych nazwisk w celu ochrony członków ich rodzin i przyjaciół. Stwierdzając, że „za taktyką </w:t>
      </w:r>
      <w:r>
        <w:rPr>
          <w:lang w:val="pl"/>
        </w:rPr>
        <w:lastRenderedPageBreak/>
        <w:t xml:space="preserve">ukrywania ze zrozumiałych względów prawdziwej tożsamości kryją się prawdziwi ludzie, których można zidentyfikować na podstawie licznych wskazówek, innych niż ich nazwiska”, oraz że „istnieje wystarczająco bliski związek między skarżącymi a przedmiotowymi zdarzeniami”, Trybunał nie uznał skargi za anonimową </w:t>
      </w:r>
      <w:hyperlink r:id="rId1076" w:history="1">
        <w:r>
          <w:rPr>
            <w:lang w:val="pl"/>
          </w:rPr>
          <w:t>(</w:t>
        </w:r>
        <w:r>
          <w:rPr>
            <w:i/>
            <w:iCs/>
            <w:color w:val="0072BC"/>
            <w:lang w:val="pl"/>
          </w:rPr>
          <w:t xml:space="preserve">Shamayev i Inni p. Gruzji i Rosji </w:t>
        </w:r>
      </w:hyperlink>
      <w:r>
        <w:rPr>
          <w:lang w:val="pl"/>
        </w:rPr>
        <w:t>(dec.)); patrz też wyrok w sprawie</w:t>
      </w:r>
      <w:hyperlink r:id="rId1077" w:history="1">
        <w:r>
          <w:rPr>
            <w:lang w:val="pl"/>
          </w:rPr>
          <w:t xml:space="preserve"> </w:t>
        </w:r>
        <w:r>
          <w:rPr>
            <w:i/>
            <w:iCs/>
            <w:color w:val="0072BC"/>
            <w:lang w:val="pl"/>
          </w:rPr>
          <w:t>Shamayev</w:t>
        </w:r>
      </w:hyperlink>
      <w:r>
        <w:rPr>
          <w:i/>
          <w:iCs/>
          <w:color w:val="0072BC"/>
          <w:lang w:val="pl"/>
        </w:rPr>
        <w:t xml:space="preserve"> </w:t>
      </w:r>
      <w:hyperlink r:id="rId1078" w:history="1">
        <w:r w:rsidR="00DB71B7">
          <w:rPr>
            <w:i/>
            <w:iCs/>
            <w:color w:val="0072BC"/>
            <w:lang w:val="pl"/>
          </w:rPr>
          <w:t>i </w:t>
        </w:r>
        <w:r>
          <w:rPr>
            <w:i/>
            <w:iCs/>
            <w:color w:val="0072BC"/>
            <w:lang w:val="pl"/>
          </w:rPr>
          <w:t>Inni p. Gruzji i Rosji</w:t>
        </w:r>
        <w:r>
          <w:rPr>
            <w:lang w:val="pl"/>
          </w:rPr>
          <w:t>,</w:t>
        </w:r>
      </w:hyperlink>
      <w:r>
        <w:rPr>
          <w:lang w:val="pl"/>
        </w:rPr>
        <w:t xml:space="preserve"> § 275.</w:t>
      </w:r>
    </w:p>
    <w:p w:rsidR="00B71A20" w:rsidRPr="000625F6" w:rsidRDefault="000425B4" w:rsidP="00115011">
      <w:pPr>
        <w:pStyle w:val="Teksttreci0"/>
        <w:numPr>
          <w:ilvl w:val="0"/>
          <w:numId w:val="51"/>
        </w:numPr>
        <w:tabs>
          <w:tab w:val="left" w:pos="510"/>
        </w:tabs>
        <w:spacing w:after="240"/>
        <w:jc w:val="both"/>
        <w:rPr>
          <w:lang w:val="pl-PL"/>
        </w:rPr>
      </w:pPr>
      <w:bookmarkStart w:id="180" w:name="bookmark184"/>
      <w:r>
        <w:rPr>
          <w:lang w:val="pl"/>
        </w:rPr>
        <w:t>Skargi wniesione przez organ kościelny lub stowarzyszenie o charakterze religijno-filozoficznym, w których nie ujawniono tożsamości członków takiej organizacji, nie zostały odrzucone jako anonimowe (art. 9, 10 i 11 Konwencji): patrz</w:t>
      </w:r>
      <w:hyperlink r:id="rId1079" w:history="1">
        <w:r>
          <w:rPr>
            <w:i/>
            <w:iCs/>
            <w:lang w:val="pl"/>
          </w:rPr>
          <w:t xml:space="preserve"> </w:t>
        </w:r>
        <w:r>
          <w:rPr>
            <w:i/>
            <w:iCs/>
            <w:color w:val="0072BC"/>
            <w:lang w:val="pl"/>
          </w:rPr>
          <w:t>Omkarananda i Divine Light Zentrum p. Szwajcarii</w:t>
        </w:r>
        <w:r>
          <w:rPr>
            <w:lang w:val="pl"/>
          </w:rPr>
          <w:t>,</w:t>
        </w:r>
      </w:hyperlink>
      <w:r>
        <w:rPr>
          <w:lang w:val="pl"/>
        </w:rPr>
        <w:t xml:space="preserve"> decyzja Komisji.</w:t>
      </w:r>
      <w:bookmarkEnd w:id="180"/>
    </w:p>
    <w:p w:rsidR="00B71A20" w:rsidRPr="000625F6" w:rsidRDefault="000425B4">
      <w:pPr>
        <w:pStyle w:val="Nagwek21"/>
        <w:keepNext/>
        <w:keepLines/>
        <w:spacing w:after="202"/>
        <w:jc w:val="both"/>
        <w:rPr>
          <w:lang w:val="pl-PL"/>
        </w:rPr>
      </w:pPr>
      <w:bookmarkStart w:id="181" w:name="_Toc126335655"/>
      <w:bookmarkStart w:id="182" w:name="_Toc126660614"/>
      <w:r>
        <w:rPr>
          <w:lang w:val="pl"/>
        </w:rPr>
        <w:t>D. Skarga identyczna co do istoty</w:t>
      </w:r>
      <w:bookmarkEnd w:id="181"/>
      <w:bookmarkEnd w:id="182"/>
    </w:p>
    <w:tbl>
      <w:tblPr>
        <w:tblStyle w:val="Tabela-Siatka"/>
        <w:tblW w:w="0" w:type="auto"/>
        <w:shd w:val="clear" w:color="auto" w:fill="FAFAFA"/>
        <w:tblLook w:val="04A0" w:firstRow="1" w:lastRow="0" w:firstColumn="1" w:lastColumn="0" w:noHBand="0" w:noVBand="1"/>
      </w:tblPr>
      <w:tblGrid>
        <w:gridCol w:w="9096"/>
      </w:tblGrid>
      <w:tr w:rsidR="005B139B" w:rsidRPr="00C31F37" w:rsidTr="0024595F">
        <w:trPr>
          <w:trHeight w:val="2039"/>
        </w:trPr>
        <w:tc>
          <w:tcPr>
            <w:tcW w:w="9096" w:type="dxa"/>
            <w:tcBorders>
              <w:bottom w:val="single" w:sz="4" w:space="0" w:color="auto"/>
            </w:tcBorders>
            <w:shd w:val="clear" w:color="auto" w:fill="FAFAFA"/>
          </w:tcPr>
          <w:p w:rsidR="005B139B" w:rsidRPr="005B139B" w:rsidRDefault="005B139B" w:rsidP="005B139B">
            <w:pPr>
              <w:pStyle w:val="Teksttreci0"/>
              <w:spacing w:before="120" w:after="120"/>
              <w:jc w:val="both"/>
              <w:rPr>
                <w:b/>
                <w:bCs/>
                <w:color w:val="00548C"/>
                <w:lang w:val="pl"/>
              </w:rPr>
            </w:pPr>
            <w:r w:rsidRPr="005B139B">
              <w:rPr>
                <w:b/>
                <w:bCs/>
                <w:color w:val="00548C"/>
                <w:lang w:val="pl"/>
              </w:rPr>
              <w:t>Artykuł 35 ust. 2 lit. b Konwencji – Wymogi dopuszczalności</w:t>
            </w:r>
          </w:p>
          <w:p w:rsidR="005B139B" w:rsidRPr="005B139B" w:rsidRDefault="005B139B" w:rsidP="005B139B">
            <w:pPr>
              <w:pStyle w:val="Teksttreci0"/>
              <w:spacing w:after="120"/>
              <w:ind w:left="596"/>
              <w:jc w:val="both"/>
              <w:rPr>
                <w:b/>
                <w:bCs/>
                <w:color w:val="00548C"/>
                <w:lang w:val="pl"/>
              </w:rPr>
            </w:pPr>
            <w:r w:rsidRPr="005B139B">
              <w:rPr>
                <w:color w:val="262626"/>
                <w:sz w:val="20"/>
                <w:szCs w:val="20"/>
                <w:lang w:val="pl"/>
              </w:rPr>
              <w:t>„2. Trybunał nie rozpatruje żadnej skargi wniesionej w trybie artykułu 34, która:</w:t>
            </w:r>
          </w:p>
          <w:p w:rsidR="005B139B" w:rsidRPr="005B139B" w:rsidRDefault="005B139B" w:rsidP="005B139B">
            <w:pPr>
              <w:pStyle w:val="Teksttreci0"/>
              <w:spacing w:after="120"/>
              <w:ind w:left="596"/>
              <w:jc w:val="both"/>
              <w:rPr>
                <w:b/>
                <w:bCs/>
                <w:color w:val="00548C"/>
                <w:lang w:val="pl"/>
              </w:rPr>
            </w:pPr>
            <w:r w:rsidRPr="005B139B">
              <w:rPr>
                <w:color w:val="262626"/>
                <w:sz w:val="20"/>
                <w:szCs w:val="20"/>
                <w:lang w:val="pl"/>
              </w:rPr>
              <w:t>(…)</w:t>
            </w:r>
          </w:p>
          <w:p w:rsidR="005B139B" w:rsidRPr="005B139B" w:rsidRDefault="005B139B" w:rsidP="005B139B">
            <w:pPr>
              <w:pStyle w:val="Teksttreci0"/>
              <w:tabs>
                <w:tab w:val="left" w:pos="993"/>
              </w:tabs>
              <w:spacing w:after="240"/>
              <w:ind w:left="596"/>
              <w:jc w:val="both"/>
              <w:rPr>
                <w:lang w:val="pl-PL"/>
              </w:rPr>
            </w:pPr>
            <w:r w:rsidRPr="005B139B">
              <w:rPr>
                <w:color w:val="262626"/>
                <w:sz w:val="20"/>
                <w:szCs w:val="20"/>
                <w:lang w:val="pl"/>
              </w:rPr>
              <w:t xml:space="preserve">a) </w:t>
            </w:r>
            <w:r w:rsidRPr="005B139B">
              <w:rPr>
                <w:color w:val="262626"/>
                <w:sz w:val="20"/>
                <w:szCs w:val="20"/>
                <w:lang w:val="pl"/>
              </w:rPr>
              <w:tab/>
              <w:t>jest co do istoty identyczna ze sprawą już rozpatrzoną przez Trybunał lub ze sprawą, która została poddana innej międzynarodowej procedurze dochodzenia lub rozstrzygnięcia, i jeśli skarga nie zawiera nowych, istotnych informacji”.</w:t>
            </w:r>
          </w:p>
        </w:tc>
      </w:tr>
      <w:tr w:rsidR="005B139B" w:rsidRPr="00C31F37" w:rsidTr="0024595F">
        <w:trPr>
          <w:trHeight w:val="1200"/>
        </w:trPr>
        <w:tc>
          <w:tcPr>
            <w:tcW w:w="9096" w:type="dxa"/>
            <w:tcBorders>
              <w:bottom w:val="single" w:sz="4" w:space="0" w:color="auto"/>
            </w:tcBorders>
            <w:shd w:val="clear" w:color="auto" w:fill="FAFAFA"/>
          </w:tcPr>
          <w:p w:rsidR="005B139B" w:rsidRPr="005B139B" w:rsidRDefault="005B139B" w:rsidP="005B139B">
            <w:pPr>
              <w:pStyle w:val="Teksttreci0"/>
              <w:spacing w:before="120" w:after="120"/>
              <w:rPr>
                <w:b/>
                <w:bCs/>
                <w:color w:val="00548C"/>
                <w:lang w:val="pl"/>
              </w:rPr>
            </w:pPr>
            <w:r w:rsidRPr="005B139B">
              <w:rPr>
                <w:b/>
                <w:bCs/>
                <w:color w:val="00548C"/>
                <w:lang w:val="pl"/>
              </w:rPr>
              <w:t>Słowa klucze w bazie HUDOC</w:t>
            </w:r>
          </w:p>
          <w:p w:rsidR="005B139B" w:rsidRPr="005B139B" w:rsidRDefault="005B139B" w:rsidP="00F22418">
            <w:pPr>
              <w:pStyle w:val="Teksttreci0"/>
              <w:spacing w:after="240"/>
              <w:ind w:left="595"/>
              <w:jc w:val="both"/>
              <w:rPr>
                <w:lang w:val="pl-PL"/>
              </w:rPr>
            </w:pPr>
            <w:r w:rsidRPr="005B139B">
              <w:rPr>
                <w:color w:val="262626"/>
                <w:sz w:val="20"/>
                <w:szCs w:val="20"/>
                <w:lang w:val="pl"/>
              </w:rPr>
              <w:t>Sprawa już rozpatrzona przez Trybunał (35-2-b) – sprawa poddana innej międzynarodowej procedurze (35-2-b) – istotne nowe informacje (35-2-b)</w:t>
            </w:r>
          </w:p>
        </w:tc>
      </w:tr>
    </w:tbl>
    <w:p w:rsidR="00B71A20" w:rsidRPr="000625F6" w:rsidRDefault="000425B4" w:rsidP="005B139B">
      <w:pPr>
        <w:pStyle w:val="Teksttreci0"/>
        <w:numPr>
          <w:ilvl w:val="0"/>
          <w:numId w:val="52"/>
        </w:numPr>
        <w:tabs>
          <w:tab w:val="left" w:pos="505"/>
        </w:tabs>
        <w:spacing w:before="240" w:after="240"/>
        <w:jc w:val="both"/>
        <w:rPr>
          <w:lang w:val="pl-PL"/>
        </w:rPr>
      </w:pPr>
      <w:bookmarkStart w:id="183" w:name="bookmark187"/>
      <w:r>
        <w:rPr>
          <w:lang w:val="pl"/>
        </w:rPr>
        <w:t>Skarga będzie odrzucona na podstawie art. 35 ust. 2 lit. b Konwencji, jeżeli jest co do istoty identyczna ze sprawą już rozpatrzoną przez Trybunał lub ze sprawą, która została poddana innej międzynarodowej procedurze dochodzenia lub rozstrzygnięcia, i nie zawiera nowych, istotnych informacji.</w:t>
      </w:r>
      <w:bookmarkEnd w:id="183"/>
    </w:p>
    <w:p w:rsidR="00B71A20" w:rsidRPr="000625F6" w:rsidRDefault="005B139B" w:rsidP="005B139B">
      <w:pPr>
        <w:pStyle w:val="Nagwek31"/>
        <w:keepNext/>
        <w:keepLines/>
        <w:tabs>
          <w:tab w:val="left" w:pos="331"/>
        </w:tabs>
        <w:spacing w:after="120"/>
        <w:rPr>
          <w:lang w:val="pl-PL"/>
        </w:rPr>
      </w:pPr>
      <w:bookmarkStart w:id="184" w:name="_Toc126335656"/>
      <w:bookmarkStart w:id="185" w:name="_Toc126660615"/>
      <w:r>
        <w:rPr>
          <w:lang w:val="pl"/>
        </w:rPr>
        <w:t xml:space="preserve">1.  </w:t>
      </w:r>
      <w:r w:rsidR="000425B4">
        <w:rPr>
          <w:lang w:val="pl"/>
        </w:rPr>
        <w:t>Skarga co do istoty identyczna ze sprawą już rozpatrzoną przez Trybunał</w:t>
      </w:r>
      <w:bookmarkEnd w:id="184"/>
      <w:bookmarkEnd w:id="185"/>
    </w:p>
    <w:p w:rsidR="00B71A20" w:rsidRPr="00786BF7" w:rsidRDefault="000425B4" w:rsidP="00115011">
      <w:pPr>
        <w:pStyle w:val="Teksttreci0"/>
        <w:numPr>
          <w:ilvl w:val="0"/>
          <w:numId w:val="52"/>
        </w:numPr>
        <w:tabs>
          <w:tab w:val="left" w:pos="519"/>
        </w:tabs>
        <w:spacing w:after="120"/>
        <w:jc w:val="both"/>
        <w:rPr>
          <w:lang w:val="pl-PL"/>
        </w:rPr>
      </w:pPr>
      <w:r>
        <w:rPr>
          <w:lang w:val="pl"/>
        </w:rPr>
        <w:t xml:space="preserve">Celem pierwszego członu art. 35 ust. 2 lit. b jest zapewnienie niewzruszalności decyzji Trybunału oraz uniemożliwienie skarżącym odwołania się od wcześniejszych wyroków lub decyzji Trybunału przez złożenie nowej skargi </w:t>
      </w:r>
      <w:hyperlink r:id="rId1080" w:history="1">
        <w:r>
          <w:rPr>
            <w:lang w:val="pl"/>
          </w:rPr>
          <w:t>(</w:t>
        </w:r>
        <w:r>
          <w:rPr>
            <w:i/>
            <w:iCs/>
            <w:color w:val="0072BC"/>
            <w:lang w:val="pl"/>
          </w:rPr>
          <w:t xml:space="preserve">Harkins p. Wielkiej Brytanii </w:t>
        </w:r>
      </w:hyperlink>
      <w:r>
        <w:rPr>
          <w:lang w:val="pl"/>
        </w:rPr>
        <w:t>(dec.)</w:t>
      </w:r>
      <w:r>
        <w:rPr>
          <w:i/>
          <w:iCs/>
          <w:lang w:val="pl"/>
        </w:rPr>
        <w:t xml:space="preserve"> </w:t>
      </w:r>
      <w:r>
        <w:rPr>
          <w:lang w:val="pl"/>
        </w:rPr>
        <w:t>[WI], § 51;</w:t>
      </w:r>
      <w:hyperlink r:id="rId1081" w:history="1">
        <w:r>
          <w:rPr>
            <w:i/>
            <w:iCs/>
            <w:lang w:val="pl"/>
          </w:rPr>
          <w:t xml:space="preserve"> </w:t>
        </w:r>
        <w:r>
          <w:rPr>
            <w:i/>
            <w:iCs/>
            <w:color w:val="0072BC"/>
            <w:lang w:val="pl"/>
          </w:rPr>
          <w:t xml:space="preserve">Kafkaris p. Cyprowi </w:t>
        </w:r>
      </w:hyperlink>
      <w:r>
        <w:rPr>
          <w:lang w:val="pl"/>
        </w:rPr>
        <w:t>(dec.), § 67;</w:t>
      </w:r>
      <w:hyperlink r:id="rId1082" w:history="1">
        <w:r>
          <w:rPr>
            <w:i/>
            <w:iCs/>
            <w:lang w:val="pl"/>
          </w:rPr>
          <w:t xml:space="preserve"> </w:t>
        </w:r>
        <w:r>
          <w:rPr>
            <w:i/>
            <w:iCs/>
            <w:color w:val="0072BC"/>
            <w:lang w:val="pl"/>
          </w:rPr>
          <w:t xml:space="preserve">Lowe p. Wielkiej Brytanii </w:t>
        </w:r>
      </w:hyperlink>
      <w:r>
        <w:rPr>
          <w:lang w:val="pl"/>
        </w:rPr>
        <w:t>(dec.)). Poza tym, że art. 35 ust. 2 lit. b działa na korzyść ostateczności decyzji i pewności prawa, wyznacza też granice jurysdykcji Trybunału. O ile określone zasady dotyczące dopuszczalności należy stosować z pewną elastycznością i bez n</w:t>
      </w:r>
      <w:r w:rsidR="00786BF7">
        <w:rPr>
          <w:lang w:val="pl"/>
        </w:rPr>
        <w:t>admiernego formalizmu, o tyle w </w:t>
      </w:r>
      <w:r>
        <w:rPr>
          <w:lang w:val="pl"/>
        </w:rPr>
        <w:t xml:space="preserve">przypadku tych wymogów dopuszczalności, których przedmiotem i celem jest sprzyjanie pewności prawa i wyznaczanie granic kompetencji Trybunału, Trybunał przyjmuje bardziej rygorystyczne podejście </w:t>
      </w:r>
      <w:hyperlink r:id="rId1083" w:history="1">
        <w:r>
          <w:rPr>
            <w:lang w:val="pl"/>
          </w:rPr>
          <w:t>(</w:t>
        </w:r>
        <w:r>
          <w:rPr>
            <w:i/>
            <w:iCs/>
            <w:color w:val="0072BC"/>
            <w:lang w:val="pl"/>
          </w:rPr>
          <w:t xml:space="preserve">Harkins p. Wielkiej Brytanii </w:t>
        </w:r>
      </w:hyperlink>
      <w:r>
        <w:rPr>
          <w:lang w:val="pl"/>
        </w:rPr>
        <w:t>(dec.)</w:t>
      </w:r>
      <w:r>
        <w:rPr>
          <w:i/>
          <w:iCs/>
          <w:lang w:val="pl"/>
        </w:rPr>
        <w:t xml:space="preserve"> </w:t>
      </w:r>
      <w:r>
        <w:rPr>
          <w:lang w:val="pl"/>
        </w:rPr>
        <w:t>[WI], § 52-54).</w:t>
      </w:r>
    </w:p>
    <w:p w:rsidR="00B71A20" w:rsidRPr="000625F6" w:rsidRDefault="000425B4" w:rsidP="00115011">
      <w:pPr>
        <w:pStyle w:val="Teksttreci0"/>
        <w:numPr>
          <w:ilvl w:val="0"/>
          <w:numId w:val="52"/>
        </w:numPr>
        <w:tabs>
          <w:tab w:val="left" w:pos="510"/>
        </w:tabs>
        <w:spacing w:after="160"/>
        <w:jc w:val="both"/>
        <w:rPr>
          <w:lang w:val="pl-PL"/>
        </w:rPr>
      </w:pPr>
      <w:r>
        <w:rPr>
          <w:lang w:val="pl"/>
        </w:rPr>
        <w:t>Skargę (lub zarzut) uznaje się za niedopuszczalną, jeżeli „jest co do istoty identyczna ze sprawą już rozpatrzoną przez Trybunał (…) i (…) nie zawiera nowych, istotnych informacji”. To postanowienie ma zastosowanie do spraw będących przedmiotem wcześniejszych sk</w:t>
      </w:r>
      <w:r w:rsidR="00786BF7">
        <w:rPr>
          <w:lang w:val="pl"/>
        </w:rPr>
        <w:t>arg, które Trybunał wykreślił z </w:t>
      </w:r>
      <w:r>
        <w:rPr>
          <w:lang w:val="pl"/>
        </w:rPr>
        <w:t xml:space="preserve">listy spraw na podstawie postępowania polubownego zakończonego rozstrzygnięciem </w:t>
      </w:r>
      <w:hyperlink r:id="rId1084" w:history="1">
        <w:r>
          <w:rPr>
            <w:lang w:val="pl"/>
          </w:rPr>
          <w:t>(</w:t>
        </w:r>
        <w:r>
          <w:rPr>
            <w:i/>
            <w:iCs/>
            <w:color w:val="0072BC"/>
            <w:lang w:val="pl"/>
          </w:rPr>
          <w:t>Kezer i Inni p.</w:t>
        </w:r>
        <w:r w:rsidR="00786BF7">
          <w:rPr>
            <w:i/>
            <w:iCs/>
            <w:color w:val="0072BC"/>
            <w:lang w:val="pl"/>
          </w:rPr>
          <w:t> </w:t>
        </w:r>
        <w:r>
          <w:rPr>
            <w:i/>
            <w:iCs/>
            <w:color w:val="0072BC"/>
            <w:lang w:val="pl"/>
          </w:rPr>
          <w:t xml:space="preserve">Turcji </w:t>
        </w:r>
      </w:hyperlink>
      <w:r>
        <w:rPr>
          <w:lang w:val="pl"/>
        </w:rPr>
        <w:t xml:space="preserve">(dec.)). Jeżeli jednak wcześniejsza skarga nigdy nie stanowiła przedmiotu formalnej decyzji, Trybunał może zbadać nową skargę </w:t>
      </w:r>
      <w:hyperlink r:id="rId1085" w:history="1">
        <w:r>
          <w:rPr>
            <w:lang w:val="pl"/>
          </w:rPr>
          <w:t>(</w:t>
        </w:r>
        <w:r>
          <w:rPr>
            <w:i/>
            <w:iCs/>
            <w:color w:val="0072BC"/>
            <w:lang w:val="pl"/>
          </w:rPr>
          <w:t xml:space="preserve">Sürmeli p. Niemcom </w:t>
        </w:r>
      </w:hyperlink>
      <w:r>
        <w:rPr>
          <w:lang w:val="pl"/>
        </w:rPr>
        <w:t>(dec.)).</w:t>
      </w:r>
    </w:p>
    <w:p w:rsidR="00B71A20" w:rsidRPr="000625F6" w:rsidRDefault="000425B4" w:rsidP="00115011">
      <w:pPr>
        <w:pStyle w:val="Teksttreci0"/>
        <w:numPr>
          <w:ilvl w:val="0"/>
          <w:numId w:val="52"/>
        </w:numPr>
        <w:tabs>
          <w:tab w:val="left" w:pos="514"/>
        </w:tabs>
        <w:spacing w:after="120"/>
        <w:jc w:val="both"/>
        <w:rPr>
          <w:lang w:val="pl-PL"/>
        </w:rPr>
      </w:pPr>
      <w:r>
        <w:rPr>
          <w:lang w:val="pl"/>
        </w:rPr>
        <w:t xml:space="preserve">Trybunał bada, czy dwie skargi wniesione przez skarżących dotyczą zasadniczo tych samych osób, tych samych faktów i tych samych zarzutów </w:t>
      </w:r>
      <w:hyperlink r:id="rId1086" w:history="1">
        <w:r>
          <w:rPr>
            <w:lang w:val="pl"/>
          </w:rPr>
          <w:t>(</w:t>
        </w:r>
        <w:r>
          <w:rPr>
            <w:i/>
            <w:iCs/>
            <w:color w:val="0072BC"/>
            <w:lang w:val="pl"/>
          </w:rPr>
          <w:t xml:space="preserve">Vojnović p. Chorwacji </w:t>
        </w:r>
      </w:hyperlink>
      <w:r>
        <w:rPr>
          <w:lang w:val="pl"/>
        </w:rPr>
        <w:t>(dec.), § 28;</w:t>
      </w:r>
      <w:hyperlink r:id="rId1087" w:history="1">
        <w:r>
          <w:rPr>
            <w:i/>
            <w:iCs/>
            <w:lang w:val="pl"/>
          </w:rPr>
          <w:t xml:space="preserve"> </w:t>
        </w:r>
        <w:r>
          <w:rPr>
            <w:i/>
            <w:iCs/>
            <w:color w:val="0072BC"/>
            <w:lang w:val="pl"/>
          </w:rPr>
          <w:t xml:space="preserve">Verein gegen Tierfabriken Schweiz (VgT) p. Szwajcarii (nr 2) </w:t>
        </w:r>
      </w:hyperlink>
      <w:r>
        <w:rPr>
          <w:lang w:val="pl"/>
        </w:rPr>
        <w:t>[WI], § 63;</w:t>
      </w:r>
      <w:hyperlink r:id="rId1088" w:history="1">
        <w:r>
          <w:rPr>
            <w:i/>
            <w:iCs/>
            <w:lang w:val="pl"/>
          </w:rPr>
          <w:t xml:space="preserve"> </w:t>
        </w:r>
        <w:r>
          <w:rPr>
            <w:i/>
            <w:iCs/>
            <w:color w:val="0072BC"/>
            <w:lang w:val="pl"/>
          </w:rPr>
          <w:t>Amarandei i</w:t>
        </w:r>
      </w:hyperlink>
      <w:r>
        <w:rPr>
          <w:i/>
          <w:iCs/>
          <w:color w:val="0072BC"/>
          <w:lang w:val="pl"/>
        </w:rPr>
        <w:t xml:space="preserve"> </w:t>
      </w:r>
      <w:hyperlink r:id="rId1089" w:history="1">
        <w:r>
          <w:rPr>
            <w:i/>
            <w:iCs/>
            <w:color w:val="0072BC"/>
            <w:lang w:val="pl"/>
          </w:rPr>
          <w:t>Inni p. Rumunii</w:t>
        </w:r>
        <w:r>
          <w:rPr>
            <w:lang w:val="pl"/>
          </w:rPr>
          <w:t>,</w:t>
        </w:r>
      </w:hyperlink>
      <w:r>
        <w:rPr>
          <w:lang w:val="pl"/>
        </w:rPr>
        <w:t xml:space="preserve"> §§ 106</w:t>
      </w:r>
      <w:r>
        <w:rPr>
          <w:lang w:val="pl"/>
        </w:rPr>
        <w:noBreakHyphen/>
        <w:t>111;</w:t>
      </w:r>
      <w:hyperlink r:id="rId1090" w:history="1">
        <w:r>
          <w:rPr>
            <w:lang w:val="pl"/>
          </w:rPr>
          <w:t xml:space="preserve"> </w:t>
        </w:r>
        <w:r>
          <w:rPr>
            <w:i/>
            <w:iCs/>
            <w:color w:val="0072BC"/>
            <w:lang w:val="pl"/>
          </w:rPr>
          <w:t xml:space="preserve">Leon </w:t>
        </w:r>
        <w:r>
          <w:rPr>
            <w:i/>
            <w:iCs/>
            <w:color w:val="0072BC"/>
            <w:lang w:val="pl"/>
          </w:rPr>
          <w:lastRenderedPageBreak/>
          <w:t>Madrid p. Hiszpanii</w:t>
        </w:r>
        <w:r>
          <w:rPr>
            <w:lang w:val="pl"/>
          </w:rPr>
          <w:t>,</w:t>
        </w:r>
      </w:hyperlink>
      <w:r>
        <w:rPr>
          <w:lang w:val="pl"/>
        </w:rPr>
        <w:t xml:space="preserve"> § 44). Do celów ustalenia, czy skarga lub zarzut są co do istoty identyczne w świetle art. 35 ust. 2 lit. b Konwencji, o zarzucie zawsze świadczą podniesione w nim fakty </w:t>
      </w:r>
      <w:hyperlink r:id="rId1091" w:history="1">
        <w:r>
          <w:rPr>
            <w:lang w:val="pl"/>
          </w:rPr>
          <w:t>(</w:t>
        </w:r>
        <w:r>
          <w:rPr>
            <w:i/>
            <w:iCs/>
            <w:color w:val="0072BC"/>
            <w:lang w:val="pl"/>
          </w:rPr>
          <w:t xml:space="preserve">Radomilja i Inni p. Chorwacji </w:t>
        </w:r>
      </w:hyperlink>
      <w:r>
        <w:rPr>
          <w:lang w:val="pl"/>
        </w:rPr>
        <w:t>[WI], § 120).</w:t>
      </w:r>
    </w:p>
    <w:p w:rsidR="00B71A20" w:rsidRPr="000625F6" w:rsidRDefault="000425B4" w:rsidP="00115011">
      <w:pPr>
        <w:pStyle w:val="Teksttreci0"/>
        <w:numPr>
          <w:ilvl w:val="0"/>
          <w:numId w:val="52"/>
        </w:numPr>
        <w:tabs>
          <w:tab w:val="left" w:pos="500"/>
        </w:tabs>
        <w:spacing w:after="120"/>
        <w:jc w:val="both"/>
        <w:rPr>
          <w:lang w:val="pl-PL"/>
        </w:rPr>
      </w:pPr>
      <w:r>
        <w:rPr>
          <w:lang w:val="pl"/>
        </w:rPr>
        <w:t xml:space="preserve">Skarga międzypaństwowa nie pozbawia osób możliwości wniesienia skarg indywidualnych, czy dochodzenia roszczeń </w:t>
      </w:r>
      <w:hyperlink r:id="rId1092" w:history="1">
        <w:r>
          <w:rPr>
            <w:lang w:val="pl"/>
          </w:rPr>
          <w:t>(</w:t>
        </w:r>
        <w:r>
          <w:rPr>
            <w:i/>
            <w:iCs/>
            <w:color w:val="0072BC"/>
            <w:lang w:val="pl"/>
          </w:rPr>
          <w:t xml:space="preserve">Varnava i Inni p. Turcji </w:t>
        </w:r>
      </w:hyperlink>
      <w:r>
        <w:rPr>
          <w:lang w:val="pl"/>
        </w:rPr>
        <w:t>[WI], § 118;</w:t>
      </w:r>
      <w:hyperlink r:id="rId1093" w:history="1">
        <w:r>
          <w:rPr>
            <w:i/>
            <w:iCs/>
            <w:lang w:val="pl"/>
          </w:rPr>
          <w:t xml:space="preserve"> </w:t>
        </w:r>
        <w:r>
          <w:rPr>
            <w:i/>
            <w:iCs/>
            <w:color w:val="0072BC"/>
            <w:lang w:val="pl"/>
          </w:rPr>
          <w:t>Shioshvili i</w:t>
        </w:r>
      </w:hyperlink>
      <w:r>
        <w:rPr>
          <w:i/>
          <w:iCs/>
          <w:color w:val="0072BC"/>
          <w:lang w:val="pl"/>
        </w:rPr>
        <w:t xml:space="preserve"> </w:t>
      </w:r>
      <w:hyperlink r:id="rId1094" w:history="1">
        <w:r>
          <w:rPr>
            <w:i/>
            <w:iCs/>
            <w:color w:val="0072BC"/>
            <w:lang w:val="pl"/>
          </w:rPr>
          <w:t>Inni p. Rosji</w:t>
        </w:r>
        <w:r>
          <w:rPr>
            <w:lang w:val="pl"/>
          </w:rPr>
          <w:t>,</w:t>
        </w:r>
      </w:hyperlink>
      <w:r>
        <w:rPr>
          <w:lang w:val="pl"/>
        </w:rPr>
        <w:t xml:space="preserve"> §§ 46</w:t>
      </w:r>
      <w:r>
        <w:rPr>
          <w:lang w:val="pl"/>
        </w:rPr>
        <w:noBreakHyphen/>
        <w:t>47).</w:t>
      </w:r>
    </w:p>
    <w:p w:rsidR="00B71A20" w:rsidRDefault="000425B4" w:rsidP="00115011">
      <w:pPr>
        <w:pStyle w:val="Teksttreci0"/>
        <w:numPr>
          <w:ilvl w:val="0"/>
          <w:numId w:val="52"/>
        </w:numPr>
        <w:tabs>
          <w:tab w:val="left" w:pos="519"/>
        </w:tabs>
        <w:spacing w:after="120"/>
        <w:jc w:val="both"/>
      </w:pPr>
      <w:r>
        <w:rPr>
          <w:lang w:val="pl"/>
        </w:rPr>
        <w:t xml:space="preserve">Skarga wniesiona na podstawie tych samych faktów, co poprzednia skarga, nie spełni na ogół wymogów tego artykułu. Nie wystarczy powoływanie się przez skarżącego na rzekome nowe informacje, mające jedynie na celu poparcie jego wcześniejszych zarzutów nowymi argumentami natury prawnej </w:t>
      </w:r>
      <w:hyperlink r:id="rId1095" w:history="1">
        <w:r>
          <w:rPr>
            <w:lang w:val="pl"/>
          </w:rPr>
          <w:t>(</w:t>
        </w:r>
        <w:r>
          <w:rPr>
            <w:i/>
            <w:iCs/>
            <w:color w:val="0072BC"/>
            <w:lang w:val="pl"/>
          </w:rPr>
          <w:t>I.J.L. p. Wielkiej</w:t>
        </w:r>
      </w:hyperlink>
      <w:r>
        <w:rPr>
          <w:i/>
          <w:iCs/>
          <w:color w:val="0072BC"/>
          <w:lang w:val="pl"/>
        </w:rPr>
        <w:t xml:space="preserve"> </w:t>
      </w:r>
      <w:hyperlink r:id="rId1096" w:history="1">
        <w:r>
          <w:rPr>
            <w:i/>
            <w:iCs/>
            <w:color w:val="0072BC"/>
            <w:lang w:val="pl"/>
          </w:rPr>
          <w:t xml:space="preserve">Brytanii </w:t>
        </w:r>
      </w:hyperlink>
      <w:r>
        <w:rPr>
          <w:lang w:val="pl"/>
        </w:rPr>
        <w:t>(dec.);</w:t>
      </w:r>
      <w:hyperlink r:id="rId1097" w:history="1">
        <w:r>
          <w:rPr>
            <w:lang w:val="pl"/>
          </w:rPr>
          <w:t xml:space="preserve"> </w:t>
        </w:r>
        <w:r>
          <w:rPr>
            <w:i/>
            <w:iCs/>
            <w:color w:val="0072BC"/>
            <w:lang w:val="pl"/>
          </w:rPr>
          <w:t xml:space="preserve">Mann p. Wielkiej Brytanii i Portugalii </w:t>
        </w:r>
      </w:hyperlink>
      <w:r>
        <w:rPr>
          <w:lang w:val="pl"/>
        </w:rPr>
        <w:t xml:space="preserve">(dec.)) lub dostarczenie dodatkowych informacji na temat prawa krajowego, które nie są w stanie zmienić powodów decyzji o oddaleniu jego/jej wcześniejszej skargi </w:t>
      </w:r>
      <w:hyperlink r:id="rId1098" w:history="1">
        <w:r>
          <w:rPr>
            <w:lang w:val="pl"/>
          </w:rPr>
          <w:t>(</w:t>
        </w:r>
        <w:r>
          <w:rPr>
            <w:i/>
            <w:iCs/>
            <w:color w:val="0072BC"/>
            <w:lang w:val="pl"/>
          </w:rPr>
          <w:t>X. p. Wielkiej Brytanii</w:t>
        </w:r>
        <w:r>
          <w:rPr>
            <w:lang w:val="pl"/>
          </w:rPr>
          <w:t>,</w:t>
        </w:r>
      </w:hyperlink>
      <w:r>
        <w:rPr>
          <w:lang w:val="pl"/>
        </w:rPr>
        <w:t xml:space="preserve"> decyzja Komisji z dnia 10 lipca 1981 r.). Trybunał może rozpatrzyć skargę, która dotyczy ty</w:t>
      </w:r>
      <w:r w:rsidR="00786BF7">
        <w:rPr>
          <w:lang w:val="pl"/>
        </w:rPr>
        <w:t>ch samych faktów podnoszonych w </w:t>
      </w:r>
      <w:r>
        <w:rPr>
          <w:lang w:val="pl"/>
        </w:rPr>
        <w:t xml:space="preserve">poprzedniej skardze, jeżeli skarżący faktycznie przedstawi nowy zarzut lub informacje wcześniej niebędące przedmiotem rozpatrzenia przez Trybunał </w:t>
      </w:r>
      <w:hyperlink r:id="rId1099" w:history="1">
        <w:r>
          <w:rPr>
            <w:lang w:val="pl"/>
          </w:rPr>
          <w:t>(</w:t>
        </w:r>
        <w:r>
          <w:rPr>
            <w:i/>
            <w:iCs/>
            <w:color w:val="0072BC"/>
            <w:lang w:val="pl"/>
          </w:rPr>
          <w:t xml:space="preserve">Kafkaris p. Cyprowi </w:t>
        </w:r>
      </w:hyperlink>
      <w:r>
        <w:rPr>
          <w:lang w:val="pl"/>
        </w:rPr>
        <w:t xml:space="preserve">(dec.), § 68). Istotne nowe informacje muszą być nowymi informacjami </w:t>
      </w:r>
      <w:r>
        <w:rPr>
          <w:i/>
          <w:iCs/>
          <w:lang w:val="pl"/>
        </w:rPr>
        <w:t>co do faktów</w:t>
      </w:r>
      <w:r>
        <w:rPr>
          <w:lang w:val="pl"/>
        </w:rPr>
        <w:t xml:space="preserve">, mogącymi obejmować znaczące zmiany mającego zastosowanie prawa krajowego </w:t>
      </w:r>
      <w:hyperlink r:id="rId1100" w:history="1">
        <w:r>
          <w:rPr>
            <w:lang w:val="pl"/>
          </w:rPr>
          <w:t>(</w:t>
        </w:r>
        <w:r>
          <w:rPr>
            <w:i/>
            <w:iCs/>
            <w:color w:val="0072BC"/>
            <w:lang w:val="pl"/>
          </w:rPr>
          <w:t>Ekimdzhiev i Inni p. Bułgarii</w:t>
        </w:r>
        <w:r>
          <w:rPr>
            <w:lang w:val="pl"/>
          </w:rPr>
          <w:t>,</w:t>
        </w:r>
      </w:hyperlink>
      <w:r>
        <w:rPr>
          <w:lang w:val="pl"/>
        </w:rPr>
        <w:t xml:space="preserve"> § 255). Zmiany w doktrynie Trybunału nie stanowią „nowych, istotnych informacji” do celów art. 35 ust. 2 lit. b </w:t>
      </w:r>
      <w:hyperlink r:id="rId1101" w:history="1">
        <w:r>
          <w:rPr>
            <w:lang w:val="pl"/>
          </w:rPr>
          <w:t>(</w:t>
        </w:r>
        <w:r>
          <w:rPr>
            <w:i/>
            <w:iCs/>
            <w:color w:val="0072BC"/>
            <w:lang w:val="pl"/>
          </w:rPr>
          <w:t>Harkins p. Wielkiej</w:t>
        </w:r>
      </w:hyperlink>
      <w:r>
        <w:rPr>
          <w:i/>
          <w:iCs/>
          <w:color w:val="0072BC"/>
          <w:lang w:val="pl"/>
        </w:rPr>
        <w:t xml:space="preserve"> </w:t>
      </w:r>
      <w:hyperlink r:id="rId1102" w:history="1">
        <w:r>
          <w:rPr>
            <w:i/>
            <w:iCs/>
            <w:color w:val="0072BC"/>
            <w:lang w:val="pl"/>
          </w:rPr>
          <w:t xml:space="preserve">Brytanii </w:t>
        </w:r>
      </w:hyperlink>
      <w:r>
        <w:rPr>
          <w:lang w:val="pl"/>
        </w:rPr>
        <w:t>(dec.)</w:t>
      </w:r>
      <w:r>
        <w:rPr>
          <w:i/>
          <w:iCs/>
          <w:lang w:val="pl"/>
        </w:rPr>
        <w:t xml:space="preserve"> </w:t>
      </w:r>
      <w:r>
        <w:rPr>
          <w:lang w:val="pl"/>
        </w:rPr>
        <w:t>[WI], §§ 50 i 55</w:t>
      </w:r>
      <w:r>
        <w:rPr>
          <w:lang w:val="pl"/>
        </w:rPr>
        <w:noBreakHyphen/>
        <w:t>56).</w:t>
      </w:r>
    </w:p>
    <w:p w:rsidR="00B71A20" w:rsidRPr="000625F6" w:rsidRDefault="000425B4" w:rsidP="00115011">
      <w:pPr>
        <w:pStyle w:val="Teksttreci0"/>
        <w:numPr>
          <w:ilvl w:val="0"/>
          <w:numId w:val="52"/>
        </w:numPr>
        <w:tabs>
          <w:tab w:val="left" w:pos="519"/>
        </w:tabs>
        <w:spacing w:after="220"/>
        <w:jc w:val="both"/>
        <w:rPr>
          <w:lang w:val="pl-PL"/>
        </w:rPr>
      </w:pPr>
      <w:bookmarkStart w:id="186" w:name="bookmark190"/>
      <w:r>
        <w:rPr>
          <w:lang w:val="pl"/>
        </w:rPr>
        <w:t>Organy konwencyjne stwierdziły, że skarga lub zarzut nie są identyczne co do istoty z poprzednią skargą w sprawie</w:t>
      </w:r>
      <w:hyperlink r:id="rId1103" w:history="1">
        <w:r>
          <w:rPr>
            <w:i/>
            <w:iCs/>
            <w:lang w:val="pl"/>
          </w:rPr>
          <w:t xml:space="preserve"> </w:t>
        </w:r>
        <w:r>
          <w:rPr>
            <w:i/>
            <w:iCs/>
            <w:color w:val="0072BC"/>
            <w:lang w:val="pl"/>
          </w:rPr>
          <w:t xml:space="preserve">Nobili Massuero p. Włochom </w:t>
        </w:r>
      </w:hyperlink>
      <w:r>
        <w:rPr>
          <w:lang w:val="pl"/>
        </w:rPr>
        <w:t>(dec.);</w:t>
      </w:r>
      <w:hyperlink r:id="rId1104" w:history="1">
        <w:r>
          <w:rPr>
            <w:i/>
            <w:iCs/>
            <w:lang w:val="pl"/>
          </w:rPr>
          <w:t xml:space="preserve"> </w:t>
        </w:r>
        <w:r>
          <w:rPr>
            <w:i/>
            <w:iCs/>
            <w:color w:val="0072BC"/>
            <w:lang w:val="pl"/>
          </w:rPr>
          <w:t>Riener p. Bułgarii</w:t>
        </w:r>
        <w:r>
          <w:rPr>
            <w:lang w:val="pl"/>
          </w:rPr>
          <w:t>,</w:t>
        </w:r>
      </w:hyperlink>
      <w:r>
        <w:rPr>
          <w:lang w:val="pl"/>
        </w:rPr>
        <w:t xml:space="preserve"> § 103;</w:t>
      </w:r>
      <w:hyperlink r:id="rId1105" w:history="1">
        <w:r>
          <w:rPr>
            <w:i/>
            <w:iCs/>
            <w:lang w:val="pl"/>
          </w:rPr>
          <w:t xml:space="preserve"> </w:t>
        </w:r>
        <w:r>
          <w:rPr>
            <w:i/>
            <w:iCs/>
            <w:color w:val="0072BC"/>
            <w:lang w:val="pl"/>
          </w:rPr>
          <w:t>Chappex</w:t>
        </w:r>
      </w:hyperlink>
      <w:r>
        <w:rPr>
          <w:i/>
          <w:iCs/>
          <w:color w:val="0072BC"/>
          <w:lang w:val="pl"/>
        </w:rPr>
        <w:t xml:space="preserve"> </w:t>
      </w:r>
      <w:hyperlink r:id="rId1106" w:history="1">
        <w:r>
          <w:rPr>
            <w:i/>
            <w:iCs/>
            <w:color w:val="0072BC"/>
            <w:lang w:val="pl"/>
          </w:rPr>
          <w:t>p. Szwajcarii</w:t>
        </w:r>
        <w:r>
          <w:rPr>
            <w:lang w:val="pl"/>
          </w:rPr>
          <w:t>,</w:t>
        </w:r>
      </w:hyperlink>
      <w:r>
        <w:rPr>
          <w:lang w:val="pl"/>
        </w:rPr>
        <w:t xml:space="preserve"> decyzja Komisji;</w:t>
      </w:r>
      <w:hyperlink r:id="rId1107" w:history="1">
        <w:r>
          <w:rPr>
            <w:i/>
            <w:iCs/>
            <w:lang w:val="pl"/>
          </w:rPr>
          <w:t xml:space="preserve"> </w:t>
        </w:r>
        <w:r>
          <w:rPr>
            <w:i/>
            <w:iCs/>
            <w:color w:val="0072BC"/>
            <w:lang w:val="pl"/>
          </w:rPr>
          <w:t>Yurttas p. Turcji</w:t>
        </w:r>
        <w:r>
          <w:rPr>
            <w:lang w:val="pl"/>
          </w:rPr>
          <w:t>,</w:t>
        </w:r>
      </w:hyperlink>
      <w:r>
        <w:rPr>
          <w:lang w:val="pl"/>
        </w:rPr>
        <w:t xml:space="preserve"> §§ 36-37;</w:t>
      </w:r>
      <w:hyperlink r:id="rId1108" w:history="1">
        <w:r>
          <w:rPr>
            <w:i/>
            <w:iCs/>
            <w:lang w:val="pl"/>
          </w:rPr>
          <w:t xml:space="preserve"> </w:t>
        </w:r>
        <w:r>
          <w:rPr>
            <w:i/>
            <w:iCs/>
            <w:color w:val="0072BC"/>
            <w:lang w:val="pl"/>
          </w:rPr>
          <w:t>Sadak p. Turcji</w:t>
        </w:r>
        <w:r>
          <w:rPr>
            <w:lang w:val="pl"/>
          </w:rPr>
          <w:t>,</w:t>
        </w:r>
      </w:hyperlink>
      <w:r>
        <w:rPr>
          <w:lang w:val="pl"/>
        </w:rPr>
        <w:t xml:space="preserve"> §§ 32-33; </w:t>
      </w:r>
      <w:hyperlink r:id="rId1109" w:history="1">
        <w:r>
          <w:rPr>
            <w:i/>
            <w:iCs/>
            <w:color w:val="0072BC"/>
            <w:lang w:val="pl"/>
          </w:rPr>
          <w:t>Amarandei i Inni p. Rumunii</w:t>
        </w:r>
        <w:r>
          <w:rPr>
            <w:lang w:val="pl"/>
          </w:rPr>
          <w:t>,</w:t>
        </w:r>
      </w:hyperlink>
      <w:r>
        <w:rPr>
          <w:lang w:val="pl"/>
        </w:rPr>
        <w:t xml:space="preserve"> §§ 106</w:t>
      </w:r>
      <w:r>
        <w:rPr>
          <w:lang w:val="pl"/>
        </w:rPr>
        <w:noBreakHyphen/>
        <w:t>112;</w:t>
      </w:r>
      <w:hyperlink r:id="rId1110" w:history="1">
        <w:r>
          <w:rPr>
            <w:i/>
            <w:iCs/>
            <w:lang w:val="pl"/>
          </w:rPr>
          <w:t xml:space="preserve"> </w:t>
        </w:r>
        <w:r>
          <w:rPr>
            <w:i/>
            <w:iCs/>
            <w:color w:val="0072BC"/>
            <w:lang w:val="pl"/>
          </w:rPr>
          <w:t>Tsalikidis i Inni p. Grecji</w:t>
        </w:r>
        <w:r>
          <w:rPr>
            <w:lang w:val="pl"/>
          </w:rPr>
          <w:t>,</w:t>
        </w:r>
      </w:hyperlink>
      <w:r>
        <w:rPr>
          <w:lang w:val="pl"/>
        </w:rPr>
        <w:t xml:space="preserve"> §§ 56</w:t>
      </w:r>
      <w:r>
        <w:rPr>
          <w:lang w:val="pl"/>
        </w:rPr>
        <w:noBreakHyphen/>
        <w:t>58;</w:t>
      </w:r>
      <w:hyperlink r:id="rId1111" w:history="1">
        <w:r>
          <w:rPr>
            <w:lang w:val="pl"/>
          </w:rPr>
          <w:t xml:space="preserve"> </w:t>
        </w:r>
        <w:r>
          <w:rPr>
            <w:i/>
            <w:iCs/>
            <w:color w:val="0072BC"/>
            <w:lang w:val="pl"/>
          </w:rPr>
          <w:t>Volodina</w:t>
        </w:r>
      </w:hyperlink>
      <w:r>
        <w:rPr>
          <w:i/>
          <w:iCs/>
          <w:color w:val="0072BC"/>
          <w:lang w:val="pl"/>
        </w:rPr>
        <w:t xml:space="preserve"> </w:t>
      </w:r>
      <w:hyperlink r:id="rId1112" w:history="1">
        <w:r>
          <w:rPr>
            <w:i/>
            <w:iCs/>
            <w:color w:val="0072BC"/>
            <w:lang w:val="pl"/>
          </w:rPr>
          <w:t>p. Rosji (nr 2)</w:t>
        </w:r>
        <w:r>
          <w:rPr>
            <w:lang w:val="pl"/>
          </w:rPr>
          <w:t>,</w:t>
        </w:r>
      </w:hyperlink>
      <w:r>
        <w:rPr>
          <w:lang w:val="pl"/>
        </w:rPr>
        <w:t xml:space="preserve"> §§ 37-40;</w:t>
      </w:r>
      <w:hyperlink r:id="rId1113" w:history="1">
        <w:r>
          <w:rPr>
            <w:lang w:val="pl"/>
          </w:rPr>
          <w:t xml:space="preserve"> </w:t>
        </w:r>
        <w:r>
          <w:rPr>
            <w:i/>
            <w:iCs/>
            <w:color w:val="0072BC"/>
            <w:lang w:val="pl"/>
          </w:rPr>
          <w:t>Ekimdzhiev i Inni p. Bułgarii</w:t>
        </w:r>
        <w:r>
          <w:rPr>
            <w:lang w:val="pl"/>
          </w:rPr>
          <w:t>,</w:t>
        </w:r>
      </w:hyperlink>
      <w:r>
        <w:rPr>
          <w:lang w:val="pl"/>
        </w:rPr>
        <w:t xml:space="preserve"> §§ 253-255). Z kolei w sprawach</w:t>
      </w:r>
      <w:hyperlink r:id="rId1114" w:history="1">
        <w:r>
          <w:rPr>
            <w:i/>
            <w:iCs/>
            <w:lang w:val="pl"/>
          </w:rPr>
          <w:t xml:space="preserve"> </w:t>
        </w:r>
        <w:r>
          <w:rPr>
            <w:i/>
            <w:iCs/>
            <w:color w:val="0072BC"/>
            <w:lang w:val="pl"/>
          </w:rPr>
          <w:t>Moldovan i Inni</w:t>
        </w:r>
      </w:hyperlink>
      <w:r>
        <w:rPr>
          <w:i/>
          <w:iCs/>
          <w:color w:val="0072BC"/>
          <w:lang w:val="pl"/>
        </w:rPr>
        <w:t xml:space="preserve"> </w:t>
      </w:r>
      <w:hyperlink r:id="rId1115" w:history="1">
        <w:r>
          <w:rPr>
            <w:i/>
            <w:iCs/>
            <w:color w:val="0072BC"/>
            <w:lang w:val="pl"/>
          </w:rPr>
          <w:t xml:space="preserve">p. Rumunii </w:t>
        </w:r>
      </w:hyperlink>
      <w:r>
        <w:rPr>
          <w:lang w:val="pl"/>
        </w:rPr>
        <w:t>(dec.);</w:t>
      </w:r>
      <w:hyperlink r:id="rId1116" w:history="1">
        <w:r>
          <w:rPr>
            <w:i/>
            <w:iCs/>
            <w:lang w:val="pl"/>
          </w:rPr>
          <w:t xml:space="preserve"> </w:t>
        </w:r>
        <w:r>
          <w:rPr>
            <w:i/>
            <w:iCs/>
            <w:color w:val="0072BC"/>
            <w:lang w:val="pl"/>
          </w:rPr>
          <w:t>Hokkanen p. Finlandii</w:t>
        </w:r>
        <w:r>
          <w:rPr>
            <w:lang w:val="pl"/>
          </w:rPr>
          <w:t xml:space="preserve">, </w:t>
        </w:r>
      </w:hyperlink>
      <w:r>
        <w:rPr>
          <w:lang w:val="pl"/>
        </w:rPr>
        <w:t>decyzja Komisji;</w:t>
      </w:r>
      <w:hyperlink r:id="rId1117" w:history="1">
        <w:r>
          <w:rPr>
            <w:i/>
            <w:iCs/>
            <w:lang w:val="pl"/>
          </w:rPr>
          <w:t xml:space="preserve"> </w:t>
        </w:r>
        <w:r>
          <w:rPr>
            <w:i/>
            <w:iCs/>
            <w:color w:val="0072BC"/>
            <w:lang w:val="pl"/>
          </w:rPr>
          <w:t>Adesina p. Francji</w:t>
        </w:r>
        <w:r>
          <w:rPr>
            <w:lang w:val="pl"/>
          </w:rPr>
          <w:t>,</w:t>
        </w:r>
      </w:hyperlink>
      <w:r>
        <w:rPr>
          <w:lang w:val="pl"/>
        </w:rPr>
        <w:t xml:space="preserve"> decyzja Komisji;</w:t>
      </w:r>
      <w:hyperlink r:id="rId1118" w:history="1">
        <w:r>
          <w:rPr>
            <w:i/>
            <w:iCs/>
            <w:lang w:val="pl"/>
          </w:rPr>
          <w:t xml:space="preserve"> </w:t>
        </w:r>
        <w:r>
          <w:rPr>
            <w:i/>
            <w:iCs/>
            <w:color w:val="0072BC"/>
            <w:lang w:val="pl"/>
          </w:rPr>
          <w:t>Bernardet p. Francji</w:t>
        </w:r>
        <w:r>
          <w:rPr>
            <w:lang w:val="pl"/>
          </w:rPr>
          <w:t>,</w:t>
        </w:r>
      </w:hyperlink>
      <w:r>
        <w:rPr>
          <w:lang w:val="pl"/>
        </w:rPr>
        <w:t xml:space="preserve"> decyzja Komisji;</w:t>
      </w:r>
      <w:hyperlink r:id="rId1119" w:history="1">
        <w:r>
          <w:rPr>
            <w:i/>
            <w:iCs/>
            <w:lang w:val="pl"/>
          </w:rPr>
          <w:t xml:space="preserve"> </w:t>
        </w:r>
        <w:r w:rsidR="00786BF7">
          <w:rPr>
            <w:i/>
            <w:iCs/>
            <w:color w:val="0072BC"/>
            <w:lang w:val="pl"/>
          </w:rPr>
          <w:t>Gennari p. </w:t>
        </w:r>
        <w:r>
          <w:rPr>
            <w:i/>
            <w:iCs/>
            <w:color w:val="0072BC"/>
            <w:lang w:val="pl"/>
          </w:rPr>
          <w:t xml:space="preserve">Włochom </w:t>
        </w:r>
      </w:hyperlink>
      <w:r>
        <w:rPr>
          <w:lang w:val="pl"/>
        </w:rPr>
        <w:t>(dec.);</w:t>
      </w:r>
      <w:hyperlink r:id="rId1120" w:history="1">
        <w:r>
          <w:rPr>
            <w:i/>
            <w:iCs/>
            <w:lang w:val="pl"/>
          </w:rPr>
          <w:t xml:space="preserve"> </w:t>
        </w:r>
        <w:r>
          <w:rPr>
            <w:i/>
            <w:iCs/>
            <w:color w:val="0072BC"/>
            <w:lang w:val="pl"/>
          </w:rPr>
          <w:t xml:space="preserve">Manuel p. Portugalii </w:t>
        </w:r>
      </w:hyperlink>
      <w:r>
        <w:rPr>
          <w:lang w:val="pl"/>
        </w:rPr>
        <w:t>(dec.) organy konwencyjne uznały, że skarga lub zarzut były identyczne co do istoty.</w:t>
      </w:r>
      <w:bookmarkEnd w:id="186"/>
    </w:p>
    <w:p w:rsidR="00B71A20" w:rsidRPr="000625F6" w:rsidRDefault="00201E04" w:rsidP="00201E04">
      <w:pPr>
        <w:pStyle w:val="Nagwek31"/>
        <w:keepNext/>
        <w:keepLines/>
        <w:spacing w:after="120"/>
        <w:ind w:left="426" w:hanging="426"/>
        <w:jc w:val="both"/>
        <w:rPr>
          <w:lang w:val="pl-PL"/>
        </w:rPr>
      </w:pPr>
      <w:bookmarkStart w:id="187" w:name="_Toc126335657"/>
      <w:bookmarkStart w:id="188" w:name="_Toc126660616"/>
      <w:r>
        <w:rPr>
          <w:lang w:val="pl"/>
        </w:rPr>
        <w:t xml:space="preserve">2.  </w:t>
      </w:r>
      <w:r w:rsidR="000425B4">
        <w:rPr>
          <w:lang w:val="pl"/>
        </w:rPr>
        <w:t>Skarga co do istoty identyczna ze sprawą, która została poddana innej międzynarodowej procedurze dochodzenia lub rozstrzygnięcia</w:t>
      </w:r>
      <w:bookmarkEnd w:id="187"/>
      <w:bookmarkEnd w:id="188"/>
    </w:p>
    <w:p w:rsidR="00B71A20" w:rsidRPr="000625F6" w:rsidRDefault="000425B4" w:rsidP="00115011">
      <w:pPr>
        <w:pStyle w:val="Teksttreci0"/>
        <w:numPr>
          <w:ilvl w:val="0"/>
          <w:numId w:val="52"/>
        </w:numPr>
        <w:tabs>
          <w:tab w:val="left" w:pos="514"/>
        </w:tabs>
        <w:spacing w:after="120"/>
        <w:jc w:val="both"/>
        <w:rPr>
          <w:lang w:val="pl-PL"/>
        </w:rPr>
      </w:pPr>
      <w:r>
        <w:rPr>
          <w:lang w:val="pl"/>
        </w:rPr>
        <w:t xml:space="preserve">Celem drugiego członu art. 35 ust. 2 lit. b jest uniknięcie sytuacji, kiedy kilka międzynarodowych organów jednocześnie rozpatrywałoby skargi identyczne co do istoty. Taka sytuacja byłaby nie do pogodzenia z duchem i literą Konwencji, której celem jest uniknięcie wielości postępowań międzynarodowych dotyczących tych samych spraw </w:t>
      </w:r>
      <w:hyperlink r:id="rId1121" w:history="1">
        <w:r>
          <w:rPr>
            <w:lang w:val="pl"/>
          </w:rPr>
          <w:t>(</w:t>
        </w:r>
        <w:r>
          <w:rPr>
            <w:i/>
            <w:iCs/>
            <w:color w:val="0072BC"/>
            <w:lang w:val="pl"/>
          </w:rPr>
          <w:t>OAO</w:t>
        </w:r>
      </w:hyperlink>
      <w:r>
        <w:rPr>
          <w:i/>
          <w:iCs/>
          <w:color w:val="0072BC"/>
          <w:lang w:val="pl"/>
        </w:rPr>
        <w:t xml:space="preserve"> </w:t>
      </w:r>
      <w:hyperlink r:id="rId1122" w:history="1">
        <w:r>
          <w:rPr>
            <w:i/>
            <w:iCs/>
            <w:color w:val="0072BC"/>
            <w:lang w:val="pl"/>
          </w:rPr>
          <w:t>Neftyanaya Kompaniya Yukos p. Rosji</w:t>
        </w:r>
        <w:r>
          <w:rPr>
            <w:lang w:val="pl"/>
          </w:rPr>
          <w:t>,</w:t>
        </w:r>
      </w:hyperlink>
      <w:r>
        <w:rPr>
          <w:lang w:val="pl"/>
        </w:rPr>
        <w:t xml:space="preserve"> § 520;</w:t>
      </w:r>
      <w:hyperlink r:id="rId1123" w:history="1">
        <w:r>
          <w:rPr>
            <w:lang w:val="pl"/>
          </w:rPr>
          <w:t xml:space="preserve"> </w:t>
        </w:r>
        <w:r>
          <w:rPr>
            <w:i/>
            <w:iCs/>
            <w:color w:val="0072BC"/>
            <w:lang w:val="pl"/>
          </w:rPr>
          <w:t>Eğitim ve Bilim Emekçileri Sendikası p. Turcji</w:t>
        </w:r>
        <w:r>
          <w:rPr>
            <w:lang w:val="pl"/>
          </w:rPr>
          <w:t>,</w:t>
        </w:r>
      </w:hyperlink>
      <w:r>
        <w:rPr>
          <w:lang w:val="pl"/>
        </w:rPr>
        <w:t xml:space="preserve"> § 37; </w:t>
      </w:r>
      <w:hyperlink r:id="rId1124" w:history="1">
        <w:r>
          <w:rPr>
            <w:i/>
            <w:iCs/>
            <w:color w:val="0072BC"/>
            <w:lang w:val="pl"/>
          </w:rPr>
          <w:t xml:space="preserve">Selahattin Demirtaş p. Turcji (nr 2) </w:t>
        </w:r>
      </w:hyperlink>
      <w:r w:rsidR="00786BF7">
        <w:rPr>
          <w:lang w:val="pl"/>
        </w:rPr>
        <w:t>[WI], § 180). Z </w:t>
      </w:r>
      <w:r>
        <w:rPr>
          <w:lang w:val="pl"/>
        </w:rPr>
        <w:t xml:space="preserve">tego powodu konieczne jest, by Trybunał rozpatrzył sprawę z urzędu </w:t>
      </w:r>
      <w:hyperlink r:id="rId1125" w:history="1">
        <w:r>
          <w:rPr>
            <w:lang w:val="pl"/>
          </w:rPr>
          <w:t>(</w:t>
        </w:r>
        <w:r>
          <w:rPr>
            <w:i/>
            <w:iCs/>
            <w:color w:val="0072BC"/>
            <w:lang w:val="pl"/>
          </w:rPr>
          <w:t xml:space="preserve">POA i Inni p. Wielkiej Brytanii </w:t>
        </w:r>
      </w:hyperlink>
      <w:r>
        <w:rPr>
          <w:lang w:val="pl"/>
        </w:rPr>
        <w:t>(dec.), § 27).</w:t>
      </w:r>
    </w:p>
    <w:p w:rsidR="00B71A20" w:rsidRPr="000625F6" w:rsidRDefault="000425B4" w:rsidP="00115011">
      <w:pPr>
        <w:pStyle w:val="Teksttreci0"/>
        <w:numPr>
          <w:ilvl w:val="0"/>
          <w:numId w:val="52"/>
        </w:numPr>
        <w:tabs>
          <w:tab w:val="left" w:pos="514"/>
        </w:tabs>
        <w:spacing w:after="120"/>
        <w:jc w:val="both"/>
        <w:rPr>
          <w:lang w:val="pl-PL"/>
        </w:rPr>
      </w:pPr>
      <w:r>
        <w:rPr>
          <w:lang w:val="pl"/>
        </w:rPr>
        <w:t>Ustalając, czy jego właściwość jest wykluczona na mocy tego postanowienia Konwencji, Trybunał musi zadecydować, czy sprawa zawisła przed nim jest identyczna co do istoty ze sprawą wniesioną wcześniej w toczącym się równolegle postępowaniu, a jeżeli tak, to czy to jednoczesne postępowanie może być traktowane jako „inna międzynarodowa procedura doc</w:t>
      </w:r>
      <w:r w:rsidR="00442B28">
        <w:rPr>
          <w:lang w:val="pl"/>
        </w:rPr>
        <w:t>hodzenia lub rozstrzygnięcia” w </w:t>
      </w:r>
      <w:r>
        <w:rPr>
          <w:lang w:val="pl"/>
        </w:rPr>
        <w:t xml:space="preserve">znaczeniu art. 35 ust. 2 lit. b Konwencji </w:t>
      </w:r>
      <w:hyperlink r:id="rId1126" w:history="1">
        <w:r>
          <w:rPr>
            <w:lang w:val="pl"/>
          </w:rPr>
          <w:t>(</w:t>
        </w:r>
        <w:r>
          <w:rPr>
            <w:i/>
            <w:iCs/>
            <w:color w:val="0072BC"/>
            <w:lang w:val="pl"/>
          </w:rPr>
          <w:t>OAO Neftyanaya Kompaniya Yukos p. Rosji</w:t>
        </w:r>
        <w:r>
          <w:rPr>
            <w:lang w:val="pl"/>
          </w:rPr>
          <w:t>,</w:t>
        </w:r>
      </w:hyperlink>
      <w:r>
        <w:rPr>
          <w:lang w:val="pl"/>
        </w:rPr>
        <w:t xml:space="preserve"> § 520;</w:t>
      </w:r>
      <w:hyperlink r:id="rId1127" w:history="1">
        <w:r>
          <w:rPr>
            <w:i/>
            <w:iCs/>
            <w:lang w:val="pl"/>
          </w:rPr>
          <w:t xml:space="preserve"> </w:t>
        </w:r>
        <w:r>
          <w:rPr>
            <w:i/>
            <w:iCs/>
            <w:color w:val="0072BC"/>
            <w:lang w:val="pl"/>
          </w:rPr>
          <w:t xml:space="preserve">Gürdeniz p. Turcji </w:t>
        </w:r>
      </w:hyperlink>
      <w:r>
        <w:rPr>
          <w:lang w:val="pl"/>
        </w:rPr>
        <w:t>(dec.), §§ 39</w:t>
      </w:r>
      <w:r>
        <w:rPr>
          <w:lang w:val="pl"/>
        </w:rPr>
        <w:noBreakHyphen/>
        <w:t>40;</w:t>
      </w:r>
      <w:hyperlink r:id="rId1128" w:history="1">
        <w:r>
          <w:rPr>
            <w:i/>
            <w:iCs/>
            <w:lang w:val="pl"/>
          </w:rPr>
          <w:t xml:space="preserve"> </w:t>
        </w:r>
        <w:r>
          <w:rPr>
            <w:i/>
            <w:iCs/>
            <w:color w:val="0072BC"/>
            <w:lang w:val="pl"/>
          </w:rPr>
          <w:t xml:space="preserve">Doğan i Çakmak p. Turcji </w:t>
        </w:r>
      </w:hyperlink>
      <w:r>
        <w:rPr>
          <w:lang w:val="pl"/>
        </w:rPr>
        <w:t>(dec.), § 20).</w:t>
      </w:r>
    </w:p>
    <w:p w:rsidR="00B71A20" w:rsidRDefault="003E7F57" w:rsidP="00CD40FD">
      <w:pPr>
        <w:pStyle w:val="Nagwek41"/>
        <w:keepNext/>
        <w:keepLines/>
        <w:tabs>
          <w:tab w:val="left" w:pos="284"/>
        </w:tabs>
        <w:jc w:val="both"/>
      </w:pPr>
      <w:bookmarkStart w:id="189" w:name="bookmark193"/>
      <w:bookmarkStart w:id="190" w:name="_Toc126335658"/>
      <w:bookmarkStart w:id="191" w:name="_Toc126660617"/>
      <w:r>
        <w:rPr>
          <w:lang w:val="pl"/>
        </w:rPr>
        <w:t xml:space="preserve">a.  </w:t>
      </w:r>
      <w:r w:rsidR="000425B4">
        <w:rPr>
          <w:lang w:val="pl"/>
        </w:rPr>
        <w:t>Ocena podobieństwa spraw</w:t>
      </w:r>
      <w:bookmarkEnd w:id="189"/>
      <w:bookmarkEnd w:id="190"/>
      <w:bookmarkEnd w:id="191"/>
    </w:p>
    <w:p w:rsidR="00B71A20" w:rsidRPr="000625F6" w:rsidRDefault="000425B4" w:rsidP="00115011">
      <w:pPr>
        <w:pStyle w:val="Teksttreci0"/>
        <w:numPr>
          <w:ilvl w:val="0"/>
          <w:numId w:val="52"/>
        </w:numPr>
        <w:tabs>
          <w:tab w:val="left" w:pos="510"/>
        </w:tabs>
        <w:jc w:val="both"/>
        <w:rPr>
          <w:lang w:val="pl-PL"/>
        </w:rPr>
      </w:pPr>
      <w:r>
        <w:rPr>
          <w:lang w:val="pl"/>
        </w:rPr>
        <w:t xml:space="preserve">Ocena podobieństwa spraw polega zazwyczaj na porównaniu stron w odnośnych postępowaniach, odnośnych przepisów prawa, na które się powołują, zakresu stawianych zarzutów oraz rodzaju środka naprawczego, o jaki występują </w:t>
      </w:r>
      <w:hyperlink r:id="rId1129" w:history="1">
        <w:r>
          <w:rPr>
            <w:lang w:val="pl"/>
          </w:rPr>
          <w:t>(</w:t>
        </w:r>
        <w:r>
          <w:rPr>
            <w:i/>
            <w:iCs/>
            <w:color w:val="0072BC"/>
            <w:lang w:val="pl"/>
          </w:rPr>
          <w:t>OAO Neftyanaya Kompaniya Yukos p. Rosji</w:t>
        </w:r>
        <w:r>
          <w:rPr>
            <w:lang w:val="pl"/>
          </w:rPr>
          <w:t>,</w:t>
        </w:r>
      </w:hyperlink>
      <w:r>
        <w:rPr>
          <w:lang w:val="pl"/>
        </w:rPr>
        <w:t xml:space="preserve"> § 521;</w:t>
      </w:r>
      <w:hyperlink r:id="rId1130" w:history="1">
        <w:r>
          <w:rPr>
            <w:i/>
            <w:iCs/>
            <w:lang w:val="pl"/>
          </w:rPr>
          <w:t xml:space="preserve"> </w:t>
        </w:r>
        <w:r>
          <w:rPr>
            <w:i/>
            <w:iCs/>
            <w:color w:val="0072BC"/>
            <w:lang w:val="pl"/>
          </w:rPr>
          <w:t>Greek</w:t>
        </w:r>
      </w:hyperlink>
      <w:r>
        <w:rPr>
          <w:i/>
          <w:iCs/>
          <w:color w:val="0072BC"/>
          <w:lang w:val="pl"/>
        </w:rPr>
        <w:t xml:space="preserve"> </w:t>
      </w:r>
      <w:hyperlink r:id="rId1131" w:history="1">
        <w:r>
          <w:rPr>
            <w:i/>
            <w:iCs/>
            <w:color w:val="0072BC"/>
            <w:lang w:val="pl"/>
          </w:rPr>
          <w:t xml:space="preserve">Federation of Bank Employee Unions p. Grecji </w:t>
        </w:r>
      </w:hyperlink>
      <w:r>
        <w:rPr>
          <w:lang w:val="pl"/>
        </w:rPr>
        <w:t>(dec.), § 39).</w:t>
      </w:r>
    </w:p>
    <w:p w:rsidR="00B71A20" w:rsidRPr="000625F6" w:rsidRDefault="000425B4" w:rsidP="00115011">
      <w:pPr>
        <w:pStyle w:val="Teksttreci0"/>
        <w:numPr>
          <w:ilvl w:val="0"/>
          <w:numId w:val="52"/>
        </w:numPr>
        <w:tabs>
          <w:tab w:val="left" w:pos="505"/>
        </w:tabs>
        <w:jc w:val="both"/>
        <w:rPr>
          <w:lang w:val="pl-PL"/>
        </w:rPr>
      </w:pPr>
      <w:r>
        <w:rPr>
          <w:lang w:val="pl"/>
        </w:rPr>
        <w:t xml:space="preserve">Zatem Trybunał weryfikuje, podobnie jak w przypadku pierwszego członu art. 35 ust. 2 lit. b, </w:t>
      </w:r>
      <w:r>
        <w:rPr>
          <w:lang w:val="pl"/>
        </w:rPr>
        <w:lastRenderedPageBreak/>
        <w:t>o</w:t>
      </w:r>
      <w:r w:rsidR="00442B28">
        <w:rPr>
          <w:lang w:val="pl"/>
        </w:rPr>
        <w:t> </w:t>
      </w:r>
      <w:r>
        <w:rPr>
          <w:lang w:val="pl"/>
        </w:rPr>
        <w:t xml:space="preserve">którym mowa powyżej, czy skargi wniesione do poszczególnych instytucji międzynarodowych dotyczą zasadniczo tych samych osób, faktów i zarzutów </w:t>
      </w:r>
      <w:hyperlink r:id="rId1132" w:history="1">
        <w:r>
          <w:rPr>
            <w:lang w:val="pl"/>
          </w:rPr>
          <w:t>(</w:t>
        </w:r>
        <w:r>
          <w:rPr>
            <w:i/>
            <w:iCs/>
            <w:color w:val="0072BC"/>
            <w:lang w:val="pl"/>
          </w:rPr>
          <w:t xml:space="preserve">Patera p. Czechom </w:t>
        </w:r>
      </w:hyperlink>
      <w:r>
        <w:rPr>
          <w:lang w:val="pl"/>
        </w:rPr>
        <w:t>(dec.);</w:t>
      </w:r>
      <w:hyperlink r:id="rId1133" w:history="1">
        <w:r>
          <w:rPr>
            <w:lang w:val="pl"/>
          </w:rPr>
          <w:t xml:space="preserve"> </w:t>
        </w:r>
        <w:r w:rsidR="00442B28">
          <w:rPr>
            <w:i/>
            <w:iCs/>
            <w:color w:val="0072BC"/>
            <w:lang w:val="pl"/>
          </w:rPr>
          <w:t>Karoussiotis p. </w:t>
        </w:r>
        <w:r>
          <w:rPr>
            <w:i/>
            <w:iCs/>
            <w:color w:val="0072BC"/>
            <w:lang w:val="pl"/>
          </w:rPr>
          <w:t>Portugalii</w:t>
        </w:r>
        <w:r>
          <w:rPr>
            <w:lang w:val="pl"/>
          </w:rPr>
          <w:t>,</w:t>
        </w:r>
      </w:hyperlink>
      <w:r>
        <w:rPr>
          <w:lang w:val="pl"/>
        </w:rPr>
        <w:t xml:space="preserve"> § 63;</w:t>
      </w:r>
      <w:hyperlink r:id="rId1134" w:history="1">
        <w:r>
          <w:rPr>
            <w:lang w:val="pl"/>
          </w:rPr>
          <w:t xml:space="preserve"> </w:t>
        </w:r>
        <w:r>
          <w:rPr>
            <w:i/>
            <w:iCs/>
            <w:color w:val="0072BC"/>
            <w:lang w:val="pl"/>
          </w:rPr>
          <w:t xml:space="preserve">Gürdeniz p. Turcji </w:t>
        </w:r>
      </w:hyperlink>
      <w:r>
        <w:rPr>
          <w:lang w:val="pl"/>
        </w:rPr>
        <w:t>(dec.), §§ 41</w:t>
      </w:r>
      <w:r>
        <w:rPr>
          <w:lang w:val="pl"/>
        </w:rPr>
        <w:noBreakHyphen/>
        <w:t>45;</w:t>
      </w:r>
      <w:hyperlink r:id="rId1135" w:history="1">
        <w:r>
          <w:rPr>
            <w:lang w:val="pl"/>
          </w:rPr>
          <w:t xml:space="preserve"> </w:t>
        </w:r>
        <w:r>
          <w:rPr>
            <w:i/>
            <w:iCs/>
            <w:color w:val="0072BC"/>
            <w:lang w:val="pl"/>
          </w:rPr>
          <w:t>Pauger p. Austrii</w:t>
        </w:r>
        <w:r>
          <w:rPr>
            <w:lang w:val="pl"/>
          </w:rPr>
          <w:t>,</w:t>
        </w:r>
      </w:hyperlink>
      <w:r>
        <w:rPr>
          <w:lang w:val="pl"/>
        </w:rPr>
        <w:t xml:space="preserve"> decyzja Komisji).</w:t>
      </w:r>
    </w:p>
    <w:p w:rsidR="00B71A20" w:rsidRPr="000625F6" w:rsidRDefault="000425B4" w:rsidP="00115011">
      <w:pPr>
        <w:pStyle w:val="Teksttreci0"/>
        <w:numPr>
          <w:ilvl w:val="0"/>
          <w:numId w:val="52"/>
        </w:numPr>
        <w:tabs>
          <w:tab w:val="left" w:pos="514"/>
        </w:tabs>
        <w:jc w:val="both"/>
        <w:rPr>
          <w:lang w:val="pl-PL"/>
        </w:rPr>
      </w:pPr>
      <w:r>
        <w:rPr>
          <w:lang w:val="pl"/>
        </w:rPr>
        <w:t xml:space="preserve">Przykładowo, jeżeli skarżący przed tymi dwiema instytucjami nie są tożsami, „skarga” do Trybunału nie może być uznana za sprawę „co do istoty identyczną ze sprawą, (…) która została poddana innej międzynarodowej procedurze dochodzenia lub rozstrzygnięcia” </w:t>
      </w:r>
      <w:hyperlink r:id="rId1136" w:history="1">
        <w:r>
          <w:rPr>
            <w:lang w:val="pl"/>
          </w:rPr>
          <w:t>(</w:t>
        </w:r>
        <w:r>
          <w:rPr>
            <w:i/>
            <w:iCs/>
            <w:color w:val="0072BC"/>
            <w:lang w:val="pl"/>
          </w:rPr>
          <w:t>Folgerø i Inni</w:t>
        </w:r>
      </w:hyperlink>
      <w:r>
        <w:rPr>
          <w:i/>
          <w:iCs/>
          <w:color w:val="0072BC"/>
          <w:lang w:val="pl"/>
        </w:rPr>
        <w:t xml:space="preserve"> </w:t>
      </w:r>
      <w:hyperlink r:id="rId1137" w:history="1">
        <w:r w:rsidR="00442B28">
          <w:rPr>
            <w:i/>
            <w:iCs/>
            <w:color w:val="0072BC"/>
            <w:lang w:val="pl"/>
          </w:rPr>
          <w:t>p. </w:t>
        </w:r>
        <w:r>
          <w:rPr>
            <w:i/>
            <w:iCs/>
            <w:color w:val="0072BC"/>
            <w:lang w:val="pl"/>
          </w:rPr>
          <w:t xml:space="preserve">Norwegii </w:t>
        </w:r>
      </w:hyperlink>
      <w:r>
        <w:rPr>
          <w:lang w:val="pl"/>
        </w:rPr>
        <w:t xml:space="preserve">(dec.)). Zatem Trybunał stwierdził, że nie jest wyłączony z badania skargi zawisłej przed nim, gdy tę inną międzynarodową procedurę wszczęła organizacja pozarządowa </w:t>
      </w:r>
      <w:hyperlink r:id="rId1138" w:history="1">
        <w:r>
          <w:rPr>
            <w:lang w:val="pl"/>
          </w:rPr>
          <w:t>(</w:t>
        </w:r>
        <w:r>
          <w:rPr>
            <w:i/>
            <w:iCs/>
            <w:color w:val="0072BC"/>
            <w:lang w:val="pl"/>
          </w:rPr>
          <w:t>Celniku p. Grecji</w:t>
        </w:r>
        <w:r>
          <w:rPr>
            <w:lang w:val="pl"/>
          </w:rPr>
          <w:t>,</w:t>
        </w:r>
      </w:hyperlink>
      <w:r w:rsidR="00442B28">
        <w:rPr>
          <w:lang w:val="pl"/>
        </w:rPr>
        <w:t xml:space="preserve"> §§ </w:t>
      </w:r>
      <w:r>
        <w:rPr>
          <w:lang w:val="pl"/>
        </w:rPr>
        <w:t>39-41;</w:t>
      </w:r>
      <w:hyperlink r:id="rId1139" w:history="1">
        <w:r>
          <w:rPr>
            <w:lang w:val="pl"/>
          </w:rPr>
          <w:t xml:space="preserve"> </w:t>
        </w:r>
        <w:r>
          <w:rPr>
            <w:i/>
            <w:iCs/>
            <w:color w:val="0072BC"/>
            <w:lang w:val="pl"/>
          </w:rPr>
          <w:t xml:space="preserve">Illiu i Inni p. Belgii </w:t>
        </w:r>
      </w:hyperlink>
      <w:r>
        <w:rPr>
          <w:lang w:val="pl"/>
        </w:rPr>
        <w:t xml:space="preserve">(dec.)) lub Konfederacja Związków, do której ta organizacja należała </w:t>
      </w:r>
      <w:hyperlink r:id="rId1140" w:history="1">
        <w:r>
          <w:rPr>
            <w:lang w:val="pl"/>
          </w:rPr>
          <w:t>(</w:t>
        </w:r>
        <w:r>
          <w:rPr>
            <w:i/>
            <w:iCs/>
            <w:color w:val="0072BC"/>
            <w:lang w:val="pl"/>
          </w:rPr>
          <w:t>Eğitim ve Bilim Emekçileri Sendikası p. Turcji</w:t>
        </w:r>
        <w:r>
          <w:rPr>
            <w:lang w:val="pl"/>
          </w:rPr>
          <w:t>,</w:t>
        </w:r>
      </w:hyperlink>
      <w:r>
        <w:rPr>
          <w:lang w:val="pl"/>
        </w:rPr>
        <w:t xml:space="preserve"> § 38), a nie przez samych skarżących. W sprawie</w:t>
      </w:r>
      <w:hyperlink r:id="rId1141" w:history="1">
        <w:r>
          <w:rPr>
            <w:i/>
            <w:iCs/>
            <w:lang w:val="pl"/>
          </w:rPr>
          <w:t xml:space="preserve"> </w:t>
        </w:r>
        <w:r>
          <w:rPr>
            <w:i/>
            <w:iCs/>
            <w:color w:val="0072BC"/>
            <w:lang w:val="pl"/>
          </w:rPr>
          <w:t>Kavala p. Turcji</w:t>
        </w:r>
      </w:hyperlink>
      <w:r>
        <w:rPr>
          <w:lang w:val="pl"/>
        </w:rPr>
        <w:t xml:space="preserve"> specjalni sprawozdawcy ONZ i wiceprzewodniczący Grupy Roboczej ds. Arbitralnych Zatrzymań (WGAD) skierowali do Turcji pismo z „pilnym apelem”, w kontekście postępowania szczególnego wprowadzonego przez Biuro Wysokiego Komisarza Narodów Zjednoczonych ds. Praw Człowieka, które mogło doprowadzić do zainicjowania procedury. Ponieważ jednak WGAD nie zainicjowała takiej procedury i ani skarżący, ani jego bliscy krewni nie wnieśli odwołania do organów ONZ, „skarga” nie była „co do istoty identyczna” (§§ 92-94</w:t>
      </w:r>
      <w:r w:rsidR="0074490E">
        <w:rPr>
          <w:lang w:val="pl"/>
        </w:rPr>
        <w:t xml:space="preserve">; patrz też </w:t>
      </w:r>
      <w:hyperlink r:id="rId1142" w:history="1">
        <w:r w:rsidR="0074490E" w:rsidRPr="000625F6">
          <w:rPr>
            <w:i/>
            <w:iCs/>
            <w:color w:val="0072BC"/>
            <w:lang w:val="pl"/>
          </w:rPr>
          <w:t>Taner Kılıç p. Turcji (nr 2)</w:t>
        </w:r>
      </w:hyperlink>
      <w:r w:rsidR="0074490E">
        <w:rPr>
          <w:lang w:val="pl"/>
        </w:rPr>
        <w:t>, § 62-63</w:t>
      </w:r>
      <w:r>
        <w:rPr>
          <w:lang w:val="pl"/>
        </w:rPr>
        <w:t>).</w:t>
      </w:r>
    </w:p>
    <w:p w:rsidR="00B71A20" w:rsidRPr="000625F6" w:rsidRDefault="000425B4" w:rsidP="00115011">
      <w:pPr>
        <w:pStyle w:val="Teksttreci0"/>
        <w:numPr>
          <w:ilvl w:val="0"/>
          <w:numId w:val="52"/>
        </w:numPr>
        <w:tabs>
          <w:tab w:val="left" w:pos="514"/>
        </w:tabs>
        <w:spacing w:after="220"/>
        <w:jc w:val="both"/>
        <w:rPr>
          <w:lang w:val="pl-PL"/>
        </w:rPr>
      </w:pPr>
      <w:bookmarkStart w:id="192" w:name="bookmark196"/>
      <w:r>
        <w:rPr>
          <w:lang w:val="pl"/>
        </w:rPr>
        <w:t>Jednak Trybunał niedawno potwierdził, że skarga wniesiona do Trybunału, będąc praktycznie identyczną ze skargą złożoną wcześniej do innego międzynarodowego organu (MOP) lecz wniesioną przez skarżących będących osobami, które nie były i nie mogły być stro</w:t>
      </w:r>
      <w:r w:rsidR="00442B28">
        <w:rPr>
          <w:lang w:val="pl"/>
        </w:rPr>
        <w:t>nami tej wcześniejszej skargi z </w:t>
      </w:r>
      <w:r>
        <w:rPr>
          <w:lang w:val="pl"/>
        </w:rPr>
        <w:t>uwagi na zbiorczy charakter procedury, w której prawo do występ</w:t>
      </w:r>
      <w:r w:rsidR="00442B28">
        <w:rPr>
          <w:lang w:val="pl"/>
        </w:rPr>
        <w:t>owania miały związki zawodowe i </w:t>
      </w:r>
      <w:r>
        <w:rPr>
          <w:lang w:val="pl"/>
        </w:rPr>
        <w:t xml:space="preserve">organizacje pracodawców, była identyczna co do istoty ze skargą złożoną do tego organu. Tak się dzieje, ponieważ ci indywidualni skarżący muszą być postrzegani jako blisko związani z postępowaniem i zarzutami rozpatrywanymi przez tamten organ z uwagi na status funkcjonariuszy związku zawodowego, o którym tu mowa. Zgoda na rozpatrzenie ich skargi przez Trybunał byłaby równoznaczna z obejściem art. 35 ust. 2 lit. b Konwencji </w:t>
      </w:r>
      <w:hyperlink r:id="rId1143" w:history="1">
        <w:r>
          <w:rPr>
            <w:lang w:val="pl"/>
          </w:rPr>
          <w:t>(</w:t>
        </w:r>
        <w:r>
          <w:rPr>
            <w:i/>
            <w:iCs/>
            <w:color w:val="0072BC"/>
            <w:lang w:val="pl"/>
          </w:rPr>
          <w:t>POA i Inni p. Wielkiej</w:t>
        </w:r>
      </w:hyperlink>
      <w:r>
        <w:rPr>
          <w:i/>
          <w:iCs/>
          <w:color w:val="0072BC"/>
          <w:lang w:val="pl"/>
        </w:rPr>
        <w:t xml:space="preserve"> </w:t>
      </w:r>
      <w:hyperlink r:id="rId1144" w:history="1">
        <w:r>
          <w:rPr>
            <w:i/>
            <w:iCs/>
            <w:color w:val="0072BC"/>
            <w:lang w:val="pl"/>
          </w:rPr>
          <w:t xml:space="preserve">Brytanii </w:t>
        </w:r>
      </w:hyperlink>
      <w:r>
        <w:rPr>
          <w:lang w:val="pl"/>
        </w:rPr>
        <w:t>(dec.), §§ 30-32).</w:t>
      </w:r>
      <w:bookmarkEnd w:id="192"/>
    </w:p>
    <w:p w:rsidR="00B71A20" w:rsidRPr="000625F6" w:rsidRDefault="00143BB7" w:rsidP="00CD40FD">
      <w:pPr>
        <w:pStyle w:val="Nagwek41"/>
        <w:keepNext/>
        <w:keepLines/>
        <w:tabs>
          <w:tab w:val="left" w:pos="284"/>
        </w:tabs>
        <w:jc w:val="both"/>
        <w:rPr>
          <w:lang w:val="pl-PL"/>
        </w:rPr>
      </w:pPr>
      <w:bookmarkStart w:id="193" w:name="_Toc126335659"/>
      <w:bookmarkStart w:id="194" w:name="_Toc126660618"/>
      <w:r>
        <w:rPr>
          <w:lang w:val="pl"/>
        </w:rPr>
        <w:t xml:space="preserve">b. </w:t>
      </w:r>
      <w:r w:rsidR="000B65C4">
        <w:rPr>
          <w:lang w:val="pl"/>
        </w:rPr>
        <w:t xml:space="preserve"> </w:t>
      </w:r>
      <w:r w:rsidR="000425B4">
        <w:rPr>
          <w:lang w:val="pl"/>
        </w:rPr>
        <w:t>Pojęcie „innej międzynarodowej procedury dochodzenia lub rozstrzygnięcia”</w:t>
      </w:r>
      <w:bookmarkEnd w:id="193"/>
      <w:bookmarkEnd w:id="194"/>
    </w:p>
    <w:p w:rsidR="00B71A20" w:rsidRPr="000625F6" w:rsidRDefault="000425B4" w:rsidP="00115011">
      <w:pPr>
        <w:pStyle w:val="Teksttreci0"/>
        <w:numPr>
          <w:ilvl w:val="0"/>
          <w:numId w:val="52"/>
        </w:numPr>
        <w:tabs>
          <w:tab w:val="left" w:pos="505"/>
        </w:tabs>
        <w:jc w:val="both"/>
        <w:rPr>
          <w:lang w:val="pl-PL"/>
        </w:rPr>
      </w:pPr>
      <w:r>
        <w:rPr>
          <w:lang w:val="pl"/>
        </w:rPr>
        <w:t xml:space="preserve">W swojej ocenie opartej na art. 35 ust. 2 lit. b Trybunał musi ustalić, czy rzeczone postępowanie równoległe stanowi inną międzynarodową procedurę dla celów tego kryterium dopuszczalności </w:t>
      </w:r>
      <w:hyperlink r:id="rId1145" w:history="1">
        <w:r>
          <w:rPr>
            <w:lang w:val="pl"/>
          </w:rPr>
          <w:t>(</w:t>
        </w:r>
        <w:r w:rsidR="00442B28">
          <w:rPr>
            <w:i/>
            <w:iCs/>
            <w:color w:val="0072BC"/>
            <w:lang w:val="pl"/>
          </w:rPr>
          <w:t>POA i </w:t>
        </w:r>
        <w:r>
          <w:rPr>
            <w:i/>
            <w:iCs/>
            <w:color w:val="0072BC"/>
            <w:lang w:val="pl"/>
          </w:rPr>
          <w:t>Inni p. Wielkiej Brytanii</w:t>
        </w:r>
        <w:r>
          <w:rPr>
            <w:lang w:val="pl"/>
          </w:rPr>
          <w:t>,</w:t>
        </w:r>
      </w:hyperlink>
      <w:r>
        <w:rPr>
          <w:lang w:val="pl"/>
        </w:rPr>
        <w:t xml:space="preserve"> § 28).</w:t>
      </w:r>
    </w:p>
    <w:p w:rsidR="00B71A20" w:rsidRPr="000625F6" w:rsidRDefault="000425B4" w:rsidP="00115011">
      <w:pPr>
        <w:pStyle w:val="Teksttreci0"/>
        <w:numPr>
          <w:ilvl w:val="0"/>
          <w:numId w:val="52"/>
        </w:numPr>
        <w:tabs>
          <w:tab w:val="left" w:pos="519"/>
        </w:tabs>
        <w:spacing w:after="240"/>
        <w:jc w:val="both"/>
        <w:rPr>
          <w:lang w:val="pl-PL"/>
        </w:rPr>
      </w:pPr>
      <w:r>
        <w:rPr>
          <w:lang w:val="pl"/>
        </w:rPr>
        <w:t xml:space="preserve">Badanie przez Trybunał tego aspektu nie jest ograniczone do formalnej weryfikacji, ale obejmowałoby, w miarę potrzeby, ustalenie, czy charakter organu nadzorczego, procedury, jakie stosuje, oraz skutek jego decyzji nie powodują wyłączenia jurysdykcji Trybunału na mocy art. 35 ust. 2 lit. b </w:t>
      </w:r>
      <w:hyperlink r:id="rId1146" w:history="1">
        <w:r>
          <w:rPr>
            <w:lang w:val="pl"/>
          </w:rPr>
          <w:t>(</w:t>
        </w:r>
        <w:r>
          <w:rPr>
            <w:i/>
            <w:iCs/>
            <w:color w:val="0072BC"/>
            <w:lang w:val="pl"/>
          </w:rPr>
          <w:t>OAO Neftyanaya Kompaniya Yukos p. Rosji</w:t>
        </w:r>
        <w:r>
          <w:rPr>
            <w:lang w:val="pl"/>
          </w:rPr>
          <w:t>,</w:t>
        </w:r>
      </w:hyperlink>
      <w:r>
        <w:rPr>
          <w:lang w:val="pl"/>
        </w:rPr>
        <w:t xml:space="preserve"> § 522;</w:t>
      </w:r>
      <w:hyperlink r:id="rId1147" w:history="1">
        <w:r>
          <w:rPr>
            <w:i/>
            <w:iCs/>
            <w:lang w:val="pl"/>
          </w:rPr>
          <w:t xml:space="preserve"> </w:t>
        </w:r>
        <w:r>
          <w:rPr>
            <w:i/>
            <w:iCs/>
            <w:color w:val="0072BC"/>
            <w:lang w:val="pl"/>
          </w:rPr>
          <w:t>De Pace p. Włochom</w:t>
        </w:r>
        <w:r>
          <w:rPr>
            <w:lang w:val="pl"/>
          </w:rPr>
          <w:t>,</w:t>
        </w:r>
      </w:hyperlink>
      <w:r>
        <w:rPr>
          <w:lang w:val="pl"/>
        </w:rPr>
        <w:t xml:space="preserve"> §§ 25</w:t>
      </w:r>
      <w:r>
        <w:rPr>
          <w:lang w:val="pl"/>
        </w:rPr>
        <w:noBreakHyphen/>
        <w:t>28;</w:t>
      </w:r>
      <w:hyperlink r:id="rId1148" w:history="1">
        <w:r>
          <w:rPr>
            <w:i/>
            <w:iCs/>
            <w:lang w:val="pl"/>
          </w:rPr>
          <w:t xml:space="preserve"> </w:t>
        </w:r>
        <w:r>
          <w:rPr>
            <w:i/>
            <w:iCs/>
            <w:color w:val="0072BC"/>
            <w:lang w:val="pl"/>
          </w:rPr>
          <w:t>Karoussiotis</w:t>
        </w:r>
      </w:hyperlink>
      <w:r>
        <w:rPr>
          <w:i/>
          <w:iCs/>
          <w:color w:val="0072BC"/>
          <w:lang w:val="pl"/>
        </w:rPr>
        <w:t xml:space="preserve"> </w:t>
      </w:r>
      <w:hyperlink r:id="rId1149" w:history="1">
        <w:r>
          <w:rPr>
            <w:i/>
            <w:iCs/>
            <w:color w:val="0072BC"/>
            <w:lang w:val="pl"/>
          </w:rPr>
          <w:t>p. Portugalii</w:t>
        </w:r>
        <w:r>
          <w:rPr>
            <w:lang w:val="pl"/>
          </w:rPr>
          <w:t>,</w:t>
        </w:r>
      </w:hyperlink>
      <w:r>
        <w:rPr>
          <w:lang w:val="pl"/>
        </w:rPr>
        <w:t xml:space="preserve"> §§ 62 i 65-76;</w:t>
      </w:r>
      <w:hyperlink r:id="rId1150" w:history="1">
        <w:r>
          <w:rPr>
            <w:i/>
            <w:iCs/>
            <w:lang w:val="pl"/>
          </w:rPr>
          <w:t xml:space="preserve"> </w:t>
        </w:r>
        <w:r>
          <w:rPr>
            <w:i/>
            <w:iCs/>
            <w:color w:val="0072BC"/>
            <w:lang w:val="pl"/>
          </w:rPr>
          <w:t xml:space="preserve">Greek Federation of Bank Employee Unions p. Grecji </w:t>
        </w:r>
      </w:hyperlink>
      <w:r>
        <w:rPr>
          <w:lang w:val="pl"/>
        </w:rPr>
        <w:t xml:space="preserve">(dec.), § 33-38; </w:t>
      </w:r>
      <w:hyperlink r:id="rId1151" w:history="1">
        <w:r w:rsidR="00442B28">
          <w:rPr>
            <w:i/>
            <w:iCs/>
            <w:color w:val="0072BC"/>
            <w:lang w:val="pl"/>
          </w:rPr>
          <w:t>Doğan i </w:t>
        </w:r>
        <w:r>
          <w:rPr>
            <w:i/>
            <w:iCs/>
            <w:color w:val="0072BC"/>
            <w:lang w:val="pl"/>
          </w:rPr>
          <w:t xml:space="preserve">Çakmak p. Turcji </w:t>
        </w:r>
      </w:hyperlink>
      <w:r>
        <w:rPr>
          <w:lang w:val="pl"/>
        </w:rPr>
        <w:t>(dec.), § 21;</w:t>
      </w:r>
      <w:hyperlink r:id="rId1152" w:history="1">
        <w:r>
          <w:rPr>
            <w:i/>
            <w:iCs/>
            <w:lang w:val="pl"/>
          </w:rPr>
          <w:t xml:space="preserve"> </w:t>
        </w:r>
        <w:r>
          <w:rPr>
            <w:i/>
            <w:iCs/>
            <w:color w:val="0072BC"/>
            <w:lang w:val="pl"/>
          </w:rPr>
          <w:t xml:space="preserve">Peraldi p. Francji </w:t>
        </w:r>
      </w:hyperlink>
      <w:r>
        <w:rPr>
          <w:lang w:val="pl"/>
        </w:rPr>
        <w:t xml:space="preserve">(dec.)). Trybunał opracował kryteria, które musi spełnić organ międzynarodowy, aby został uznany za „inną międzynarodową procedurę dochodzenia lub rozstrzygnięcia” w rozumieniu tego postanowienia. Wymóg postępowania sądowego lub quasi-sądowego zbliżonego do mechanizmu Konwencji oznacza, że badanie musi być jasno zdefiniowane co do zakresu i ograniczone do określonych praw w oparciu o instrument prawny, na podstawie którego właściwy organ jest uprawniony do ustalenia odpowiedzialności państwa i do przyznania uznanego prawem środka naprawczego, który pozwoli na położenie kresu zarzucanemu naruszeniu. Ów organ musi też udzielić </w:t>
      </w:r>
      <w:bookmarkStart w:id="195" w:name="bookmark199"/>
      <w:r>
        <w:rPr>
          <w:lang w:val="pl"/>
        </w:rPr>
        <w:t>gwarancji instytucjonalnych i proceduralnych, takich j</w:t>
      </w:r>
      <w:r w:rsidR="00442B28">
        <w:rPr>
          <w:lang w:val="pl"/>
        </w:rPr>
        <w:t>ak niezawisłość, bezstronność i </w:t>
      </w:r>
      <w:r>
        <w:rPr>
          <w:lang w:val="pl"/>
        </w:rPr>
        <w:t xml:space="preserve">kontradyktoryjność </w:t>
      </w:r>
      <w:hyperlink r:id="rId1153" w:history="1">
        <w:r>
          <w:rPr>
            <w:lang w:val="pl"/>
          </w:rPr>
          <w:t>(</w:t>
        </w:r>
        <w:r>
          <w:rPr>
            <w:i/>
            <w:iCs/>
            <w:color w:val="0072BC"/>
            <w:lang w:val="pl"/>
          </w:rPr>
          <w:t xml:space="preserve">Selahattin Demirtaş p. Turcji (nr 2) </w:t>
        </w:r>
      </w:hyperlink>
      <w:r>
        <w:rPr>
          <w:lang w:val="pl"/>
        </w:rPr>
        <w:t>[WI], §§ 182-186;</w:t>
      </w:r>
      <w:hyperlink r:id="rId1154" w:history="1">
        <w:r>
          <w:rPr>
            <w:lang w:val="pl"/>
          </w:rPr>
          <w:t xml:space="preserve"> </w:t>
        </w:r>
        <w:r>
          <w:rPr>
            <w:i/>
            <w:iCs/>
            <w:color w:val="0072BC"/>
            <w:lang w:val="pl"/>
          </w:rPr>
          <w:t>Tung p. Turcji</w:t>
        </w:r>
        <w:r>
          <w:rPr>
            <w:color w:val="0072BC"/>
            <w:lang w:val="pl"/>
          </w:rPr>
          <w:t xml:space="preserve"> </w:t>
        </w:r>
      </w:hyperlink>
      <w:r>
        <w:rPr>
          <w:lang w:val="pl"/>
        </w:rPr>
        <w:t>(dec.), §§ 65-66).</w:t>
      </w:r>
      <w:bookmarkEnd w:id="195"/>
    </w:p>
    <w:p w:rsidR="00201E04" w:rsidRDefault="00201E04">
      <w:pPr>
        <w:rPr>
          <w:rFonts w:ascii="Calibri" w:eastAsia="Calibri" w:hAnsi="Calibri" w:cs="Calibri"/>
          <w:b/>
          <w:bCs/>
          <w:sz w:val="32"/>
          <w:szCs w:val="32"/>
          <w:lang w:val="pl"/>
        </w:rPr>
      </w:pPr>
      <w:bookmarkStart w:id="196" w:name="_Toc126335660"/>
      <w:r>
        <w:rPr>
          <w:lang w:val="pl"/>
        </w:rPr>
        <w:br w:type="page"/>
      </w:r>
    </w:p>
    <w:p w:rsidR="00B71A20" w:rsidRPr="000625F6" w:rsidRDefault="000425B4">
      <w:pPr>
        <w:pStyle w:val="Nagwek21"/>
        <w:keepNext/>
        <w:keepLines/>
        <w:spacing w:after="202"/>
        <w:jc w:val="both"/>
        <w:rPr>
          <w:lang w:val="pl-PL"/>
        </w:rPr>
      </w:pPr>
      <w:bookmarkStart w:id="197" w:name="_Toc126660619"/>
      <w:r>
        <w:rPr>
          <w:lang w:val="pl"/>
        </w:rPr>
        <w:lastRenderedPageBreak/>
        <w:t>E. Nadużycie prawa do skargi</w:t>
      </w:r>
      <w:bookmarkEnd w:id="196"/>
      <w:bookmarkEnd w:id="197"/>
    </w:p>
    <w:tbl>
      <w:tblPr>
        <w:tblStyle w:val="Tabela-Siatka"/>
        <w:tblW w:w="0" w:type="auto"/>
        <w:shd w:val="clear" w:color="auto" w:fill="FAFAFA"/>
        <w:tblLook w:val="04A0" w:firstRow="1" w:lastRow="0" w:firstColumn="1" w:lastColumn="0" w:noHBand="0" w:noVBand="1"/>
      </w:tblPr>
      <w:tblGrid>
        <w:gridCol w:w="9096"/>
      </w:tblGrid>
      <w:tr w:rsidR="00361EB0" w:rsidRPr="00C31F37" w:rsidTr="0024595F">
        <w:trPr>
          <w:trHeight w:val="1361"/>
        </w:trPr>
        <w:tc>
          <w:tcPr>
            <w:tcW w:w="9096" w:type="dxa"/>
            <w:tcBorders>
              <w:bottom w:val="single" w:sz="4" w:space="0" w:color="auto"/>
            </w:tcBorders>
            <w:shd w:val="clear" w:color="auto" w:fill="FAFAFA"/>
          </w:tcPr>
          <w:p w:rsidR="00361EB0" w:rsidRPr="00361EB0" w:rsidRDefault="00361EB0" w:rsidP="00361EB0">
            <w:pPr>
              <w:pStyle w:val="Teksttreci0"/>
              <w:spacing w:before="120" w:after="120"/>
              <w:jc w:val="both"/>
              <w:rPr>
                <w:b/>
                <w:bCs/>
                <w:color w:val="00548C"/>
                <w:lang w:val="pl"/>
              </w:rPr>
            </w:pPr>
            <w:r w:rsidRPr="00361EB0">
              <w:rPr>
                <w:b/>
                <w:bCs/>
                <w:color w:val="00548C"/>
                <w:lang w:val="pl"/>
              </w:rPr>
              <w:t>Artykuł 35 ust. 3 lit. a Konwencji – Wymogi dopuszczalności</w:t>
            </w:r>
          </w:p>
          <w:p w:rsidR="00361EB0" w:rsidRPr="00361EB0" w:rsidRDefault="00361EB0" w:rsidP="00361EB0">
            <w:pPr>
              <w:pStyle w:val="Teksttreci0"/>
              <w:ind w:left="596"/>
              <w:jc w:val="both"/>
              <w:rPr>
                <w:b/>
                <w:bCs/>
                <w:color w:val="00548C"/>
                <w:lang w:val="pl"/>
              </w:rPr>
            </w:pPr>
            <w:r w:rsidRPr="00361EB0">
              <w:rPr>
                <w:color w:val="262626"/>
                <w:sz w:val="20"/>
                <w:szCs w:val="20"/>
                <w:lang w:val="pl"/>
              </w:rPr>
              <w:t>„3. Trybunał uznaje za niedopuszczalną każdą skargę indywidualną wniesioną w trybie artykułu 34, jeśli uważa, że:</w:t>
            </w:r>
          </w:p>
          <w:p w:rsidR="00361EB0" w:rsidRPr="00361EB0" w:rsidRDefault="00361EB0" w:rsidP="00361EB0">
            <w:pPr>
              <w:pStyle w:val="Teksttreci0"/>
              <w:spacing w:after="240"/>
              <w:ind w:left="596"/>
              <w:jc w:val="both"/>
              <w:rPr>
                <w:lang w:val="pl-PL"/>
              </w:rPr>
            </w:pPr>
            <w:r w:rsidRPr="00361EB0">
              <w:rPr>
                <w:color w:val="262626"/>
                <w:sz w:val="20"/>
                <w:szCs w:val="20"/>
                <w:lang w:val="pl"/>
              </w:rPr>
              <w:t>a) skarga (…) stanowi nadużycie prawa do skargi;”</w:t>
            </w:r>
          </w:p>
        </w:tc>
      </w:tr>
      <w:tr w:rsidR="00361EB0" w:rsidRPr="00C31F37" w:rsidTr="0024595F">
        <w:trPr>
          <w:trHeight w:val="956"/>
        </w:trPr>
        <w:tc>
          <w:tcPr>
            <w:tcW w:w="9096" w:type="dxa"/>
            <w:tcBorders>
              <w:bottom w:val="single" w:sz="4" w:space="0" w:color="auto"/>
            </w:tcBorders>
            <w:shd w:val="clear" w:color="auto" w:fill="FAFAFA"/>
          </w:tcPr>
          <w:p w:rsidR="00361EB0" w:rsidRPr="00361EB0" w:rsidRDefault="00361EB0" w:rsidP="00361EB0">
            <w:pPr>
              <w:pStyle w:val="Teksttreci0"/>
              <w:spacing w:before="120" w:after="120"/>
              <w:rPr>
                <w:b/>
                <w:bCs/>
                <w:color w:val="00548C"/>
                <w:lang w:val="pl"/>
              </w:rPr>
            </w:pPr>
            <w:r w:rsidRPr="00361EB0">
              <w:rPr>
                <w:b/>
                <w:bCs/>
                <w:color w:val="00548C"/>
                <w:lang w:val="pl"/>
              </w:rPr>
              <w:t>Słowa klucze w bazie HUDOC</w:t>
            </w:r>
          </w:p>
          <w:p w:rsidR="00361EB0" w:rsidRPr="00361EB0" w:rsidRDefault="00361EB0" w:rsidP="002509CB">
            <w:pPr>
              <w:pStyle w:val="Teksttreci0"/>
              <w:spacing w:after="240"/>
              <w:ind w:left="595"/>
              <w:jc w:val="both"/>
              <w:rPr>
                <w:lang w:val="pl-PL"/>
              </w:rPr>
            </w:pPr>
            <w:r w:rsidRPr="00361EB0">
              <w:rPr>
                <w:color w:val="262626"/>
                <w:sz w:val="20"/>
                <w:szCs w:val="20"/>
                <w:lang w:val="pl"/>
              </w:rPr>
              <w:t>Nadużycie prawa do skargi (35-3-a)</w:t>
            </w:r>
          </w:p>
        </w:tc>
      </w:tr>
    </w:tbl>
    <w:p w:rsidR="00B71A20" w:rsidRDefault="002509CB" w:rsidP="002509CB">
      <w:pPr>
        <w:pStyle w:val="Nagwek31"/>
        <w:keepNext/>
        <w:keepLines/>
        <w:tabs>
          <w:tab w:val="left" w:pos="331"/>
        </w:tabs>
        <w:spacing w:before="240" w:after="100"/>
        <w:jc w:val="both"/>
      </w:pPr>
      <w:bookmarkStart w:id="198" w:name="bookmark202"/>
      <w:bookmarkStart w:id="199" w:name="_Toc126335661"/>
      <w:bookmarkStart w:id="200" w:name="_Toc126660620"/>
      <w:r>
        <w:rPr>
          <w:lang w:val="pl"/>
        </w:rPr>
        <w:t xml:space="preserve">1.  </w:t>
      </w:r>
      <w:r w:rsidR="000425B4">
        <w:rPr>
          <w:lang w:val="pl"/>
        </w:rPr>
        <w:t>Ogólna definicja</w:t>
      </w:r>
      <w:bookmarkEnd w:id="198"/>
      <w:bookmarkEnd w:id="199"/>
      <w:bookmarkEnd w:id="200"/>
    </w:p>
    <w:p w:rsidR="00B71A20" w:rsidRDefault="000425B4" w:rsidP="00D42CF0">
      <w:pPr>
        <w:pStyle w:val="Teksttreci0"/>
        <w:numPr>
          <w:ilvl w:val="0"/>
          <w:numId w:val="55"/>
        </w:numPr>
        <w:tabs>
          <w:tab w:val="left" w:pos="505"/>
        </w:tabs>
        <w:jc w:val="both"/>
      </w:pPr>
      <w:r>
        <w:rPr>
          <w:lang w:val="pl"/>
        </w:rPr>
        <w:t>Pojęcie „nadużycia” w rozumieniu art. 35 ust. 3 lit. a musi być rozumiane w swym znaczeniu podstawowym zgodnie z ogólną teorią prawa, a mianowicie jako p</w:t>
      </w:r>
      <w:r w:rsidR="00442B28">
        <w:rPr>
          <w:lang w:val="pl"/>
        </w:rPr>
        <w:t>rzynoszące szkodę korzystanie z </w:t>
      </w:r>
      <w:r>
        <w:rPr>
          <w:lang w:val="pl"/>
        </w:rPr>
        <w:t xml:space="preserve">prawa w celach innych niż te, którym ma ono służyć. W związku z tym każde zachowanie skarżącego, które w sposób oczywisty stoi w sprzeczności z celem prawa do złożenia skargi indywidualnej przewidzianym w Konwencji i utrudnia prawidłowe funkcjonowanie Trybunału lub prawidłowe prowadzenie postępowań przed Trybunałem, stanowi nadużycie prawa do skargi </w:t>
      </w:r>
      <w:hyperlink r:id="rId1155" w:history="1">
        <w:r>
          <w:rPr>
            <w:lang w:val="pl"/>
          </w:rPr>
          <w:t>(</w:t>
        </w:r>
        <w:r>
          <w:rPr>
            <w:i/>
            <w:iCs/>
            <w:color w:val="0072BC"/>
            <w:lang w:val="pl"/>
          </w:rPr>
          <w:t>Zhdanov i Inni p. Rosji</w:t>
        </w:r>
        <w:r>
          <w:rPr>
            <w:lang w:val="pl"/>
          </w:rPr>
          <w:t>,</w:t>
        </w:r>
      </w:hyperlink>
      <w:r>
        <w:rPr>
          <w:lang w:val="pl"/>
        </w:rPr>
        <w:t xml:space="preserve"> §§ 79</w:t>
      </w:r>
      <w:r>
        <w:rPr>
          <w:lang w:val="pl"/>
        </w:rPr>
        <w:noBreakHyphen/>
        <w:t>81 cytowane tam odniesienia;</w:t>
      </w:r>
      <w:hyperlink r:id="rId1156" w:history="1">
        <w:r>
          <w:rPr>
            <w:lang w:val="pl"/>
          </w:rPr>
          <w:t xml:space="preserve"> </w:t>
        </w:r>
        <w:r>
          <w:rPr>
            <w:i/>
            <w:iCs/>
            <w:color w:val="0072BC"/>
            <w:lang w:val="pl"/>
          </w:rPr>
          <w:t>Miroļubovs i Inni p. Łotwie</w:t>
        </w:r>
        <w:r>
          <w:rPr>
            <w:lang w:val="pl"/>
          </w:rPr>
          <w:t>,</w:t>
        </w:r>
      </w:hyperlink>
      <w:r>
        <w:rPr>
          <w:lang w:val="pl"/>
        </w:rPr>
        <w:t xml:space="preserve"> §§ 62 i 65;</w:t>
      </w:r>
      <w:hyperlink r:id="rId1157" w:history="1">
        <w:r>
          <w:rPr>
            <w:lang w:val="pl"/>
          </w:rPr>
          <w:t xml:space="preserve"> </w:t>
        </w:r>
        <w:r>
          <w:rPr>
            <w:i/>
            <w:iCs/>
            <w:color w:val="0072BC"/>
            <w:lang w:val="pl"/>
          </w:rPr>
          <w:t>S.A.S.</w:t>
        </w:r>
      </w:hyperlink>
      <w:r>
        <w:rPr>
          <w:i/>
          <w:iCs/>
          <w:color w:val="0072BC"/>
          <w:lang w:val="pl"/>
        </w:rPr>
        <w:t xml:space="preserve"> </w:t>
      </w:r>
      <w:hyperlink r:id="rId1158" w:history="1">
        <w:r>
          <w:rPr>
            <w:i/>
            <w:iCs/>
            <w:color w:val="0072BC"/>
            <w:lang w:val="pl"/>
          </w:rPr>
          <w:t xml:space="preserve">p. Francji </w:t>
        </w:r>
      </w:hyperlink>
      <w:r>
        <w:rPr>
          <w:lang w:val="pl"/>
        </w:rPr>
        <w:t>[WI], § 66;</w:t>
      </w:r>
      <w:hyperlink r:id="rId1159" w:history="1">
        <w:r>
          <w:rPr>
            <w:lang w:val="pl"/>
          </w:rPr>
          <w:t xml:space="preserve"> </w:t>
        </w:r>
        <w:r>
          <w:rPr>
            <w:i/>
            <w:iCs/>
            <w:color w:val="0072BC"/>
            <w:lang w:val="pl"/>
          </w:rPr>
          <w:t>Bivolaru p. Rumunii</w:t>
        </w:r>
        <w:r>
          <w:rPr>
            <w:lang w:val="pl"/>
          </w:rPr>
          <w:t>,</w:t>
        </w:r>
      </w:hyperlink>
      <w:r>
        <w:rPr>
          <w:lang w:val="pl"/>
        </w:rPr>
        <w:t xml:space="preserve"> §§ 78</w:t>
      </w:r>
      <w:r>
        <w:rPr>
          <w:lang w:val="pl"/>
        </w:rPr>
        <w:noBreakHyphen/>
        <w:t>82).</w:t>
      </w:r>
    </w:p>
    <w:p w:rsidR="00B71A20" w:rsidRPr="000625F6" w:rsidRDefault="000425B4" w:rsidP="00115011">
      <w:pPr>
        <w:pStyle w:val="Teksttreci0"/>
        <w:numPr>
          <w:ilvl w:val="0"/>
          <w:numId w:val="55"/>
        </w:numPr>
        <w:tabs>
          <w:tab w:val="left" w:pos="505"/>
        </w:tabs>
        <w:spacing w:after="240"/>
        <w:jc w:val="both"/>
        <w:rPr>
          <w:lang w:val="pl-PL"/>
        </w:rPr>
      </w:pPr>
      <w:bookmarkStart w:id="201" w:name="bookmark205"/>
      <w:r>
        <w:rPr>
          <w:lang w:val="pl"/>
        </w:rPr>
        <w:t xml:space="preserve">Trybunał podkreślił, że odrzucenie skargi ze względu na nadużycie prawa do skargi stanowi środek wyjątkowy </w:t>
      </w:r>
      <w:hyperlink r:id="rId1160" w:history="1">
        <w:r>
          <w:rPr>
            <w:lang w:val="pl"/>
          </w:rPr>
          <w:t>(</w:t>
        </w:r>
        <w:r>
          <w:rPr>
            <w:i/>
            <w:iCs/>
            <w:color w:val="0072BC"/>
            <w:lang w:val="pl"/>
          </w:rPr>
          <w:t>Miroļubovs i Inni p. Łotwie</w:t>
        </w:r>
        <w:r>
          <w:rPr>
            <w:lang w:val="pl"/>
          </w:rPr>
          <w:t>,</w:t>
        </w:r>
      </w:hyperlink>
      <w:r>
        <w:rPr>
          <w:lang w:val="pl"/>
        </w:rPr>
        <w:t xml:space="preserve"> § 62). Sprawy, odnośnie do których Trybunał stwierdził nadużycie prawa do skargi, można podzielić na pięć głównych katego</w:t>
      </w:r>
      <w:r w:rsidR="00442B28">
        <w:rPr>
          <w:lang w:val="pl"/>
        </w:rPr>
        <w:t>rii: informacje wprowadzające w </w:t>
      </w:r>
      <w:r>
        <w:rPr>
          <w:lang w:val="pl"/>
        </w:rPr>
        <w:t xml:space="preserve">błąd, stosowanie obraźliwego języka, naruszenie obowiązku zachowania poufności w ramach polubownego rozstrzygania sporów, skarga w sposób oczywisty wniesiona w złej wierze lub pozbawiona rzeczywistego celu oraz wszelkie inne sprawy, które nie mogą być wymienione w sposób wyczerpujący </w:t>
      </w:r>
      <w:hyperlink r:id="rId1161" w:history="1">
        <w:r>
          <w:rPr>
            <w:lang w:val="pl"/>
          </w:rPr>
          <w:t>(</w:t>
        </w:r>
        <w:r>
          <w:rPr>
            <w:i/>
            <w:iCs/>
            <w:color w:val="0072BC"/>
            <w:lang w:val="pl"/>
          </w:rPr>
          <w:t xml:space="preserve">S.A.S. p. Francji </w:t>
        </w:r>
      </w:hyperlink>
      <w:r>
        <w:rPr>
          <w:lang w:val="pl"/>
        </w:rPr>
        <w:t>[WI], § 67).</w:t>
      </w:r>
      <w:bookmarkEnd w:id="201"/>
    </w:p>
    <w:p w:rsidR="00B71A20" w:rsidRDefault="00D42CF0" w:rsidP="00D42CF0">
      <w:pPr>
        <w:pStyle w:val="Nagwek31"/>
        <w:keepNext/>
        <w:keepLines/>
        <w:tabs>
          <w:tab w:val="left" w:pos="331"/>
        </w:tabs>
        <w:spacing w:after="100"/>
        <w:jc w:val="both"/>
      </w:pPr>
      <w:bookmarkStart w:id="202" w:name="_Toc126335662"/>
      <w:bookmarkStart w:id="203" w:name="_Toc126660621"/>
      <w:r>
        <w:rPr>
          <w:lang w:val="pl"/>
        </w:rPr>
        <w:t xml:space="preserve">2.  </w:t>
      </w:r>
      <w:r w:rsidR="000425B4">
        <w:rPr>
          <w:lang w:val="pl"/>
        </w:rPr>
        <w:t>Wprowadzanie Trybunału w błąd</w:t>
      </w:r>
      <w:bookmarkEnd w:id="202"/>
      <w:bookmarkEnd w:id="203"/>
    </w:p>
    <w:p w:rsidR="00B71A20" w:rsidRPr="000625F6" w:rsidRDefault="000425B4" w:rsidP="00D42CF0">
      <w:pPr>
        <w:pStyle w:val="Teksttreci0"/>
        <w:numPr>
          <w:ilvl w:val="0"/>
          <w:numId w:val="56"/>
        </w:numPr>
        <w:tabs>
          <w:tab w:val="left" w:pos="514"/>
        </w:tabs>
        <w:spacing w:after="160"/>
        <w:jc w:val="both"/>
        <w:rPr>
          <w:lang w:val="pl-PL"/>
        </w:rPr>
      </w:pPr>
      <w:r>
        <w:rPr>
          <w:lang w:val="pl"/>
        </w:rPr>
        <w:t xml:space="preserve">Skarga stanowi nadużycie prawa do skargi, jeśli została w sposób świadomy oparta na nieprawdziwych faktach w celu oszukania Trybunału </w:t>
      </w:r>
      <w:hyperlink r:id="rId1162" w:history="1">
        <w:r>
          <w:rPr>
            <w:lang w:val="pl"/>
          </w:rPr>
          <w:t>(</w:t>
        </w:r>
        <w:r>
          <w:rPr>
            <w:i/>
            <w:iCs/>
            <w:color w:val="0072BC"/>
            <w:lang w:val="pl"/>
          </w:rPr>
          <w:t>Varbanov p. Bułgarii</w:t>
        </w:r>
        <w:r>
          <w:rPr>
            <w:lang w:val="pl"/>
          </w:rPr>
          <w:t>,</w:t>
        </w:r>
      </w:hyperlink>
      <w:r>
        <w:rPr>
          <w:lang w:val="pl"/>
        </w:rPr>
        <w:t xml:space="preserve"> § 36;</w:t>
      </w:r>
      <w:hyperlink r:id="rId1163" w:history="1">
        <w:r>
          <w:rPr>
            <w:i/>
            <w:iCs/>
            <w:lang w:val="pl"/>
          </w:rPr>
          <w:t xml:space="preserve"> </w:t>
        </w:r>
        <w:r>
          <w:rPr>
            <w:i/>
            <w:iCs/>
            <w:color w:val="0072BC"/>
            <w:lang w:val="pl"/>
          </w:rPr>
          <w:t>Gogitidze i Inni p. Gruzji</w:t>
        </w:r>
        <w:r>
          <w:rPr>
            <w:lang w:val="pl"/>
          </w:rPr>
          <w:t>,</w:t>
        </w:r>
      </w:hyperlink>
      <w:r>
        <w:rPr>
          <w:lang w:val="pl"/>
        </w:rPr>
        <w:t xml:space="preserve"> § 76). Najpoważniejszym i najbardziej rażącym przykładem takiego nadużycia prawa do skargi jest, po pierwsze, złożenie skargi z użyciem fałszywych dokumentów tożsamości </w:t>
      </w:r>
      <w:hyperlink r:id="rId1164" w:history="1">
        <w:r>
          <w:rPr>
            <w:lang w:val="pl"/>
          </w:rPr>
          <w:t>(</w:t>
        </w:r>
        <w:r>
          <w:rPr>
            <w:i/>
            <w:iCs/>
            <w:color w:val="0072BC"/>
            <w:lang w:val="pl"/>
          </w:rPr>
          <w:t xml:space="preserve">Drijfhout p. Holandii </w:t>
        </w:r>
      </w:hyperlink>
      <w:r>
        <w:rPr>
          <w:lang w:val="pl"/>
        </w:rPr>
        <w:t xml:space="preserve">(dec.), §§ 27-29), a po drugie, fałszowanie dokumentów przesłanych do Trybunału </w:t>
      </w:r>
      <w:hyperlink r:id="rId1165" w:history="1">
        <w:r>
          <w:rPr>
            <w:lang w:val="pl"/>
          </w:rPr>
          <w:t>(</w:t>
        </w:r>
        <w:r>
          <w:rPr>
            <w:i/>
            <w:iCs/>
            <w:color w:val="0072BC"/>
            <w:lang w:val="pl"/>
          </w:rPr>
          <w:t xml:space="preserve">Jian p. Rumunii </w:t>
        </w:r>
      </w:hyperlink>
      <w:r>
        <w:rPr>
          <w:lang w:val="pl"/>
        </w:rPr>
        <w:t>(dec.);</w:t>
      </w:r>
      <w:hyperlink r:id="rId1166" w:history="1">
        <w:r>
          <w:rPr>
            <w:i/>
            <w:iCs/>
            <w:lang w:val="pl"/>
          </w:rPr>
          <w:t xml:space="preserve"> </w:t>
        </w:r>
        <w:r>
          <w:rPr>
            <w:i/>
            <w:iCs/>
            <w:color w:val="0072BC"/>
            <w:lang w:val="pl"/>
          </w:rPr>
          <w:t>Bagheri i Maliki p.</w:t>
        </w:r>
      </w:hyperlink>
      <w:r>
        <w:rPr>
          <w:i/>
          <w:iCs/>
          <w:color w:val="0072BC"/>
          <w:lang w:val="pl"/>
        </w:rPr>
        <w:t xml:space="preserve"> </w:t>
      </w:r>
      <w:hyperlink r:id="rId1167" w:history="1">
        <w:r>
          <w:rPr>
            <w:i/>
            <w:iCs/>
            <w:color w:val="0072BC"/>
            <w:lang w:val="pl"/>
          </w:rPr>
          <w:t xml:space="preserve">Holandii </w:t>
        </w:r>
      </w:hyperlink>
      <w:r>
        <w:rPr>
          <w:lang w:val="pl"/>
        </w:rPr>
        <w:t>(dec.);</w:t>
      </w:r>
      <w:hyperlink r:id="rId1168" w:history="1">
        <w:r>
          <w:rPr>
            <w:i/>
            <w:iCs/>
            <w:lang w:val="pl"/>
          </w:rPr>
          <w:t xml:space="preserve"> </w:t>
        </w:r>
        <w:r>
          <w:rPr>
            <w:i/>
            <w:iCs/>
            <w:color w:val="0072BC"/>
            <w:lang w:val="pl"/>
          </w:rPr>
          <w:t xml:space="preserve">Poznanski i Inni p. Niemcom </w:t>
        </w:r>
      </w:hyperlink>
      <w:r>
        <w:rPr>
          <w:lang w:val="pl"/>
        </w:rPr>
        <w:t>(dec.);</w:t>
      </w:r>
      <w:hyperlink r:id="rId1169" w:history="1">
        <w:r>
          <w:rPr>
            <w:i/>
            <w:iCs/>
            <w:lang w:val="pl"/>
          </w:rPr>
          <w:t xml:space="preserve"> </w:t>
        </w:r>
        <w:r>
          <w:rPr>
            <w:i/>
            <w:iCs/>
            <w:color w:val="0072BC"/>
            <w:lang w:val="pl"/>
          </w:rPr>
          <w:t>Gogitidze i Inni p. Gruzji</w:t>
        </w:r>
        <w:r>
          <w:rPr>
            <w:lang w:val="pl"/>
          </w:rPr>
          <w:t>,</w:t>
        </w:r>
      </w:hyperlink>
      <w:r>
        <w:rPr>
          <w:lang w:val="pl"/>
        </w:rPr>
        <w:t xml:space="preserve"> §§ 77</w:t>
      </w:r>
      <w:r>
        <w:rPr>
          <w:lang w:val="pl"/>
        </w:rPr>
        <w:noBreakHyphen/>
        <w:t>78). W sprawie dotyczącej pozbawienia wolności podczas oczekiwania na wydalenie Trybunał uznał, że doszło do nadużycia prawa do skargi, gdy skarżący wprowadzi</w:t>
      </w:r>
      <w:r w:rsidR="00442B28">
        <w:rPr>
          <w:lang w:val="pl"/>
        </w:rPr>
        <w:t>ł zarówno władze krajowe, jak i </w:t>
      </w:r>
      <w:r>
        <w:rPr>
          <w:lang w:val="pl"/>
        </w:rPr>
        <w:t>Trybunał w błąd co do swojej narodowości (patrz</w:t>
      </w:r>
      <w:hyperlink r:id="rId1170" w:history="1">
        <w:r>
          <w:rPr>
            <w:i/>
            <w:iCs/>
            <w:lang w:val="pl"/>
          </w:rPr>
          <w:t xml:space="preserve"> </w:t>
        </w:r>
        <w:r>
          <w:rPr>
            <w:i/>
            <w:iCs/>
            <w:color w:val="0072BC"/>
            <w:lang w:val="pl"/>
          </w:rPr>
          <w:t xml:space="preserve">Bencheref p. Szwecji </w:t>
        </w:r>
      </w:hyperlink>
      <w:r>
        <w:rPr>
          <w:lang w:val="pl"/>
        </w:rPr>
        <w:t xml:space="preserve">(dec.), § 39). Trybunał uznał też, że miało miejsce nadużycie prawa do skargi, gdy skarżący podniósł przed Trybunałem zarzut co do faktów stojący w sprzeczności z zeznaniem, jakie złożył w toku postępowania krajowego w odniesieniu do kwestii mającej znaczenie dla wyniku sprawy </w:t>
      </w:r>
      <w:hyperlink r:id="rId1171" w:history="1">
        <w:r>
          <w:rPr>
            <w:lang w:val="pl"/>
          </w:rPr>
          <w:t>(</w:t>
        </w:r>
        <w:r>
          <w:rPr>
            <w:i/>
            <w:iCs/>
            <w:color w:val="0072BC"/>
            <w:lang w:val="pl"/>
          </w:rPr>
          <w:t>Povilonis p. Litwie</w:t>
        </w:r>
        <w:r>
          <w:rPr>
            <w:color w:val="0072BC"/>
            <w:lang w:val="pl"/>
          </w:rPr>
          <w:t xml:space="preserve"> </w:t>
        </w:r>
      </w:hyperlink>
      <w:r>
        <w:rPr>
          <w:lang w:val="pl"/>
        </w:rPr>
        <w:t xml:space="preserve">(dec.), §§ 92-101), albo gdy skarżący posłużyli się nieostrymi i niedookreślonymi pojęciami, aby upodobnić okoliczności sprawy do innej sprawy, w której Trybunał wcześniej orzekł o naruszeniu </w:t>
      </w:r>
      <w:hyperlink r:id="rId1172" w:history="1">
        <w:r>
          <w:rPr>
            <w:lang w:val="pl"/>
          </w:rPr>
          <w:t>(</w:t>
        </w:r>
        <w:r>
          <w:rPr>
            <w:i/>
            <w:iCs/>
            <w:color w:val="0072BC"/>
            <w:lang w:val="pl"/>
          </w:rPr>
          <w:t>Kongresna Na</w:t>
        </w:r>
        <w:r w:rsidR="00442B28">
          <w:rPr>
            <w:i/>
            <w:iCs/>
            <w:color w:val="0072BC"/>
            <w:lang w:val="pl"/>
          </w:rPr>
          <w:t>rodna Stranka i Inni p. Bośni i </w:t>
        </w:r>
        <w:r>
          <w:rPr>
            <w:i/>
            <w:iCs/>
            <w:color w:val="0072BC"/>
            <w:lang w:val="pl"/>
          </w:rPr>
          <w:t>Hercegowinie</w:t>
        </w:r>
      </w:hyperlink>
      <w:r>
        <w:rPr>
          <w:color w:val="0072BC"/>
          <w:lang w:val="pl"/>
        </w:rPr>
        <w:t xml:space="preserve"> </w:t>
      </w:r>
      <w:r>
        <w:rPr>
          <w:lang w:val="pl"/>
        </w:rPr>
        <w:t>(dec.), §§ 13 i 15</w:t>
      </w:r>
      <w:r>
        <w:rPr>
          <w:lang w:val="pl"/>
        </w:rPr>
        <w:noBreakHyphen/>
        <w:t>19).</w:t>
      </w:r>
    </w:p>
    <w:p w:rsidR="00B71A20" w:rsidRPr="000625F6" w:rsidRDefault="000425B4" w:rsidP="00115011">
      <w:pPr>
        <w:pStyle w:val="Teksttreci0"/>
        <w:numPr>
          <w:ilvl w:val="0"/>
          <w:numId w:val="56"/>
        </w:numPr>
        <w:tabs>
          <w:tab w:val="left" w:pos="514"/>
        </w:tabs>
        <w:jc w:val="both"/>
        <w:rPr>
          <w:lang w:val="pl-PL"/>
        </w:rPr>
      </w:pPr>
      <w:r>
        <w:rPr>
          <w:lang w:val="pl"/>
        </w:rPr>
        <w:t xml:space="preserve">Ten rodzaj nadużycia może również wynikać z zaniechania, kiedy to skarżący na wstępie nie poinformuje Trybunału o czynniku istotnym dla rozpatrzenia sprawy </w:t>
      </w:r>
      <w:hyperlink r:id="rId1173" w:history="1">
        <w:r>
          <w:rPr>
            <w:lang w:val="pl"/>
          </w:rPr>
          <w:t>(</w:t>
        </w:r>
        <w:r>
          <w:rPr>
            <w:i/>
            <w:iCs/>
            <w:color w:val="0072BC"/>
            <w:lang w:val="pl"/>
          </w:rPr>
          <w:t>Kerechashvili p. Gruzji</w:t>
        </w:r>
      </w:hyperlink>
      <w:r>
        <w:rPr>
          <w:color w:val="0072BC"/>
          <w:lang w:val="pl"/>
        </w:rPr>
        <w:t xml:space="preserve"> </w:t>
      </w:r>
      <w:r>
        <w:rPr>
          <w:lang w:val="pl"/>
        </w:rPr>
        <w:t>(dec.);</w:t>
      </w:r>
      <w:hyperlink r:id="rId1174" w:history="1">
        <w:r>
          <w:rPr>
            <w:lang w:val="pl"/>
          </w:rPr>
          <w:t xml:space="preserve"> </w:t>
        </w:r>
        <w:r>
          <w:rPr>
            <w:i/>
            <w:iCs/>
            <w:color w:val="0072BC"/>
            <w:lang w:val="pl"/>
          </w:rPr>
          <w:t xml:space="preserve">Martins Alves p. Portugalii </w:t>
        </w:r>
      </w:hyperlink>
      <w:r>
        <w:rPr>
          <w:lang w:val="pl"/>
        </w:rPr>
        <w:t>(dec.), §§ 12</w:t>
      </w:r>
      <w:r>
        <w:rPr>
          <w:lang w:val="pl"/>
        </w:rPr>
        <w:noBreakHyphen/>
        <w:t>15;</w:t>
      </w:r>
      <w:hyperlink r:id="rId1175" w:history="1">
        <w:r>
          <w:rPr>
            <w:lang w:val="pl"/>
          </w:rPr>
          <w:t xml:space="preserve"> </w:t>
        </w:r>
        <w:r>
          <w:rPr>
            <w:i/>
            <w:iCs/>
            <w:color w:val="0072BC"/>
            <w:lang w:val="pl"/>
          </w:rPr>
          <w:t xml:space="preserve">Gross p. Szwajcarii </w:t>
        </w:r>
      </w:hyperlink>
      <w:r>
        <w:rPr>
          <w:lang w:val="pl"/>
        </w:rPr>
        <w:t>[WI], §§ 35</w:t>
      </w:r>
      <w:r>
        <w:rPr>
          <w:lang w:val="pl"/>
        </w:rPr>
        <w:noBreakHyphen/>
        <w:t>36;</w:t>
      </w:r>
      <w:hyperlink r:id="rId1176" w:history="1">
        <w:r>
          <w:rPr>
            <w:lang w:val="pl"/>
          </w:rPr>
          <w:t xml:space="preserve"> </w:t>
        </w:r>
        <w:r>
          <w:rPr>
            <w:i/>
            <w:iCs/>
            <w:color w:val="0072BC"/>
            <w:lang w:val="pl"/>
          </w:rPr>
          <w:t>Gevorgyan i</w:t>
        </w:r>
      </w:hyperlink>
      <w:r>
        <w:rPr>
          <w:i/>
          <w:iCs/>
          <w:color w:val="0072BC"/>
          <w:lang w:val="pl"/>
        </w:rPr>
        <w:t xml:space="preserve"> </w:t>
      </w:r>
      <w:hyperlink r:id="rId1177" w:history="1">
        <w:r>
          <w:rPr>
            <w:i/>
            <w:iCs/>
            <w:color w:val="0072BC"/>
            <w:lang w:val="pl"/>
          </w:rPr>
          <w:t xml:space="preserve">Inni p. Armenii </w:t>
        </w:r>
      </w:hyperlink>
      <w:r>
        <w:rPr>
          <w:lang w:val="pl"/>
        </w:rPr>
        <w:t>(dec.), §§ 31-37;</w:t>
      </w:r>
      <w:hyperlink r:id="rId1178" w:history="1">
        <w:r>
          <w:rPr>
            <w:lang w:val="pl"/>
          </w:rPr>
          <w:t xml:space="preserve"> </w:t>
        </w:r>
        <w:r>
          <w:rPr>
            <w:i/>
            <w:iCs/>
            <w:color w:val="0072BC"/>
            <w:lang w:val="pl"/>
          </w:rPr>
          <w:t xml:space="preserve">Safaryan p. Armenii </w:t>
        </w:r>
      </w:hyperlink>
      <w:r>
        <w:rPr>
          <w:lang w:val="pl"/>
        </w:rPr>
        <w:t>(dec.), §§ 24-30; dla porównania</w:t>
      </w:r>
      <w:hyperlink r:id="rId1179" w:history="1">
        <w:r>
          <w:rPr>
            <w:lang w:val="pl"/>
          </w:rPr>
          <w:t xml:space="preserve"> </w:t>
        </w:r>
        <w:r>
          <w:rPr>
            <w:i/>
            <w:iCs/>
            <w:color w:val="0072BC"/>
            <w:lang w:val="pl"/>
          </w:rPr>
          <w:t>Al-Nashif</w:t>
        </w:r>
      </w:hyperlink>
      <w:r>
        <w:rPr>
          <w:i/>
          <w:iCs/>
          <w:color w:val="0072BC"/>
          <w:lang w:val="pl"/>
        </w:rPr>
        <w:t xml:space="preserve"> </w:t>
      </w:r>
      <w:hyperlink r:id="rId1180" w:history="1">
        <w:r>
          <w:rPr>
            <w:i/>
            <w:iCs/>
            <w:color w:val="0072BC"/>
            <w:lang w:val="pl"/>
          </w:rPr>
          <w:t>p. Bułgarii</w:t>
        </w:r>
        <w:r>
          <w:rPr>
            <w:lang w:val="pl"/>
          </w:rPr>
          <w:t>,</w:t>
        </w:r>
      </w:hyperlink>
      <w:r>
        <w:rPr>
          <w:lang w:val="pl"/>
        </w:rPr>
        <w:t xml:space="preserve"> </w:t>
      </w:r>
      <w:r>
        <w:rPr>
          <w:lang w:val="pl"/>
        </w:rPr>
        <w:lastRenderedPageBreak/>
        <w:t>§ 89;</w:t>
      </w:r>
      <w:hyperlink r:id="rId1181" w:history="1">
        <w:r>
          <w:rPr>
            <w:lang w:val="pl"/>
          </w:rPr>
          <w:t xml:space="preserve"> </w:t>
        </w:r>
        <w:r>
          <w:rPr>
            <w:i/>
            <w:iCs/>
            <w:color w:val="0072BC"/>
            <w:lang w:val="pl"/>
          </w:rPr>
          <w:t xml:space="preserve">G.I.E.M. S.R.L. i Inni p. Włochom </w:t>
        </w:r>
      </w:hyperlink>
      <w:r>
        <w:rPr>
          <w:lang w:val="pl"/>
        </w:rPr>
        <w:t>[WI], § 174;</w:t>
      </w:r>
      <w:hyperlink r:id="rId1182" w:history="1">
        <w:r>
          <w:rPr>
            <w:lang w:val="pl"/>
          </w:rPr>
          <w:t xml:space="preserve"> </w:t>
        </w:r>
        <w:r>
          <w:rPr>
            <w:i/>
            <w:iCs/>
            <w:color w:val="0072BC"/>
            <w:lang w:val="pl"/>
          </w:rPr>
          <w:t>S.L. i J.L. p. Chorwacji</w:t>
        </w:r>
        <w:r>
          <w:rPr>
            <w:lang w:val="pl"/>
          </w:rPr>
          <w:t>,</w:t>
        </w:r>
      </w:hyperlink>
      <w:r>
        <w:rPr>
          <w:lang w:val="pl"/>
        </w:rPr>
        <w:t xml:space="preserve"> § 49;</w:t>
      </w:r>
      <w:hyperlink r:id="rId1183" w:history="1">
        <w:r>
          <w:rPr>
            <w:lang w:val="pl"/>
          </w:rPr>
          <w:t xml:space="preserve"> </w:t>
        </w:r>
        <w:r>
          <w:rPr>
            <w:i/>
            <w:iCs/>
            <w:color w:val="0072BC"/>
            <w:lang w:val="pl"/>
          </w:rPr>
          <w:t>Zličić</w:t>
        </w:r>
      </w:hyperlink>
      <w:r>
        <w:rPr>
          <w:i/>
          <w:iCs/>
          <w:color w:val="0072BC"/>
          <w:lang w:val="pl"/>
        </w:rPr>
        <w:t xml:space="preserve"> </w:t>
      </w:r>
      <w:hyperlink r:id="rId1184" w:history="1">
        <w:r>
          <w:rPr>
            <w:i/>
            <w:iCs/>
            <w:color w:val="0072BC"/>
            <w:lang w:val="pl"/>
          </w:rPr>
          <w:t>p. Serbii</w:t>
        </w:r>
        <w:r>
          <w:rPr>
            <w:lang w:val="pl"/>
          </w:rPr>
          <w:t>,</w:t>
        </w:r>
      </w:hyperlink>
      <w:r>
        <w:rPr>
          <w:lang w:val="pl"/>
        </w:rPr>
        <w:t xml:space="preserve"> §§ 55-56). Wprowadzające w błąd informacje powinny jednak dotyczyć samej istoty sprawy, aby Trybunał uznał, że zaniechanie stanowi nadużycie prawa do skargi indywidualnej </w:t>
      </w:r>
      <w:hyperlink r:id="rId1185" w:history="1">
        <w:r>
          <w:rPr>
            <w:lang w:val="pl"/>
          </w:rPr>
          <w:t>(</w:t>
        </w:r>
        <w:r>
          <w:rPr>
            <w:i/>
            <w:iCs/>
            <w:color w:val="0072BC"/>
            <w:lang w:val="pl"/>
          </w:rPr>
          <w:t>Bestry p. Polsce</w:t>
        </w:r>
        <w:r>
          <w:rPr>
            <w:lang w:val="pl"/>
          </w:rPr>
          <w:t>,</w:t>
        </w:r>
      </w:hyperlink>
      <w:r>
        <w:rPr>
          <w:lang w:val="pl"/>
        </w:rPr>
        <w:t xml:space="preserve"> § 44;</w:t>
      </w:r>
      <w:hyperlink r:id="rId1186" w:history="1">
        <w:r>
          <w:rPr>
            <w:i/>
            <w:iCs/>
            <w:lang w:val="pl"/>
          </w:rPr>
          <w:t xml:space="preserve"> </w:t>
        </w:r>
        <w:r>
          <w:rPr>
            <w:i/>
            <w:iCs/>
            <w:color w:val="0072BC"/>
            <w:lang w:val="pl"/>
          </w:rPr>
          <w:t>Mitrović p. Serbii</w:t>
        </w:r>
        <w:r>
          <w:rPr>
            <w:lang w:val="pl"/>
          </w:rPr>
          <w:t>,</w:t>
        </w:r>
      </w:hyperlink>
      <w:r>
        <w:rPr>
          <w:lang w:val="pl"/>
        </w:rPr>
        <w:t xml:space="preserve"> §§ 33</w:t>
      </w:r>
      <w:r>
        <w:rPr>
          <w:lang w:val="pl"/>
        </w:rPr>
        <w:noBreakHyphen/>
        <w:t>34;</w:t>
      </w:r>
      <w:hyperlink r:id="rId1187" w:history="1">
        <w:r>
          <w:rPr>
            <w:i/>
            <w:iCs/>
            <w:lang w:val="pl"/>
          </w:rPr>
          <w:t xml:space="preserve"> </w:t>
        </w:r>
        <w:r>
          <w:rPr>
            <w:i/>
            <w:iCs/>
            <w:color w:val="0072BC"/>
            <w:lang w:val="pl"/>
          </w:rPr>
          <w:t>Shalyavski i Inni p. Bułgarii</w:t>
        </w:r>
        <w:r>
          <w:rPr>
            <w:lang w:val="pl"/>
          </w:rPr>
          <w:t>,</w:t>
        </w:r>
      </w:hyperlink>
      <w:r>
        <w:rPr>
          <w:lang w:val="pl"/>
        </w:rPr>
        <w:t xml:space="preserve"> § 45; </w:t>
      </w:r>
      <w:hyperlink r:id="rId1188" w:history="1">
        <w:r>
          <w:rPr>
            <w:i/>
            <w:iCs/>
            <w:color w:val="0072BC"/>
            <w:lang w:val="pl"/>
          </w:rPr>
          <w:t xml:space="preserve">Saakashvili p. Gruzji </w:t>
        </w:r>
      </w:hyperlink>
      <w:r>
        <w:rPr>
          <w:lang w:val="pl"/>
        </w:rPr>
        <w:t xml:space="preserve">(dec.), §§ 64-65). Gdy skarżący wbrew Regule 44C § 1 Regulaminu Trybunału zaniecha ujawnienia istotnych informacji, w zależności od okoliczności danej sprawy, Trybunał może wyciągnąć takie wnioski, jakie uzna z stosowne, łącznie ze skreśleniem skargi na podstawie jednego z trzech podpunktów art. 37 ust. 1 Konwencji </w:t>
      </w:r>
      <w:hyperlink r:id="rId1189" w:history="1">
        <w:r>
          <w:rPr>
            <w:lang w:val="pl"/>
          </w:rPr>
          <w:t>(</w:t>
        </w:r>
        <w:r w:rsidR="00442B28">
          <w:rPr>
            <w:i/>
            <w:iCs/>
            <w:color w:val="0072BC"/>
            <w:lang w:val="pl"/>
          </w:rPr>
          <w:t>Belosevic p. </w:t>
        </w:r>
        <w:r>
          <w:rPr>
            <w:i/>
            <w:iCs/>
            <w:color w:val="0072BC"/>
            <w:lang w:val="pl"/>
          </w:rPr>
          <w:t>Chorwacji</w:t>
        </w:r>
      </w:hyperlink>
      <w:r>
        <w:rPr>
          <w:i/>
          <w:iCs/>
          <w:color w:val="0072BC"/>
          <w:lang w:val="pl"/>
        </w:rPr>
        <w:t xml:space="preserve"> </w:t>
      </w:r>
      <w:r>
        <w:rPr>
          <w:lang w:val="pl"/>
        </w:rPr>
        <w:t>(dec.), §§ 48-49 i §§ 51-54, oraz</w:t>
      </w:r>
      <w:hyperlink r:id="rId1190" w:history="1">
        <w:r>
          <w:rPr>
            <w:lang w:val="pl"/>
          </w:rPr>
          <w:t xml:space="preserve"> </w:t>
        </w:r>
        <w:r>
          <w:rPr>
            <w:i/>
            <w:iCs/>
            <w:color w:val="0072BC"/>
            <w:lang w:val="pl"/>
          </w:rPr>
          <w:t>Şeker p. Turcji</w:t>
        </w:r>
        <w:r>
          <w:rPr>
            <w:color w:val="0072BC"/>
            <w:lang w:val="pl"/>
          </w:rPr>
          <w:t xml:space="preserve"> </w:t>
        </w:r>
      </w:hyperlink>
      <w:r>
        <w:rPr>
          <w:lang w:val="pl"/>
        </w:rPr>
        <w:t>(dec.), §§ 19-23).</w:t>
      </w:r>
    </w:p>
    <w:p w:rsidR="00B71A20" w:rsidRPr="000B65C4" w:rsidRDefault="000425B4" w:rsidP="00115011">
      <w:pPr>
        <w:pStyle w:val="Teksttreci0"/>
        <w:numPr>
          <w:ilvl w:val="0"/>
          <w:numId w:val="56"/>
        </w:numPr>
        <w:tabs>
          <w:tab w:val="left" w:pos="505"/>
          <w:tab w:val="left" w:pos="7536"/>
        </w:tabs>
        <w:spacing w:before="120" w:after="120"/>
        <w:jc w:val="both"/>
        <w:rPr>
          <w:lang w:val="pl-PL"/>
        </w:rPr>
      </w:pPr>
      <w:r>
        <w:rPr>
          <w:lang w:val="pl"/>
        </w:rPr>
        <w:t xml:space="preserve">Podobnie jeśli nowe, istotne zdarzenia wystąpią w trakcie postępowania prowadzonego przez Trybunał i jeśli skarżący – mimo wyraźnego obowiązku ciążącego na nim na mocy Regulaminu – nie ujawni tych informacji Trybunałowi, tym samym uniemożliwiając mu wydanie wyroku na podstawie znajomości wszystkich faktów, skarga może zostać odrzucona jako stanowiąca nadużycie prawa do skargi </w:t>
      </w:r>
      <w:hyperlink r:id="rId1191" w:history="1">
        <w:r>
          <w:rPr>
            <w:lang w:val="pl"/>
          </w:rPr>
          <w:t>(</w:t>
        </w:r>
        <w:r>
          <w:rPr>
            <w:i/>
            <w:iCs/>
            <w:color w:val="0072BC"/>
            <w:lang w:val="pl"/>
          </w:rPr>
          <w:t xml:space="preserve">Hadrabová i Inni p. Czechom </w:t>
        </w:r>
      </w:hyperlink>
      <w:r>
        <w:rPr>
          <w:lang w:val="pl"/>
        </w:rPr>
        <w:t>(dec.);</w:t>
      </w:r>
      <w:hyperlink r:id="rId1192" w:history="1">
        <w:r>
          <w:rPr>
            <w:lang w:val="pl"/>
          </w:rPr>
          <w:t xml:space="preserve"> </w:t>
        </w:r>
        <w:r>
          <w:rPr>
            <w:i/>
            <w:iCs/>
            <w:color w:val="0072BC"/>
            <w:lang w:val="pl"/>
          </w:rPr>
          <w:t>Predescu p. Rumunii</w:t>
        </w:r>
        <w:r>
          <w:rPr>
            <w:lang w:val="pl"/>
          </w:rPr>
          <w:t xml:space="preserve">, </w:t>
        </w:r>
      </w:hyperlink>
      <w:r>
        <w:rPr>
          <w:lang w:val="pl"/>
        </w:rPr>
        <w:t>§§ 25-27;</w:t>
      </w:r>
      <w:hyperlink r:id="rId1193" w:history="1">
        <w:r>
          <w:rPr>
            <w:lang w:val="pl"/>
          </w:rPr>
          <w:t xml:space="preserve"> </w:t>
        </w:r>
        <w:r>
          <w:rPr>
            <w:i/>
            <w:iCs/>
            <w:color w:val="0072BC"/>
            <w:lang w:val="pl"/>
          </w:rPr>
          <w:t>Gross</w:t>
        </w:r>
      </w:hyperlink>
      <w:r>
        <w:rPr>
          <w:i/>
          <w:iCs/>
          <w:lang w:val="pl"/>
        </w:rPr>
        <w:t xml:space="preserve"> </w:t>
      </w:r>
      <w:hyperlink r:id="rId1194" w:history="1">
        <w:r>
          <w:rPr>
            <w:i/>
            <w:iCs/>
            <w:color w:val="0072BC"/>
            <w:lang w:val="pl"/>
          </w:rPr>
          <w:t xml:space="preserve">p. Szwajcarii </w:t>
        </w:r>
      </w:hyperlink>
      <w:r w:rsidR="00442B28">
        <w:rPr>
          <w:lang w:val="pl"/>
        </w:rPr>
        <w:t>[WI], §§ </w:t>
      </w:r>
      <w:r>
        <w:rPr>
          <w:lang w:val="pl"/>
        </w:rPr>
        <w:t>28-37;</w:t>
      </w:r>
      <w:hyperlink r:id="rId1195" w:history="1">
        <w:r>
          <w:rPr>
            <w:lang w:val="pl"/>
          </w:rPr>
          <w:t xml:space="preserve"> </w:t>
        </w:r>
        <w:r>
          <w:rPr>
            <w:i/>
            <w:iCs/>
            <w:color w:val="0072BC"/>
            <w:lang w:val="pl"/>
          </w:rPr>
          <w:t>Dimo Dimov i Inni p. Bułgarii</w:t>
        </w:r>
        <w:r>
          <w:rPr>
            <w:lang w:val="pl"/>
          </w:rPr>
          <w:t>,</w:t>
        </w:r>
      </w:hyperlink>
      <w:r>
        <w:rPr>
          <w:i/>
          <w:iCs/>
          <w:lang w:val="pl"/>
        </w:rPr>
        <w:t xml:space="preserve"> </w:t>
      </w:r>
      <w:r w:rsidR="000B65C4">
        <w:rPr>
          <w:lang w:val="pl"/>
        </w:rPr>
        <w:t>§§ 42-47).</w:t>
      </w:r>
    </w:p>
    <w:p w:rsidR="00B71A20" w:rsidRPr="000625F6" w:rsidRDefault="000425B4" w:rsidP="00115011">
      <w:pPr>
        <w:pStyle w:val="Teksttreci0"/>
        <w:numPr>
          <w:ilvl w:val="0"/>
          <w:numId w:val="56"/>
        </w:numPr>
        <w:tabs>
          <w:tab w:val="left" w:pos="505"/>
        </w:tabs>
        <w:spacing w:before="120" w:after="120"/>
        <w:jc w:val="both"/>
        <w:rPr>
          <w:lang w:val="pl-PL"/>
        </w:rPr>
      </w:pPr>
      <w:r>
        <w:rPr>
          <w:lang w:val="pl"/>
        </w:rPr>
        <w:t xml:space="preserve">Ponadto skarżący ponosi pełną odpowiedzialność za postępowanie swojego adwokata lub innej osoby reprezentującej go przed Trybunałem. Wszelkie zaniechania po stronie przedstawiciela, co do zasady, obciążają samego skarżącego i mogą prowadzić do odrzucenia skargi z powodu nadużycia prawa do skargi </w:t>
      </w:r>
      <w:hyperlink r:id="rId1196" w:history="1">
        <w:r>
          <w:rPr>
            <w:lang w:val="pl"/>
          </w:rPr>
          <w:t>(</w:t>
        </w:r>
        <w:r>
          <w:rPr>
            <w:i/>
            <w:iCs/>
            <w:color w:val="0072BC"/>
            <w:lang w:val="pl"/>
          </w:rPr>
          <w:t xml:space="preserve">Bekauri p. Gruzji </w:t>
        </w:r>
      </w:hyperlink>
      <w:r>
        <w:rPr>
          <w:lang w:val="pl"/>
        </w:rPr>
        <w:t>(zastrzeżenia wstępne), §§ 22-25;</w:t>
      </w:r>
      <w:hyperlink r:id="rId1197" w:history="1">
        <w:r>
          <w:rPr>
            <w:i/>
            <w:iCs/>
            <w:lang w:val="pl"/>
          </w:rPr>
          <w:t xml:space="preserve"> </w:t>
        </w:r>
        <w:r>
          <w:rPr>
            <w:i/>
            <w:iCs/>
            <w:color w:val="0072BC"/>
            <w:lang w:val="pl"/>
          </w:rPr>
          <w:t xml:space="preserve">Migliore i Inni p. Włochom </w:t>
        </w:r>
      </w:hyperlink>
      <w:r>
        <w:rPr>
          <w:lang w:val="pl"/>
        </w:rPr>
        <w:t>(dec.);</w:t>
      </w:r>
      <w:hyperlink r:id="rId1198" w:history="1">
        <w:r>
          <w:rPr>
            <w:i/>
            <w:iCs/>
            <w:lang w:val="pl"/>
          </w:rPr>
          <w:t xml:space="preserve"> </w:t>
        </w:r>
        <w:r>
          <w:rPr>
            <w:i/>
            <w:iCs/>
            <w:color w:val="0072BC"/>
            <w:lang w:val="pl"/>
          </w:rPr>
          <w:t xml:space="preserve">Martins Alves p. Portugalii </w:t>
        </w:r>
      </w:hyperlink>
      <w:r>
        <w:rPr>
          <w:lang w:val="pl"/>
        </w:rPr>
        <w:t>(dec.), §§ 11</w:t>
      </w:r>
      <w:r>
        <w:rPr>
          <w:lang w:val="pl"/>
        </w:rPr>
        <w:noBreakHyphen/>
        <w:t>13 i 16</w:t>
      </w:r>
      <w:r>
        <w:rPr>
          <w:lang w:val="pl"/>
        </w:rPr>
        <w:noBreakHyphen/>
        <w:t xml:space="preserve">17; </w:t>
      </w:r>
      <w:hyperlink r:id="rId1199" w:history="1">
        <w:r>
          <w:rPr>
            <w:i/>
            <w:iCs/>
            <w:color w:val="0072BC"/>
            <w:lang w:val="pl"/>
          </w:rPr>
          <w:t xml:space="preserve">Gross p. Szwajcarii </w:t>
        </w:r>
      </w:hyperlink>
      <w:r>
        <w:rPr>
          <w:lang w:val="pl"/>
        </w:rPr>
        <w:t>[WI], § 33).</w:t>
      </w:r>
    </w:p>
    <w:p w:rsidR="00B71A20" w:rsidRPr="000625F6" w:rsidRDefault="000425B4" w:rsidP="00115011">
      <w:pPr>
        <w:pStyle w:val="Teksttreci0"/>
        <w:numPr>
          <w:ilvl w:val="0"/>
          <w:numId w:val="56"/>
        </w:numPr>
        <w:tabs>
          <w:tab w:val="left" w:pos="505"/>
        </w:tabs>
        <w:jc w:val="both"/>
        <w:rPr>
          <w:lang w:val="pl-PL"/>
        </w:rPr>
      </w:pPr>
      <w:r>
        <w:rPr>
          <w:lang w:val="pl"/>
        </w:rPr>
        <w:t xml:space="preserve">Istnienie zamiaru wprowadzenia Trybunału w błąd musi być zawsze ustalone z dostateczną pewnością </w:t>
      </w:r>
      <w:hyperlink r:id="rId1200" w:history="1">
        <w:r>
          <w:rPr>
            <w:lang w:val="pl"/>
          </w:rPr>
          <w:t>(</w:t>
        </w:r>
        <w:r>
          <w:rPr>
            <w:i/>
            <w:iCs/>
            <w:color w:val="0072BC"/>
            <w:lang w:val="pl"/>
          </w:rPr>
          <w:t>Melnik</w:t>
        </w:r>
      </w:hyperlink>
      <w:r>
        <w:rPr>
          <w:i/>
          <w:iCs/>
          <w:color w:val="0072BC"/>
          <w:lang w:val="pl"/>
        </w:rPr>
        <w:t xml:space="preserve"> </w:t>
      </w:r>
      <w:hyperlink r:id="rId1201" w:history="1">
        <w:r>
          <w:rPr>
            <w:i/>
            <w:iCs/>
            <w:color w:val="0072BC"/>
            <w:lang w:val="pl"/>
          </w:rPr>
          <w:t>p. Ukrainie</w:t>
        </w:r>
        <w:r>
          <w:rPr>
            <w:lang w:val="pl"/>
          </w:rPr>
          <w:t>,</w:t>
        </w:r>
      </w:hyperlink>
      <w:r>
        <w:rPr>
          <w:lang w:val="pl"/>
        </w:rPr>
        <w:t xml:space="preserve"> §§ 58-60;</w:t>
      </w:r>
      <w:hyperlink r:id="rId1202" w:history="1">
        <w:r>
          <w:rPr>
            <w:i/>
            <w:iCs/>
            <w:lang w:val="pl"/>
          </w:rPr>
          <w:t xml:space="preserve"> </w:t>
        </w:r>
        <w:r>
          <w:rPr>
            <w:i/>
            <w:iCs/>
            <w:color w:val="0072BC"/>
            <w:lang w:val="pl"/>
          </w:rPr>
          <w:t>Nold p. Niemcom</w:t>
        </w:r>
        <w:r>
          <w:rPr>
            <w:lang w:val="pl"/>
          </w:rPr>
          <w:t>,</w:t>
        </w:r>
      </w:hyperlink>
      <w:r>
        <w:rPr>
          <w:lang w:val="pl"/>
        </w:rPr>
        <w:t xml:space="preserve"> § 87;</w:t>
      </w:r>
      <w:hyperlink r:id="rId1203" w:history="1">
        <w:r>
          <w:rPr>
            <w:i/>
            <w:iCs/>
            <w:lang w:val="pl"/>
          </w:rPr>
          <w:t xml:space="preserve"> </w:t>
        </w:r>
        <w:r>
          <w:rPr>
            <w:i/>
            <w:iCs/>
            <w:color w:val="0072BC"/>
            <w:lang w:val="pl"/>
          </w:rPr>
          <w:t xml:space="preserve">Miszczyński p. Polsce </w:t>
        </w:r>
      </w:hyperlink>
      <w:r>
        <w:rPr>
          <w:lang w:val="pl"/>
        </w:rPr>
        <w:t>(dec.);</w:t>
      </w:r>
      <w:hyperlink r:id="rId1204" w:history="1">
        <w:r>
          <w:rPr>
            <w:i/>
            <w:iCs/>
            <w:lang w:val="pl"/>
          </w:rPr>
          <w:t xml:space="preserve"> </w:t>
        </w:r>
        <w:r>
          <w:rPr>
            <w:i/>
            <w:iCs/>
            <w:color w:val="0072BC"/>
            <w:lang w:val="pl"/>
          </w:rPr>
          <w:t xml:space="preserve">Gross p. Szwajcarii </w:t>
        </w:r>
      </w:hyperlink>
      <w:r>
        <w:rPr>
          <w:lang w:val="pl"/>
        </w:rPr>
        <w:t>[WI], § 28;</w:t>
      </w:r>
      <w:hyperlink r:id="rId1205" w:history="1">
        <w:r>
          <w:rPr>
            <w:i/>
            <w:iCs/>
            <w:lang w:val="pl"/>
          </w:rPr>
          <w:t xml:space="preserve"> </w:t>
        </w:r>
        <w:r>
          <w:rPr>
            <w:i/>
            <w:iCs/>
            <w:color w:val="0072BC"/>
            <w:lang w:val="pl"/>
          </w:rPr>
          <w:t>S.L. i J.L. p. Chorwacji</w:t>
        </w:r>
        <w:r>
          <w:rPr>
            <w:lang w:val="pl"/>
          </w:rPr>
          <w:t xml:space="preserve">, </w:t>
        </w:r>
      </w:hyperlink>
      <w:r>
        <w:rPr>
          <w:lang w:val="pl"/>
        </w:rPr>
        <w:t>§§ 48-49;</w:t>
      </w:r>
      <w:hyperlink r:id="rId1206" w:history="1">
        <w:r>
          <w:rPr>
            <w:i/>
            <w:iCs/>
            <w:lang w:val="pl"/>
          </w:rPr>
          <w:t xml:space="preserve"> </w:t>
        </w:r>
        <w:r>
          <w:rPr>
            <w:i/>
            <w:iCs/>
            <w:color w:val="0072BC"/>
            <w:lang w:val="pl"/>
          </w:rPr>
          <w:t>Bagdonavicius i Inni p. Rosji</w:t>
        </w:r>
        <w:r>
          <w:rPr>
            <w:lang w:val="pl"/>
          </w:rPr>
          <w:t>,</w:t>
        </w:r>
      </w:hyperlink>
      <w:r>
        <w:rPr>
          <w:lang w:val="pl"/>
        </w:rPr>
        <w:t xml:space="preserve"> §§ 64-65;</w:t>
      </w:r>
      <w:hyperlink r:id="rId1207" w:history="1">
        <w:r>
          <w:rPr>
            <w:lang w:val="pl"/>
          </w:rPr>
          <w:t xml:space="preserve"> </w:t>
        </w:r>
        <w:r>
          <w:rPr>
            <w:i/>
            <w:iCs/>
            <w:color w:val="0072BC"/>
            <w:lang w:val="pl"/>
          </w:rPr>
          <w:t>Yusufeli İlçesini</w:t>
        </w:r>
      </w:hyperlink>
      <w:r>
        <w:rPr>
          <w:i/>
          <w:iCs/>
          <w:color w:val="0072BC"/>
          <w:lang w:val="pl"/>
        </w:rPr>
        <w:t xml:space="preserve"> </w:t>
      </w:r>
      <w:hyperlink r:id="rId1208" w:history="1">
        <w:r>
          <w:rPr>
            <w:i/>
            <w:iCs/>
            <w:color w:val="0072BC"/>
            <w:lang w:val="pl"/>
          </w:rPr>
          <w:t>Güzelleştirme Yaşatma Kültür Varlıklarını Koruma Derneği p. Turcji</w:t>
        </w:r>
        <w:r>
          <w:rPr>
            <w:color w:val="0072BC"/>
            <w:lang w:val="pl"/>
          </w:rPr>
          <w:t xml:space="preserve"> </w:t>
        </w:r>
      </w:hyperlink>
      <w:r>
        <w:rPr>
          <w:lang w:val="pl"/>
        </w:rPr>
        <w:t xml:space="preserve">(dec.), §§ 29-30). Może zaistnieć sytuacja, że strony przedstawią argumenty, które zostaną odrzucone przez Trybunał, choć takie dyskusyjne oświadczenia nie zostaną uznane za nadużycie prawa do skargi indywidualnej </w:t>
      </w:r>
      <w:hyperlink r:id="rId1209" w:history="1">
        <w:r>
          <w:rPr>
            <w:lang w:val="pl"/>
          </w:rPr>
          <w:t>(</w:t>
        </w:r>
        <w:r>
          <w:rPr>
            <w:i/>
            <w:iCs/>
            <w:color w:val="0072BC"/>
            <w:lang w:val="pl"/>
          </w:rPr>
          <w:t>Hoti p. Chorwacji</w:t>
        </w:r>
        <w:r>
          <w:rPr>
            <w:lang w:val="pl"/>
          </w:rPr>
          <w:t>)</w:t>
        </w:r>
      </w:hyperlink>
      <w:r>
        <w:rPr>
          <w:lang w:val="pl"/>
        </w:rPr>
        <w:t>, § 92.</w:t>
      </w:r>
    </w:p>
    <w:p w:rsidR="00B71A20" w:rsidRPr="000625F6" w:rsidRDefault="000425B4" w:rsidP="00115011">
      <w:pPr>
        <w:pStyle w:val="Teksttreci0"/>
        <w:numPr>
          <w:ilvl w:val="0"/>
          <w:numId w:val="56"/>
        </w:numPr>
        <w:tabs>
          <w:tab w:val="left" w:pos="514"/>
        </w:tabs>
        <w:spacing w:after="220"/>
        <w:jc w:val="both"/>
        <w:rPr>
          <w:lang w:val="pl-PL"/>
        </w:rPr>
      </w:pPr>
      <w:bookmarkStart w:id="204" w:name="bookmark208"/>
      <w:r>
        <w:rPr>
          <w:lang w:val="pl"/>
        </w:rPr>
        <w:t xml:space="preserve">Jeżeli nawet po wydaniu przez Trybunał ostatecznego wyroku co do przedmiotu skargi okaże się, że skarżący ukrył fakt, który mógłby mieć istotne znaczenie dla zbadania skargi, wówczas Trybunał może ponownie rozważyć swój wyrok, korzystając z procedury rewizji (określonej w Regule 80 Regulaminu Trybunału), i oddalić skargę z powodu nadużycia prawa do skargi </w:t>
      </w:r>
      <w:hyperlink r:id="rId1210" w:history="1">
        <w:r>
          <w:rPr>
            <w:lang w:val="pl"/>
          </w:rPr>
          <w:t>(</w:t>
        </w:r>
        <w:r>
          <w:rPr>
            <w:i/>
            <w:iCs/>
            <w:color w:val="0072BC"/>
            <w:lang w:val="pl"/>
          </w:rPr>
          <w:t xml:space="preserve">Gardean i S.C. Grup 95 SA p. Rumunii </w:t>
        </w:r>
      </w:hyperlink>
      <w:r>
        <w:rPr>
          <w:lang w:val="pl"/>
        </w:rPr>
        <w:t>(rewizja), §§ 12-22;</w:t>
      </w:r>
      <w:hyperlink r:id="rId1211" w:history="1">
        <w:r>
          <w:rPr>
            <w:i/>
            <w:iCs/>
            <w:lang w:val="pl"/>
          </w:rPr>
          <w:t xml:space="preserve"> </w:t>
        </w:r>
        <w:r>
          <w:rPr>
            <w:i/>
            <w:iCs/>
            <w:color w:val="0072BC"/>
            <w:lang w:val="pl"/>
          </w:rPr>
          <w:t>Vidu i Inni</w:t>
        </w:r>
      </w:hyperlink>
      <w:r>
        <w:rPr>
          <w:i/>
          <w:iCs/>
          <w:color w:val="0072BC"/>
          <w:lang w:val="pl"/>
        </w:rPr>
        <w:t xml:space="preserve"> </w:t>
      </w:r>
      <w:hyperlink r:id="rId1212" w:history="1">
        <w:r>
          <w:rPr>
            <w:i/>
            <w:iCs/>
            <w:color w:val="0072BC"/>
            <w:lang w:val="pl"/>
          </w:rPr>
          <w:t xml:space="preserve">p. Rumunii </w:t>
        </w:r>
      </w:hyperlink>
      <w:r>
        <w:rPr>
          <w:lang w:val="pl"/>
        </w:rPr>
        <w:t>(rewizja), §§ 17-30;</w:t>
      </w:r>
      <w:hyperlink r:id="rId1213" w:history="1">
        <w:r>
          <w:rPr>
            <w:i/>
            <w:iCs/>
            <w:lang w:val="pl"/>
          </w:rPr>
          <w:t xml:space="preserve"> </w:t>
        </w:r>
        <w:r>
          <w:rPr>
            <w:i/>
            <w:iCs/>
            <w:color w:val="0072BC"/>
            <w:lang w:val="pl"/>
          </w:rPr>
          <w:t xml:space="preserve">Petroiu p. Rumunii </w:t>
        </w:r>
      </w:hyperlink>
      <w:r>
        <w:rPr>
          <w:lang w:val="pl"/>
        </w:rPr>
        <w:t xml:space="preserve">(rewizja), §§ 16-30). Rewizja wyroku jest możliwa tylko wówczas, gdy pozwany rząd nie mógł w rozsądny sposób dowiedzieć się o danym fakcie w chwili wydawania wyroku i złoży wniosek o dokonanie przez Trybunał rewizji tego wyroku w terminie sześciu miesięcy od momentu uzyskania informacji o tym fakcie, zgodnie z Regułą 80 § 1 </w:t>
      </w:r>
      <w:hyperlink r:id="rId1214" w:history="1">
        <w:r>
          <w:rPr>
            <w:lang w:val="pl"/>
          </w:rPr>
          <w:t>(</w:t>
        </w:r>
        <w:r>
          <w:rPr>
            <w:i/>
            <w:iCs/>
            <w:color w:val="0072BC"/>
            <w:lang w:val="pl"/>
          </w:rPr>
          <w:t>Grossi</w:t>
        </w:r>
      </w:hyperlink>
      <w:r>
        <w:rPr>
          <w:i/>
          <w:iCs/>
          <w:color w:val="0072BC"/>
          <w:lang w:val="pl"/>
        </w:rPr>
        <w:t xml:space="preserve"> </w:t>
      </w:r>
      <w:hyperlink r:id="rId1215" w:history="1">
        <w:r>
          <w:rPr>
            <w:i/>
            <w:iCs/>
            <w:color w:val="0072BC"/>
            <w:lang w:val="pl"/>
          </w:rPr>
          <w:t xml:space="preserve">i Inni p. Włochom </w:t>
        </w:r>
      </w:hyperlink>
      <w:r>
        <w:rPr>
          <w:lang w:val="pl"/>
        </w:rPr>
        <w:t>(rewizja), §§ 17-24;</w:t>
      </w:r>
      <w:hyperlink r:id="rId1216" w:history="1">
        <w:r>
          <w:rPr>
            <w:i/>
            <w:iCs/>
            <w:lang w:val="pl"/>
          </w:rPr>
          <w:t xml:space="preserve"> </w:t>
        </w:r>
        <w:r>
          <w:rPr>
            <w:i/>
            <w:iCs/>
            <w:color w:val="0072BC"/>
            <w:lang w:val="pl"/>
          </w:rPr>
          <w:t xml:space="preserve">Vidu i Inni p. Rumunii </w:t>
        </w:r>
      </w:hyperlink>
      <w:r>
        <w:rPr>
          <w:lang w:val="pl"/>
        </w:rPr>
        <w:t>(rewizja), §§ 20-23;</w:t>
      </w:r>
      <w:hyperlink r:id="rId1217" w:history="1">
        <w:r>
          <w:rPr>
            <w:i/>
            <w:iCs/>
            <w:lang w:val="pl"/>
          </w:rPr>
          <w:t xml:space="preserve"> </w:t>
        </w:r>
        <w:r>
          <w:rPr>
            <w:i/>
            <w:iCs/>
            <w:color w:val="0072BC"/>
            <w:lang w:val="pl"/>
          </w:rPr>
          <w:t>Petroiu</w:t>
        </w:r>
      </w:hyperlink>
      <w:r>
        <w:rPr>
          <w:i/>
          <w:iCs/>
          <w:color w:val="0072BC"/>
          <w:lang w:val="pl"/>
        </w:rPr>
        <w:t xml:space="preserve"> </w:t>
      </w:r>
      <w:hyperlink r:id="rId1218" w:history="1">
        <w:r>
          <w:rPr>
            <w:i/>
            <w:iCs/>
            <w:color w:val="0072BC"/>
            <w:lang w:val="pl"/>
          </w:rPr>
          <w:t xml:space="preserve">p. Rumunii </w:t>
        </w:r>
      </w:hyperlink>
      <w:r>
        <w:rPr>
          <w:lang w:val="pl"/>
        </w:rPr>
        <w:t>(rewizja), §§ 19 i 27-28).</w:t>
      </w:r>
      <w:bookmarkEnd w:id="204"/>
    </w:p>
    <w:p w:rsidR="00B71A20" w:rsidRDefault="00D42CF0" w:rsidP="00D42CF0">
      <w:pPr>
        <w:pStyle w:val="Nagwek31"/>
        <w:keepNext/>
        <w:keepLines/>
        <w:tabs>
          <w:tab w:val="left" w:pos="331"/>
        </w:tabs>
        <w:spacing w:after="100"/>
        <w:jc w:val="both"/>
      </w:pPr>
      <w:bookmarkStart w:id="205" w:name="_Toc126335663"/>
      <w:bookmarkStart w:id="206" w:name="_Toc126660622"/>
      <w:r>
        <w:rPr>
          <w:lang w:val="pl"/>
        </w:rPr>
        <w:t xml:space="preserve">3.  </w:t>
      </w:r>
      <w:r w:rsidR="000425B4">
        <w:rPr>
          <w:lang w:val="pl"/>
        </w:rPr>
        <w:t>Obraźliwy język</w:t>
      </w:r>
      <w:bookmarkEnd w:id="205"/>
      <w:bookmarkEnd w:id="206"/>
    </w:p>
    <w:p w:rsidR="00B71A20" w:rsidRPr="00442B28" w:rsidRDefault="000425B4" w:rsidP="00442B28">
      <w:pPr>
        <w:pStyle w:val="Teksttreci0"/>
        <w:numPr>
          <w:ilvl w:val="0"/>
          <w:numId w:val="57"/>
        </w:numPr>
        <w:tabs>
          <w:tab w:val="left" w:pos="505"/>
        </w:tabs>
        <w:jc w:val="both"/>
        <w:rPr>
          <w:lang w:val="pl-PL"/>
        </w:rPr>
      </w:pPr>
      <w:r>
        <w:rPr>
          <w:lang w:val="pl"/>
        </w:rPr>
        <w:t>Nadużyciem prawa do skargi jest sytuacja, w której skarżący</w:t>
      </w:r>
      <w:r w:rsidR="00442B28">
        <w:rPr>
          <w:lang w:val="pl"/>
        </w:rPr>
        <w:t xml:space="preserve"> w korespondencji prowadzonej z </w:t>
      </w:r>
      <w:r w:rsidRPr="00442B28">
        <w:rPr>
          <w:lang w:val="pl"/>
        </w:rPr>
        <w:t xml:space="preserve">Trybunałem stosuje szczególnie złośliwy, obraźliwy, pełen gróźb lub prowokujący język – zarówno przeciwko pozwanemu rządowi, jego pełnomocnikowi, władzom pozwanego państwa, jak i samemu Trybunałowi, jego sędziom, Kancelarii lub jej pracownikom </w:t>
      </w:r>
      <w:hyperlink r:id="rId1219" w:history="1">
        <w:r w:rsidRPr="00442B28">
          <w:rPr>
            <w:lang w:val="pl"/>
          </w:rPr>
          <w:t>(</w:t>
        </w:r>
        <w:r w:rsidRPr="00442B28">
          <w:rPr>
            <w:i/>
            <w:iCs/>
            <w:color w:val="0072BC"/>
            <w:lang w:val="pl"/>
          </w:rPr>
          <w:t>Řehák p.</w:t>
        </w:r>
      </w:hyperlink>
      <w:r w:rsidRPr="00442B28">
        <w:rPr>
          <w:i/>
          <w:iCs/>
          <w:color w:val="0072BC"/>
          <w:lang w:val="pl"/>
        </w:rPr>
        <w:t xml:space="preserve"> </w:t>
      </w:r>
      <w:hyperlink r:id="rId1220" w:history="1">
        <w:r w:rsidRPr="00442B28">
          <w:rPr>
            <w:i/>
            <w:iCs/>
            <w:color w:val="0072BC"/>
            <w:lang w:val="pl"/>
          </w:rPr>
          <w:t xml:space="preserve">Czechom </w:t>
        </w:r>
      </w:hyperlink>
      <w:r w:rsidRPr="00442B28">
        <w:rPr>
          <w:lang w:val="pl"/>
        </w:rPr>
        <w:t>(dec.);</w:t>
      </w:r>
      <w:hyperlink r:id="rId1221" w:history="1">
        <w:r w:rsidRPr="00442B28">
          <w:rPr>
            <w:i/>
            <w:iCs/>
            <w:lang w:val="pl"/>
          </w:rPr>
          <w:t xml:space="preserve"> </w:t>
        </w:r>
        <w:r w:rsidR="00442B28">
          <w:rPr>
            <w:i/>
            <w:iCs/>
            <w:color w:val="0072BC"/>
            <w:lang w:val="pl"/>
          </w:rPr>
          <w:t>Duringer i Inni p. </w:t>
        </w:r>
        <w:r w:rsidRPr="00442B28">
          <w:rPr>
            <w:i/>
            <w:iCs/>
            <w:color w:val="0072BC"/>
            <w:lang w:val="pl"/>
          </w:rPr>
          <w:t xml:space="preserve">Francji </w:t>
        </w:r>
      </w:hyperlink>
      <w:r w:rsidRPr="00442B28">
        <w:rPr>
          <w:lang w:val="pl"/>
        </w:rPr>
        <w:t>(dec.);</w:t>
      </w:r>
      <w:hyperlink r:id="rId1222" w:history="1">
        <w:r w:rsidRPr="00442B28">
          <w:rPr>
            <w:i/>
            <w:iCs/>
            <w:lang w:val="pl"/>
          </w:rPr>
          <w:t xml:space="preserve"> </w:t>
        </w:r>
        <w:r w:rsidRPr="00442B28">
          <w:rPr>
            <w:i/>
            <w:iCs/>
            <w:color w:val="0072BC"/>
            <w:lang w:val="pl"/>
          </w:rPr>
          <w:t>Stamoulakatos p. Wielkiej Brytanii</w:t>
        </w:r>
        <w:r w:rsidRPr="00442B28">
          <w:rPr>
            <w:lang w:val="pl"/>
          </w:rPr>
          <w:t>,</w:t>
        </w:r>
      </w:hyperlink>
      <w:r w:rsidRPr="00442B28">
        <w:rPr>
          <w:lang w:val="pl"/>
        </w:rPr>
        <w:t xml:space="preserve"> decyzja Komisji). Podobnie jest w sytuacji, gdy skarżący upublicznia obraźliwe stwierdzenia dotyczące Trybunału i jego sędziów poza kontekstem zawisłej sprawy i robi to nadal po otrzymaniu ostrzeżenia </w:t>
      </w:r>
      <w:hyperlink r:id="rId1223" w:history="1">
        <w:r w:rsidRPr="00442B28">
          <w:rPr>
            <w:lang w:val="pl"/>
          </w:rPr>
          <w:t>(</w:t>
        </w:r>
        <w:r w:rsidRPr="00442B28">
          <w:rPr>
            <w:i/>
            <w:iCs/>
            <w:color w:val="0072BC"/>
            <w:lang w:val="pl"/>
          </w:rPr>
          <w:t>Zhdanov i Inni p. Rosji</w:t>
        </w:r>
        <w:r w:rsidRPr="00442B28">
          <w:rPr>
            <w:lang w:val="pl"/>
          </w:rPr>
          <w:t>,</w:t>
        </w:r>
      </w:hyperlink>
      <w:r w:rsidRPr="00442B28">
        <w:rPr>
          <w:lang w:val="pl"/>
        </w:rPr>
        <w:t xml:space="preserve"> §§ 82</w:t>
      </w:r>
      <w:r w:rsidRPr="00442B28">
        <w:rPr>
          <w:lang w:val="pl"/>
        </w:rPr>
        <w:noBreakHyphen/>
        <w:t>86).</w:t>
      </w:r>
    </w:p>
    <w:p w:rsidR="00B71A20" w:rsidRPr="000625F6" w:rsidRDefault="000425B4" w:rsidP="00115011">
      <w:pPr>
        <w:pStyle w:val="Teksttreci0"/>
        <w:numPr>
          <w:ilvl w:val="0"/>
          <w:numId w:val="57"/>
        </w:numPr>
        <w:tabs>
          <w:tab w:val="left" w:pos="505"/>
        </w:tabs>
        <w:spacing w:after="220"/>
        <w:jc w:val="both"/>
        <w:rPr>
          <w:lang w:val="pl-PL"/>
        </w:rPr>
      </w:pPr>
      <w:bookmarkStart w:id="207" w:name="bookmark211"/>
      <w:r>
        <w:rPr>
          <w:lang w:val="pl"/>
        </w:rPr>
        <w:t xml:space="preserve">Aby język stosowany przez skarżącego został uznany za obraźliwy, nie wystarczy, by miał jedynie uszczypliwy, polemiczny lub sarkastyczny charakter; musi wykraczać poza „granice zwykłej, uprzejmej i uprawnionej krytyki” </w:t>
      </w:r>
      <w:hyperlink r:id="rId1224" w:history="1">
        <w:r>
          <w:rPr>
            <w:lang w:val="pl"/>
          </w:rPr>
          <w:t>(</w:t>
        </w:r>
        <w:r>
          <w:rPr>
            <w:i/>
            <w:iCs/>
            <w:color w:val="0072BC"/>
            <w:lang w:val="pl"/>
          </w:rPr>
          <w:t xml:space="preserve">Di Salvo p. Włochom </w:t>
        </w:r>
      </w:hyperlink>
      <w:r>
        <w:rPr>
          <w:lang w:val="pl"/>
        </w:rPr>
        <w:t>(dec.);</w:t>
      </w:r>
      <w:hyperlink r:id="rId1225" w:history="1">
        <w:r>
          <w:rPr>
            <w:lang w:val="pl"/>
          </w:rPr>
          <w:t xml:space="preserve"> </w:t>
        </w:r>
        <w:r>
          <w:rPr>
            <w:i/>
            <w:iCs/>
            <w:color w:val="0072BC"/>
            <w:lang w:val="pl"/>
          </w:rPr>
          <w:t xml:space="preserve">Apinis p. Łotwie </w:t>
        </w:r>
      </w:hyperlink>
      <w:r>
        <w:rPr>
          <w:lang w:val="pl"/>
        </w:rPr>
        <w:t>(dec.); przykład przeciwny – patrz</w:t>
      </w:r>
      <w:hyperlink r:id="rId1226" w:history="1">
        <w:r>
          <w:rPr>
            <w:lang w:val="pl"/>
          </w:rPr>
          <w:t xml:space="preserve"> </w:t>
        </w:r>
        <w:r>
          <w:rPr>
            <w:i/>
            <w:iCs/>
            <w:color w:val="0072BC"/>
            <w:lang w:val="pl"/>
          </w:rPr>
          <w:t>Aleksanyan p. Rosji</w:t>
        </w:r>
        <w:r>
          <w:rPr>
            <w:lang w:val="pl"/>
          </w:rPr>
          <w:t>,</w:t>
        </w:r>
      </w:hyperlink>
      <w:r>
        <w:rPr>
          <w:lang w:val="pl"/>
        </w:rPr>
        <w:t xml:space="preserve"> §§ 116-118;</w:t>
      </w:r>
      <w:hyperlink r:id="rId1227" w:history="1">
        <w:r>
          <w:rPr>
            <w:lang w:val="pl"/>
          </w:rPr>
          <w:t xml:space="preserve"> </w:t>
        </w:r>
        <w:r>
          <w:rPr>
            <w:i/>
            <w:iCs/>
            <w:color w:val="0072BC"/>
            <w:lang w:val="pl"/>
          </w:rPr>
          <w:t xml:space="preserve">X i Inni p. Bułgarii </w:t>
        </w:r>
      </w:hyperlink>
      <w:r>
        <w:rPr>
          <w:lang w:val="pl"/>
        </w:rPr>
        <w:t xml:space="preserve">[WI], § 146). Jeżeli w toku postępowania skarżący </w:t>
      </w:r>
      <w:r>
        <w:rPr>
          <w:lang w:val="pl"/>
        </w:rPr>
        <w:lastRenderedPageBreak/>
        <w:t xml:space="preserve">zaprzestanie stosowania obraźliwych uwag w wyniku wystosowania przez Trybunał formalnego ostrzeżenia, wyraźnie je wycofa lub, co korzystniejsze, przeprosi, skarga nie zostanie odrzucona ze względu na nadużycie prawa do skargi </w:t>
      </w:r>
      <w:hyperlink r:id="rId1228" w:history="1">
        <w:r>
          <w:rPr>
            <w:lang w:val="pl"/>
          </w:rPr>
          <w:t>(</w:t>
        </w:r>
        <w:r>
          <w:rPr>
            <w:i/>
            <w:iCs/>
            <w:color w:val="0072BC"/>
            <w:lang w:val="pl"/>
          </w:rPr>
          <w:t>Chernitsyn p. Rosji</w:t>
        </w:r>
        <w:r>
          <w:rPr>
            <w:lang w:val="pl"/>
          </w:rPr>
          <w:t>,</w:t>
        </w:r>
      </w:hyperlink>
      <w:r>
        <w:rPr>
          <w:lang w:val="pl"/>
        </w:rPr>
        <w:t xml:space="preserve"> §§ 25-28).</w:t>
      </w:r>
      <w:bookmarkEnd w:id="207"/>
    </w:p>
    <w:p w:rsidR="00B71A20" w:rsidRPr="000625F6" w:rsidRDefault="00D42CF0" w:rsidP="00D42CF0">
      <w:pPr>
        <w:pStyle w:val="Nagwek31"/>
        <w:keepNext/>
        <w:keepLines/>
        <w:spacing w:after="100"/>
        <w:jc w:val="both"/>
        <w:rPr>
          <w:lang w:val="pl-PL"/>
        </w:rPr>
      </w:pPr>
      <w:bookmarkStart w:id="208" w:name="_Toc126335664"/>
      <w:bookmarkStart w:id="209" w:name="_Toc126660623"/>
      <w:r>
        <w:rPr>
          <w:lang w:val="pl"/>
        </w:rPr>
        <w:t xml:space="preserve">4.  </w:t>
      </w:r>
      <w:r w:rsidR="000425B4">
        <w:rPr>
          <w:lang w:val="pl"/>
        </w:rPr>
        <w:t>Naruszenie zasady poufności procedury polubownego rozstrzygania sporów</w:t>
      </w:r>
      <w:bookmarkEnd w:id="208"/>
      <w:bookmarkEnd w:id="209"/>
    </w:p>
    <w:p w:rsidR="00B71A20" w:rsidRPr="000625F6" w:rsidRDefault="000425B4" w:rsidP="00115011">
      <w:pPr>
        <w:pStyle w:val="Teksttreci0"/>
        <w:numPr>
          <w:ilvl w:val="0"/>
          <w:numId w:val="57"/>
        </w:numPr>
        <w:tabs>
          <w:tab w:val="left" w:pos="505"/>
        </w:tabs>
        <w:jc w:val="both"/>
        <w:rPr>
          <w:lang w:val="pl-PL"/>
        </w:rPr>
      </w:pPr>
      <w:r>
        <w:rPr>
          <w:lang w:val="pl"/>
        </w:rPr>
        <w:t xml:space="preserve">Umyślne naruszenie przez skarżącego obowiązku zachowania poufności w ramach negocjacji prowadzących do polubownego rozstrzygnięcia, nałożonego na strony na mocy art. 39 ust. 2 Konwencji i Reguły 62 § 2 Regulaminu Trybunału, może zostać uznane za nadużycie prawa do skargi i skutkować jej odrzuceniem </w:t>
      </w:r>
      <w:hyperlink r:id="rId1229" w:history="1">
        <w:r>
          <w:rPr>
            <w:lang w:val="pl"/>
          </w:rPr>
          <w:t>(</w:t>
        </w:r>
        <w:r>
          <w:rPr>
            <w:i/>
            <w:iCs/>
            <w:color w:val="0072BC"/>
            <w:lang w:val="pl"/>
          </w:rPr>
          <w:t xml:space="preserve">Hadrabová i Inni p. Czechom </w:t>
        </w:r>
      </w:hyperlink>
      <w:r>
        <w:rPr>
          <w:lang w:val="pl"/>
        </w:rPr>
        <w:t>(dec.);</w:t>
      </w:r>
      <w:hyperlink r:id="rId1230" w:history="1">
        <w:r>
          <w:rPr>
            <w:lang w:val="pl"/>
          </w:rPr>
          <w:t xml:space="preserve"> </w:t>
        </w:r>
        <w:r>
          <w:rPr>
            <w:i/>
            <w:iCs/>
            <w:color w:val="0072BC"/>
            <w:lang w:val="pl"/>
          </w:rPr>
          <w:t>Popov p. Mołdawii</w:t>
        </w:r>
      </w:hyperlink>
      <w:r>
        <w:rPr>
          <w:i/>
          <w:iCs/>
          <w:color w:val="0072BC"/>
          <w:lang w:val="pl"/>
        </w:rPr>
        <w:t xml:space="preserve"> </w:t>
      </w:r>
      <w:hyperlink r:id="rId1231" w:history="1">
        <w:r>
          <w:rPr>
            <w:i/>
            <w:iCs/>
            <w:color w:val="0072BC"/>
            <w:lang w:val="pl"/>
          </w:rPr>
          <w:t>(nr 1)</w:t>
        </w:r>
        <w:r>
          <w:rPr>
            <w:lang w:val="pl"/>
          </w:rPr>
          <w:t>,</w:t>
        </w:r>
      </w:hyperlink>
      <w:r>
        <w:rPr>
          <w:lang w:val="pl"/>
        </w:rPr>
        <w:t xml:space="preserve"> § 48;</w:t>
      </w:r>
      <w:hyperlink r:id="rId1232" w:history="1">
        <w:r>
          <w:rPr>
            <w:lang w:val="pl"/>
          </w:rPr>
          <w:t xml:space="preserve"> </w:t>
        </w:r>
        <w:r>
          <w:rPr>
            <w:i/>
            <w:iCs/>
            <w:color w:val="0072BC"/>
            <w:lang w:val="pl"/>
          </w:rPr>
          <w:t>Miroļubovs i Inni p. Łotwie</w:t>
        </w:r>
        <w:r>
          <w:rPr>
            <w:lang w:val="pl"/>
          </w:rPr>
          <w:t>,</w:t>
        </w:r>
      </w:hyperlink>
      <w:r>
        <w:rPr>
          <w:lang w:val="pl"/>
        </w:rPr>
        <w:t xml:space="preserve"> § 66).</w:t>
      </w:r>
    </w:p>
    <w:p w:rsidR="00B71A20" w:rsidRPr="000625F6" w:rsidRDefault="000425B4" w:rsidP="00115011">
      <w:pPr>
        <w:pStyle w:val="Teksttreci0"/>
        <w:numPr>
          <w:ilvl w:val="0"/>
          <w:numId w:val="57"/>
        </w:numPr>
        <w:tabs>
          <w:tab w:val="left" w:pos="514"/>
        </w:tabs>
        <w:jc w:val="both"/>
        <w:rPr>
          <w:lang w:val="pl-PL"/>
        </w:rPr>
      </w:pPr>
      <w:r>
        <w:rPr>
          <w:lang w:val="pl"/>
        </w:rPr>
        <w:t xml:space="preserve">W celu ustalenia, czy skarżący naruszył obowiązek zachowania poufności, należy określić granice tego obowiązku. Musi on być zawsze interpretowany w świetle jego celów ogólnych, czyli usprawnienia procesu polubownego rozwiązania sporu poprzez ochronę stron i Trybunału przed ewentualnymi naciskami. W związku z powyższym o ile przekazanie osobom trzecim treści dokumentów odnoszących się do polubownego rozwiązania sporu może stanowić w teorii nadużycie prawa do skargi w rozumieniu art. 35 ust. 3 lit. a Konwencji, nie oznacza to, że istnieje absolutny i bezwarunkowy zakaz ujawniania dokumentów i mówienia o nich osobom trzecim. Tak szeroka i rygorystyczna interpretacja mogłaby spowodować podważenie ochrony uprawnionych interesów skarżącego – na przykład gdy skarżący uzyskuje jednorazową poradę w sprawie, w której ma prawo do reprezentacji przed Trybunałem. Co więcej, monitorowanie przez Trybunał przestrzegania tego zakazu byłoby zbyt trudne albo wręcz niemożliwe. Art. 39 ust. 2 Konwencji oraz Reguła 62 § 2 Regulaminu Trybunału zakazują stronom upubliczniania przedmiotowych informacji, na przykład za pośrednictwem mediów, w korespondencji, która może zostać odczytana przez wiele osób lub w jakikolwiek inny sposób </w:t>
      </w:r>
      <w:hyperlink r:id="rId1233" w:history="1">
        <w:r>
          <w:rPr>
            <w:lang w:val="pl"/>
          </w:rPr>
          <w:t>(</w:t>
        </w:r>
        <w:r>
          <w:rPr>
            <w:i/>
            <w:iCs/>
            <w:color w:val="0072BC"/>
            <w:lang w:val="pl"/>
          </w:rPr>
          <w:t>Miroļubovs i Inni p. Łotwie</w:t>
        </w:r>
        <w:r>
          <w:rPr>
            <w:lang w:val="pl"/>
          </w:rPr>
          <w:t>,</w:t>
        </w:r>
      </w:hyperlink>
      <w:r>
        <w:rPr>
          <w:lang w:val="pl"/>
        </w:rPr>
        <w:t xml:space="preserve"> § 68; patrz też sprawa</w:t>
      </w:r>
      <w:hyperlink r:id="rId1234" w:history="1">
        <w:r>
          <w:rPr>
            <w:lang w:val="pl"/>
          </w:rPr>
          <w:t xml:space="preserve"> </w:t>
        </w:r>
        <w:r>
          <w:rPr>
            <w:i/>
            <w:iCs/>
            <w:color w:val="0072BC"/>
            <w:lang w:val="pl"/>
          </w:rPr>
          <w:t xml:space="preserve">Mătăsaru p. Republice Mołdawii </w:t>
        </w:r>
      </w:hyperlink>
      <w:r>
        <w:rPr>
          <w:lang w:val="pl"/>
        </w:rPr>
        <w:t>(dec.), §§ 36-39, w której żona skarżącego ujawniła mediom propozycję polubownego rozstrzygnięcia wysuniętą przez Trybunał). Jest to zatem ten rodzaj działania o wysokim stopniu doniosłości, w którym uzasadnione jest stwierdzenie nadużycia prawa do skargi.</w:t>
      </w:r>
    </w:p>
    <w:p w:rsidR="00B71A20" w:rsidRPr="000625F6" w:rsidRDefault="000425B4" w:rsidP="00115011">
      <w:pPr>
        <w:pStyle w:val="Teksttreci0"/>
        <w:numPr>
          <w:ilvl w:val="0"/>
          <w:numId w:val="57"/>
        </w:numPr>
        <w:tabs>
          <w:tab w:val="left" w:pos="514"/>
        </w:tabs>
        <w:jc w:val="both"/>
        <w:rPr>
          <w:lang w:val="pl-PL"/>
        </w:rPr>
      </w:pPr>
      <w:r>
        <w:rPr>
          <w:lang w:val="pl"/>
        </w:rPr>
        <w:t>Aby ujawnienie poufnych informacji zostało uznane za nadużycie prawa do skargi, musi ono być zamierzone. Bezpośrednia odpowiedzialność skarżącego za ujawnieni</w:t>
      </w:r>
      <w:r w:rsidR="00442B28">
        <w:rPr>
          <w:lang w:val="pl"/>
        </w:rPr>
        <w:t>e musi zawsze zostać ustalona z </w:t>
      </w:r>
      <w:r>
        <w:rPr>
          <w:lang w:val="pl"/>
        </w:rPr>
        <w:t xml:space="preserve">dostateczną pewnością; samo podejrzenie nie wystarczy </w:t>
      </w:r>
      <w:hyperlink r:id="rId1235" w:history="1">
        <w:r>
          <w:rPr>
            <w:lang w:val="pl"/>
          </w:rPr>
          <w:t>(</w:t>
        </w:r>
        <w:r>
          <w:rPr>
            <w:i/>
            <w:iCs/>
            <w:color w:val="0072BC"/>
            <w:lang w:val="pl"/>
          </w:rPr>
          <w:t>Miroļubovs i Inni</w:t>
        </w:r>
      </w:hyperlink>
      <w:r>
        <w:rPr>
          <w:i/>
          <w:iCs/>
          <w:color w:val="0072BC"/>
          <w:lang w:val="pl"/>
        </w:rPr>
        <w:t xml:space="preserve"> </w:t>
      </w:r>
      <w:hyperlink r:id="rId1236" w:history="1">
        <w:r>
          <w:rPr>
            <w:i/>
            <w:iCs/>
            <w:color w:val="0072BC"/>
            <w:lang w:val="pl"/>
          </w:rPr>
          <w:t>p. Łotwie</w:t>
        </w:r>
        <w:r>
          <w:rPr>
            <w:lang w:val="pl"/>
          </w:rPr>
          <w:t>,</w:t>
        </w:r>
      </w:hyperlink>
      <w:r>
        <w:rPr>
          <w:lang w:val="pl"/>
        </w:rPr>
        <w:t xml:space="preserve"> § 66 </w:t>
      </w:r>
      <w:r>
        <w:rPr>
          <w:i/>
          <w:iCs/>
          <w:lang w:val="pl"/>
        </w:rPr>
        <w:t>in fine</w:t>
      </w:r>
      <w:r>
        <w:rPr>
          <w:lang w:val="pl"/>
        </w:rPr>
        <w:t>). Konkretne przykłady zastosowania tej zasady: przykład sprawy, w której odrzucono skargę, patrz</w:t>
      </w:r>
      <w:hyperlink r:id="rId1237" w:history="1">
        <w:r>
          <w:rPr>
            <w:lang w:val="pl"/>
          </w:rPr>
          <w:t xml:space="preserve"> </w:t>
        </w:r>
        <w:r>
          <w:rPr>
            <w:i/>
            <w:iCs/>
            <w:color w:val="0072BC"/>
            <w:lang w:val="pl"/>
          </w:rPr>
          <w:t xml:space="preserve">Hadrabová i Inni p. Czechom </w:t>
        </w:r>
      </w:hyperlink>
      <w:r>
        <w:rPr>
          <w:lang w:val="pl"/>
        </w:rPr>
        <w:t>(dec.), gdzie skarżący w sposób wyraźny cytowali propozycje przestawione w ramach procedury polubownego rozstrzygnięcia sporu sformułowa</w:t>
      </w:r>
      <w:r w:rsidR="00442B28">
        <w:rPr>
          <w:lang w:val="pl"/>
        </w:rPr>
        <w:t>ne przez Kancelarię Trybunału w </w:t>
      </w:r>
      <w:r>
        <w:rPr>
          <w:lang w:val="pl"/>
        </w:rPr>
        <w:t>korespondencji z Ministerstwem Sprawiedliwości ich kraju, co doprowadziło do odrzucenia ich skargi w związku z nadużyciem prawa do skargi; przykład uznania skargi za niedopuszczalną, patrz sprawa</w:t>
      </w:r>
      <w:hyperlink r:id="rId1238" w:history="1">
        <w:r>
          <w:rPr>
            <w:lang w:val="pl"/>
          </w:rPr>
          <w:t xml:space="preserve"> </w:t>
        </w:r>
        <w:r>
          <w:rPr>
            <w:i/>
            <w:iCs/>
            <w:color w:val="0072BC"/>
            <w:lang w:val="pl"/>
          </w:rPr>
          <w:t>Miroļubovs i Inni p. Łotwie</w:t>
        </w:r>
        <w:r>
          <w:rPr>
            <w:lang w:val="pl"/>
          </w:rPr>
          <w:t>,</w:t>
        </w:r>
      </w:hyperlink>
      <w:r>
        <w:rPr>
          <w:lang w:val="pl"/>
        </w:rPr>
        <w:t xml:space="preserve"> w której nie stwierdzono ponad wątpliwość, że wszyscy trzej skarżący byli odpowiedzialni za ujawnianie poufnych informacji, w wyniku czego Trybunał oddalił zastrzeżenie wstępne rządu.</w:t>
      </w:r>
    </w:p>
    <w:p w:rsidR="00B71A20" w:rsidRPr="000625F6" w:rsidRDefault="000425B4" w:rsidP="00115011">
      <w:pPr>
        <w:pStyle w:val="Teksttreci0"/>
        <w:numPr>
          <w:ilvl w:val="0"/>
          <w:numId w:val="57"/>
        </w:numPr>
        <w:tabs>
          <w:tab w:val="left" w:pos="505"/>
        </w:tabs>
        <w:jc w:val="both"/>
        <w:rPr>
          <w:lang w:val="pl-PL"/>
        </w:rPr>
      </w:pPr>
      <w:r>
        <w:rPr>
          <w:lang w:val="pl"/>
        </w:rPr>
        <w:t xml:space="preserve">Należy odróżnić oświadczenia składane w kontekście ściśle tajnego postępowania polubownego od deklaracji jednostronnych pozwanego rządu składanych publicznie i postępowań kontradyktoryjnych przed Trybunałem, mimo że rzeczywisty rezultat tych procedur może być podobny. Ujawnienie warunków zawartych w deklaracji jednostronnej nie jest jednoznaczne z nadużyciem prawa do skargi indywidualnej </w:t>
      </w:r>
      <w:hyperlink r:id="rId1239" w:history="1">
        <w:r>
          <w:rPr>
            <w:lang w:val="pl"/>
          </w:rPr>
          <w:t>(</w:t>
        </w:r>
        <w:r>
          <w:rPr>
            <w:i/>
            <w:iCs/>
            <w:color w:val="0072BC"/>
            <w:lang w:val="pl"/>
          </w:rPr>
          <w:t>Eskerkhanov i Inni p. Rosji</w:t>
        </w:r>
        <w:r>
          <w:rPr>
            <w:lang w:val="pl"/>
          </w:rPr>
          <w:t>,</w:t>
        </w:r>
      </w:hyperlink>
      <w:r>
        <w:rPr>
          <w:lang w:val="pl"/>
        </w:rPr>
        <w:t xml:space="preserve"> § 26-29).</w:t>
      </w:r>
    </w:p>
    <w:p w:rsidR="00B71A20" w:rsidRPr="000625F6" w:rsidRDefault="000425B4" w:rsidP="00115011">
      <w:pPr>
        <w:pStyle w:val="Teksttreci0"/>
        <w:numPr>
          <w:ilvl w:val="0"/>
          <w:numId w:val="57"/>
        </w:numPr>
        <w:tabs>
          <w:tab w:val="left" w:pos="505"/>
        </w:tabs>
        <w:spacing w:after="220"/>
        <w:jc w:val="both"/>
        <w:rPr>
          <w:lang w:val="pl-PL"/>
        </w:rPr>
      </w:pPr>
      <w:bookmarkStart w:id="210" w:name="bookmark214"/>
      <w:r>
        <w:rPr>
          <w:lang w:val="pl"/>
        </w:rPr>
        <w:t>Odnośnie do nieprzestrzegania zasady poufności po wydaniu wyroku co do istoty sprawy, lecz zanim Trybunał orzekł o słusznym zadośćuczynieniu, patrz sprawa</w:t>
      </w:r>
      <w:hyperlink r:id="rId1240" w:history="1">
        <w:r>
          <w:rPr>
            <w:i/>
            <w:iCs/>
            <w:lang w:val="pl"/>
          </w:rPr>
          <w:t xml:space="preserve"> </w:t>
        </w:r>
        <w:r>
          <w:rPr>
            <w:i/>
            <w:iCs/>
            <w:color w:val="0072BC"/>
            <w:lang w:val="pl"/>
          </w:rPr>
          <w:t>Žáková p.</w:t>
        </w:r>
      </w:hyperlink>
      <w:r>
        <w:rPr>
          <w:i/>
          <w:iCs/>
          <w:color w:val="0072BC"/>
          <w:lang w:val="pl"/>
        </w:rPr>
        <w:t> </w:t>
      </w:r>
      <w:hyperlink r:id="rId1241" w:history="1">
        <w:r>
          <w:rPr>
            <w:i/>
            <w:iCs/>
            <w:color w:val="0072BC"/>
            <w:lang w:val="pl"/>
          </w:rPr>
          <w:t xml:space="preserve">Czechom </w:t>
        </w:r>
      </w:hyperlink>
      <w:r>
        <w:rPr>
          <w:lang w:val="pl"/>
        </w:rPr>
        <w:t>(słuszne zadośćuczynienie), §§ 18-25, w której Trybunał, w świetle szczególnych okoliczności sprawy, uznał za stosowne dalsze badanie sprawy.</w:t>
      </w:r>
      <w:bookmarkEnd w:id="210"/>
    </w:p>
    <w:p w:rsidR="00B71A20" w:rsidRPr="000625F6" w:rsidRDefault="00D42CF0" w:rsidP="00180FE3">
      <w:pPr>
        <w:pStyle w:val="Nagwek31"/>
        <w:keepNext/>
        <w:keepLines/>
        <w:tabs>
          <w:tab w:val="left" w:pos="426"/>
        </w:tabs>
        <w:spacing w:after="100"/>
        <w:ind w:left="510" w:hanging="510"/>
        <w:jc w:val="both"/>
        <w:rPr>
          <w:lang w:val="pl-PL"/>
        </w:rPr>
      </w:pPr>
      <w:bookmarkStart w:id="211" w:name="_Toc126335665"/>
      <w:bookmarkStart w:id="212" w:name="_Toc126660624"/>
      <w:r>
        <w:rPr>
          <w:lang w:val="pl"/>
        </w:rPr>
        <w:lastRenderedPageBreak/>
        <w:t xml:space="preserve">5.  </w:t>
      </w:r>
      <w:r w:rsidR="000425B4">
        <w:rPr>
          <w:lang w:val="pl"/>
        </w:rPr>
        <w:t>Skarga w sposób oczywisty wniesiona w złej wierze lub pozbawiona rzeczywistego celu</w:t>
      </w:r>
      <w:bookmarkEnd w:id="211"/>
      <w:bookmarkEnd w:id="212"/>
    </w:p>
    <w:p w:rsidR="00B71A20" w:rsidRPr="000625F6" w:rsidRDefault="000425B4" w:rsidP="00115011">
      <w:pPr>
        <w:pStyle w:val="Teksttreci0"/>
        <w:numPr>
          <w:ilvl w:val="0"/>
          <w:numId w:val="57"/>
        </w:numPr>
        <w:tabs>
          <w:tab w:val="left" w:pos="505"/>
        </w:tabs>
        <w:jc w:val="both"/>
        <w:rPr>
          <w:lang w:val="pl-PL"/>
        </w:rPr>
      </w:pPr>
      <w:r>
        <w:rPr>
          <w:lang w:val="pl"/>
        </w:rPr>
        <w:t>Skarżący nadużywa prawa do skargi, jeśli wielokrotnie składa do Trybunału będące wyrazem złej wiary i w sposób oczywisty nieuzasadnione skargi podobne d</w:t>
      </w:r>
      <w:r w:rsidR="00442B28">
        <w:rPr>
          <w:lang w:val="pl"/>
        </w:rPr>
        <w:t>o skarg złożonych przez niego w </w:t>
      </w:r>
      <w:r>
        <w:rPr>
          <w:lang w:val="pl"/>
        </w:rPr>
        <w:t xml:space="preserve">przeszłości, które już zostały uznane za niedopuszczalne </w:t>
      </w:r>
      <w:hyperlink r:id="rId1242" w:history="1">
        <w:r>
          <w:rPr>
            <w:lang w:val="pl"/>
          </w:rPr>
          <w:t>(</w:t>
        </w:r>
        <w:r>
          <w:rPr>
            <w:i/>
            <w:iCs/>
            <w:color w:val="0072BC"/>
            <w:lang w:val="pl"/>
          </w:rPr>
          <w:t xml:space="preserve">M. p. Wielkiej Brytanii </w:t>
        </w:r>
      </w:hyperlink>
      <w:r>
        <w:rPr>
          <w:lang w:val="pl"/>
        </w:rPr>
        <w:t xml:space="preserve">oraz </w:t>
      </w:r>
      <w:hyperlink r:id="rId1243" w:history="1">
        <w:r>
          <w:rPr>
            <w:i/>
            <w:iCs/>
            <w:color w:val="0072BC"/>
            <w:lang w:val="pl"/>
          </w:rPr>
          <w:t>Philis p. Grecji</w:t>
        </w:r>
        <w:r>
          <w:rPr>
            <w:lang w:val="pl"/>
          </w:rPr>
          <w:t>,</w:t>
        </w:r>
      </w:hyperlink>
      <w:r>
        <w:rPr>
          <w:lang w:val="pl"/>
        </w:rPr>
        <w:t xml:space="preserve"> w obu sprawach decyzje Komisji). Trybunał nie może zajmować s</w:t>
      </w:r>
      <w:r w:rsidR="00442B28">
        <w:rPr>
          <w:lang w:val="pl"/>
        </w:rPr>
        <w:t>ię kolejnymi nieuzasadnionymi i </w:t>
      </w:r>
      <w:r>
        <w:rPr>
          <w:lang w:val="pl"/>
        </w:rPr>
        <w:t xml:space="preserve">pełnymi żalu zarzutami ani innymi działaniami skarżących lub ich przedstawicieli, które w oczywisty sposób stanowią nadużycie, przysparzając Trybunałowi dodatkowej pracy, będącej nie do pogodzenia z jego rzeczywistymi funkcjami wynikającymi z Konwencji </w:t>
      </w:r>
      <w:hyperlink r:id="rId1244" w:history="1">
        <w:r>
          <w:rPr>
            <w:lang w:val="pl"/>
          </w:rPr>
          <w:t>(</w:t>
        </w:r>
        <w:r>
          <w:rPr>
            <w:i/>
            <w:iCs/>
            <w:color w:val="0072BC"/>
            <w:lang w:val="pl"/>
          </w:rPr>
          <w:t xml:space="preserve">Bekauri p. Gruzji </w:t>
        </w:r>
      </w:hyperlink>
      <w:r w:rsidR="00442B28">
        <w:rPr>
          <w:lang w:val="pl"/>
        </w:rPr>
        <w:t>(zastrzeżenia wstępne), § </w:t>
      </w:r>
      <w:r>
        <w:rPr>
          <w:lang w:val="pl"/>
        </w:rPr>
        <w:t>21; patrz również</w:t>
      </w:r>
      <w:hyperlink r:id="rId1245" w:history="1">
        <w:r>
          <w:rPr>
            <w:i/>
            <w:iCs/>
            <w:lang w:val="pl"/>
          </w:rPr>
          <w:t xml:space="preserve"> </w:t>
        </w:r>
        <w:r>
          <w:rPr>
            <w:i/>
            <w:iCs/>
            <w:color w:val="0072BC"/>
            <w:lang w:val="pl"/>
          </w:rPr>
          <w:t xml:space="preserve">Migliore i Inni p. Włochom </w:t>
        </w:r>
      </w:hyperlink>
      <w:r>
        <w:rPr>
          <w:lang w:val="pl"/>
        </w:rPr>
        <w:t>(dec.) oraz</w:t>
      </w:r>
      <w:hyperlink r:id="rId1246" w:history="1">
        <w:r>
          <w:rPr>
            <w:i/>
            <w:iCs/>
            <w:lang w:val="pl"/>
          </w:rPr>
          <w:t xml:space="preserve"> </w:t>
        </w:r>
        <w:r>
          <w:rPr>
            <w:i/>
            <w:iCs/>
            <w:color w:val="0072BC"/>
            <w:lang w:val="pl"/>
          </w:rPr>
          <w:t>Simitzi-Papachristou i Inni</w:t>
        </w:r>
      </w:hyperlink>
      <w:r>
        <w:rPr>
          <w:i/>
          <w:iCs/>
          <w:color w:val="0072BC"/>
          <w:lang w:val="pl"/>
        </w:rPr>
        <w:t xml:space="preserve"> </w:t>
      </w:r>
      <w:hyperlink r:id="rId1247" w:history="1">
        <w:r>
          <w:rPr>
            <w:i/>
            <w:iCs/>
            <w:color w:val="0072BC"/>
            <w:lang w:val="pl"/>
          </w:rPr>
          <w:t xml:space="preserve">p. Grecji </w:t>
        </w:r>
      </w:hyperlink>
      <w:r>
        <w:rPr>
          <w:lang w:val="pl"/>
        </w:rPr>
        <w:t>(dec.)).</w:t>
      </w:r>
    </w:p>
    <w:p w:rsidR="00B71A20" w:rsidRPr="000625F6" w:rsidRDefault="000425B4" w:rsidP="00115011">
      <w:pPr>
        <w:pStyle w:val="Teksttreci0"/>
        <w:numPr>
          <w:ilvl w:val="0"/>
          <w:numId w:val="57"/>
        </w:numPr>
        <w:tabs>
          <w:tab w:val="left" w:pos="514"/>
        </w:tabs>
        <w:jc w:val="both"/>
        <w:rPr>
          <w:lang w:val="pl-PL"/>
        </w:rPr>
      </w:pPr>
      <w:r>
        <w:rPr>
          <w:lang w:val="pl"/>
        </w:rPr>
        <w:t xml:space="preserve">Trybunał orzekł o nadużyciu prawa do skargi przez skarżącego, który na swojej stronie internetowej i w witrynie YouTube publikował apele do odwiedzających, aby wspólnie z nim złożyli zbiorową skargę do Trybunału, a także składali liczne skargi z wykorzystaniem generowanego automatycznie standardowego formularza skargi. W rezultacie tą metodą wniesiono do Trybunału niemal 18 000 skarg. Jednoznacznie wskazanym celem, jaki zamierzano w ten sposób osiągnąć, nie było wygranie poszczególny spraw, ale wręcz przeciwnie, doprowadzenie do „zatoru, nadmiernego obciążenia pracą i zaległości” w Trybunale, „sparaliżowanie jego działalności”, „uzyskanie przewagi”, aby móc „negocjować” z Trybunałem, zagrażając jego pracy, oraz „wykolejenie systemu”, w którym Trybunał był „ogniwem w łańcuchu”. To podejście, zmierzające do podważenia systemu konwencyjnego i funkcjonowania Trybunału, stało w jawnej sprzeczności z celem prawa do skargi indywidualnej, duchem Konwencji oraz zamierzeniami, jakie jej przyświecają </w:t>
      </w:r>
      <w:hyperlink r:id="rId1248" w:history="1">
        <w:r>
          <w:rPr>
            <w:lang w:val="pl"/>
          </w:rPr>
          <w:t>(</w:t>
        </w:r>
        <w:r>
          <w:rPr>
            <w:i/>
            <w:iCs/>
            <w:color w:val="0072BC"/>
            <w:lang w:val="pl"/>
          </w:rPr>
          <w:t>Zambrano p. Francji</w:t>
        </w:r>
      </w:hyperlink>
      <w:r>
        <w:rPr>
          <w:i/>
          <w:iCs/>
          <w:color w:val="0072BC"/>
          <w:lang w:val="pl"/>
        </w:rPr>
        <w:t xml:space="preserve"> </w:t>
      </w:r>
      <w:r>
        <w:rPr>
          <w:lang w:val="pl"/>
        </w:rPr>
        <w:t>(dec.), §§ 35-38).</w:t>
      </w:r>
    </w:p>
    <w:p w:rsidR="00B71A20" w:rsidRPr="000625F6" w:rsidRDefault="000425B4" w:rsidP="00115011">
      <w:pPr>
        <w:pStyle w:val="Teksttreci0"/>
        <w:numPr>
          <w:ilvl w:val="0"/>
          <w:numId w:val="57"/>
        </w:numPr>
        <w:tabs>
          <w:tab w:val="left" w:pos="505"/>
        </w:tabs>
        <w:spacing w:after="220"/>
        <w:jc w:val="both"/>
        <w:rPr>
          <w:lang w:val="pl-PL"/>
        </w:rPr>
      </w:pPr>
      <w:bookmarkStart w:id="213" w:name="bookmark217"/>
      <w:r>
        <w:rPr>
          <w:lang w:val="pl"/>
        </w:rPr>
        <w:t>Trybunał może również stwierdzić, że doszło do nadużycia pra</w:t>
      </w:r>
      <w:r w:rsidR="00442B28">
        <w:rPr>
          <w:lang w:val="pl"/>
        </w:rPr>
        <w:t>wa do skargi, gdy skarga jest w </w:t>
      </w:r>
      <w:r>
        <w:rPr>
          <w:lang w:val="pl"/>
        </w:rPr>
        <w:t xml:space="preserve">sposób oczywisty pozbawiona rzeczywistego celu, dotyczy drobnej sumy pieniędzy lub, ogólnie rzecz biorąc, nie ma związku z obiektywnymi uprawnionymi interesami skarżącego </w:t>
      </w:r>
      <w:hyperlink r:id="rId1249" w:history="1">
        <w:r>
          <w:rPr>
            <w:lang w:val="pl"/>
          </w:rPr>
          <w:t>(</w:t>
        </w:r>
        <w:r>
          <w:rPr>
            <w:i/>
            <w:iCs/>
            <w:color w:val="0072BC"/>
            <w:lang w:val="pl"/>
          </w:rPr>
          <w:t>Simitzi-Papachristou i</w:t>
        </w:r>
      </w:hyperlink>
      <w:r w:rsidR="00442B28">
        <w:rPr>
          <w:i/>
          <w:iCs/>
          <w:color w:val="0072BC"/>
          <w:lang w:val="pl"/>
        </w:rPr>
        <w:t> </w:t>
      </w:r>
      <w:hyperlink r:id="rId1250" w:history="1">
        <w:r>
          <w:rPr>
            <w:i/>
            <w:iCs/>
            <w:color w:val="0072BC"/>
            <w:lang w:val="pl"/>
          </w:rPr>
          <w:t>Inni p. Grecji</w:t>
        </w:r>
        <w:r>
          <w:rPr>
            <w:color w:val="0072BC"/>
            <w:lang w:val="pl"/>
          </w:rPr>
          <w:t xml:space="preserve"> </w:t>
        </w:r>
      </w:hyperlink>
      <w:r>
        <w:rPr>
          <w:lang w:val="pl"/>
        </w:rPr>
        <w:t>(dec.);</w:t>
      </w:r>
      <w:hyperlink r:id="rId1251" w:history="1">
        <w:r>
          <w:rPr>
            <w:lang w:val="pl"/>
          </w:rPr>
          <w:t xml:space="preserve"> </w:t>
        </w:r>
        <w:r>
          <w:rPr>
            <w:i/>
            <w:iCs/>
            <w:color w:val="0072BC"/>
            <w:lang w:val="pl"/>
          </w:rPr>
          <w:t>Bock p. Niemcom</w:t>
        </w:r>
        <w:r>
          <w:rPr>
            <w:color w:val="0072BC"/>
            <w:lang w:val="pl"/>
          </w:rPr>
          <w:t xml:space="preserve"> </w:t>
        </w:r>
      </w:hyperlink>
      <w:r>
        <w:rPr>
          <w:lang w:val="pl"/>
        </w:rPr>
        <w:t>(dec.), w porównaniu z</w:t>
      </w:r>
      <w:hyperlink r:id="rId1252" w:history="1">
        <w:r>
          <w:rPr>
            <w:lang w:val="pl"/>
          </w:rPr>
          <w:t xml:space="preserve"> </w:t>
        </w:r>
        <w:r>
          <w:rPr>
            <w:i/>
            <w:iCs/>
            <w:color w:val="0072BC"/>
            <w:lang w:val="pl"/>
          </w:rPr>
          <w:t>S.A.S. p. Francji</w:t>
        </w:r>
        <w:r>
          <w:rPr>
            <w:color w:val="0072BC"/>
            <w:lang w:val="pl"/>
          </w:rPr>
          <w:t xml:space="preserve"> </w:t>
        </w:r>
      </w:hyperlink>
      <w:r>
        <w:rPr>
          <w:lang w:val="pl"/>
        </w:rPr>
        <w:t>[WI], §§ 62 i 68). Od wejścia w życie w dniu 1 czerwca 2010 r. Protokołu nr 14 tego rodzaju skargi są rozpatrywane szybciej na podstawie art. 35 ust. 3 lit. b Konwencji (brak znaczącego uszczerbku).</w:t>
      </w:r>
      <w:bookmarkEnd w:id="213"/>
    </w:p>
    <w:p w:rsidR="00B71A20" w:rsidRDefault="008C55C0" w:rsidP="008C55C0">
      <w:pPr>
        <w:pStyle w:val="Nagwek31"/>
        <w:keepNext/>
        <w:keepLines/>
        <w:tabs>
          <w:tab w:val="left" w:pos="341"/>
        </w:tabs>
        <w:spacing w:after="100"/>
        <w:jc w:val="both"/>
      </w:pPr>
      <w:bookmarkStart w:id="214" w:name="_Toc126335666"/>
      <w:bookmarkStart w:id="215" w:name="_Toc126660625"/>
      <w:r>
        <w:rPr>
          <w:lang w:val="pl"/>
        </w:rPr>
        <w:t xml:space="preserve">6.  </w:t>
      </w:r>
      <w:r w:rsidR="000425B4">
        <w:rPr>
          <w:lang w:val="pl"/>
        </w:rPr>
        <w:t>Inne przypadki</w:t>
      </w:r>
      <w:bookmarkEnd w:id="214"/>
      <w:bookmarkEnd w:id="215"/>
    </w:p>
    <w:p w:rsidR="00B71A20" w:rsidRPr="000625F6" w:rsidRDefault="000425B4" w:rsidP="00115011">
      <w:pPr>
        <w:pStyle w:val="Teksttreci0"/>
        <w:numPr>
          <w:ilvl w:val="0"/>
          <w:numId w:val="57"/>
        </w:numPr>
        <w:tabs>
          <w:tab w:val="left" w:pos="514"/>
        </w:tabs>
        <w:spacing w:after="120"/>
        <w:jc w:val="both"/>
        <w:rPr>
          <w:lang w:val="pl-PL"/>
        </w:rPr>
      </w:pPr>
      <w:r>
        <w:rPr>
          <w:lang w:val="pl"/>
        </w:rPr>
        <w:t>Bywa, że orzeczenia Trybunału oraz toczące się przed nim sprawy są w układających się państwach wykorzystywane do celów politycznych na szczeblu krajowym. Skarga motywowana chęcią zyskania rozgłosu lub dla celów propagandowych nie stanowi naduży</w:t>
      </w:r>
      <w:r w:rsidR="00F22418">
        <w:rPr>
          <w:lang w:val="pl"/>
        </w:rPr>
        <w:t>cia prawa do skargi wyłącznie z </w:t>
      </w:r>
      <w:r>
        <w:rPr>
          <w:lang w:val="pl"/>
        </w:rPr>
        <w:t xml:space="preserve">tego powodu </w:t>
      </w:r>
      <w:hyperlink r:id="rId1253" w:history="1">
        <w:r>
          <w:rPr>
            <w:lang w:val="pl"/>
          </w:rPr>
          <w:t>(</w:t>
        </w:r>
        <w:r>
          <w:rPr>
            <w:i/>
            <w:iCs/>
            <w:color w:val="0072BC"/>
            <w:lang w:val="pl"/>
          </w:rPr>
          <w:t>McFeeley i Inni p. Wielkiej Brytanii</w:t>
        </w:r>
        <w:r>
          <w:rPr>
            <w:lang w:val="pl"/>
          </w:rPr>
          <w:t>,</w:t>
        </w:r>
      </w:hyperlink>
      <w:r>
        <w:rPr>
          <w:lang w:val="pl"/>
        </w:rPr>
        <w:t xml:space="preserve"> decyzja Komisji, a także </w:t>
      </w:r>
      <w:hyperlink r:id="rId1254" w:history="1">
        <w:r>
          <w:rPr>
            <w:i/>
            <w:iCs/>
            <w:color w:val="0072BC"/>
            <w:lang w:val="pl"/>
          </w:rPr>
          <w:t>Khadzhialiyev i Inni p. Rosji</w:t>
        </w:r>
        <w:r>
          <w:rPr>
            <w:lang w:val="pl"/>
          </w:rPr>
          <w:t>,</w:t>
        </w:r>
      </w:hyperlink>
      <w:r>
        <w:rPr>
          <w:lang w:val="pl"/>
        </w:rPr>
        <w:t xml:space="preserve"> §§ 66-67). Jednak nadużycie może mieć miejsce, jeżeli skarżący, kierując się interesami politycznymi, udziela wywiadów w prasie i telewizji, w których wykazuje nieodpowiedzialne i niepoważne podejście do postępowania toczącego się przed Trybunałem </w:t>
      </w:r>
      <w:hyperlink r:id="rId1255" w:history="1">
        <w:r>
          <w:rPr>
            <w:lang w:val="pl"/>
          </w:rPr>
          <w:t>(</w:t>
        </w:r>
        <w:r>
          <w:rPr>
            <w:i/>
            <w:iCs/>
            <w:color w:val="0072BC"/>
            <w:lang w:val="pl"/>
          </w:rPr>
          <w:t>Georgian Labour Party p. Gruzji</w:t>
        </w:r>
        <w:r>
          <w:rPr>
            <w:lang w:val="pl"/>
          </w:rPr>
          <w:t>)</w:t>
        </w:r>
      </w:hyperlink>
      <w:r>
        <w:rPr>
          <w:lang w:val="pl"/>
        </w:rPr>
        <w:t>. Rozpowszechnianie fałszywych informacji w prasie w sposób mogący</w:t>
      </w:r>
      <w:r w:rsidR="00F22418">
        <w:rPr>
          <w:lang w:val="pl"/>
        </w:rPr>
        <w:t xml:space="preserve"> wynikać z błędu popełnionego w </w:t>
      </w:r>
      <w:r>
        <w:rPr>
          <w:lang w:val="pl"/>
        </w:rPr>
        <w:t xml:space="preserve">dobrej wierze nie zostało uznane za nadużycie prawa do skargi </w:t>
      </w:r>
      <w:hyperlink r:id="rId1256" w:history="1">
        <w:r>
          <w:rPr>
            <w:lang w:val="pl"/>
          </w:rPr>
          <w:t>(</w:t>
        </w:r>
        <w:r>
          <w:rPr>
            <w:i/>
            <w:iCs/>
            <w:color w:val="0072BC"/>
            <w:lang w:val="pl"/>
          </w:rPr>
          <w:t>Podeschi p. San Marino</w:t>
        </w:r>
        <w:r>
          <w:rPr>
            <w:lang w:val="pl"/>
          </w:rPr>
          <w:t>,</w:t>
        </w:r>
      </w:hyperlink>
      <w:r>
        <w:rPr>
          <w:lang w:val="pl"/>
        </w:rPr>
        <w:t xml:space="preserve"> § 88, w której to sprawie skarżący lub jego przedstawiciele błędnie przyjęli w publicznym oświadczeniu, że skarga została uznana przez Trybunał za dopuszczalną).</w:t>
      </w:r>
    </w:p>
    <w:p w:rsidR="00B71A20" w:rsidRPr="000625F6" w:rsidRDefault="000425B4" w:rsidP="00115011">
      <w:pPr>
        <w:pStyle w:val="Teksttreci0"/>
        <w:numPr>
          <w:ilvl w:val="0"/>
          <w:numId w:val="57"/>
        </w:numPr>
        <w:tabs>
          <w:tab w:val="left" w:pos="510"/>
        </w:tabs>
        <w:spacing w:after="220"/>
        <w:jc w:val="both"/>
        <w:rPr>
          <w:lang w:val="pl-PL"/>
        </w:rPr>
      </w:pPr>
      <w:bookmarkStart w:id="216" w:name="bookmark220"/>
      <w:r>
        <w:rPr>
          <w:lang w:val="pl"/>
        </w:rPr>
        <w:t xml:space="preserve">Trybunał uznał, że doszło do nadużycia prawa do skargi indywidualnej, gdy skarżący powołał się przed Trybunałem na art. 8 na podstawie dowodów uzyskanych z naruszeniem praw konwencyjnych innych osób. Dążąc do udowodnienia, że nie był ojcem dziecka, skarżący z użyciem przymusu, bez zgody, pozyskał próbki DNA i w rezultacie został skazany za naruszenie nietykalności cielesnej byłej żony </w:t>
      </w:r>
      <w:hyperlink r:id="rId1257" w:history="1">
        <w:r>
          <w:rPr>
            <w:lang w:val="pl"/>
          </w:rPr>
          <w:t>(</w:t>
        </w:r>
        <w:r>
          <w:rPr>
            <w:i/>
            <w:iCs/>
            <w:color w:val="0072BC"/>
            <w:lang w:val="pl"/>
          </w:rPr>
          <w:t xml:space="preserve">Koch p. Polsce </w:t>
        </w:r>
      </w:hyperlink>
      <w:r>
        <w:rPr>
          <w:lang w:val="pl"/>
        </w:rPr>
        <w:t>(dec.), §§ 31</w:t>
      </w:r>
      <w:r>
        <w:rPr>
          <w:lang w:val="pl"/>
        </w:rPr>
        <w:noBreakHyphen/>
        <w:t>34).</w:t>
      </w:r>
      <w:bookmarkEnd w:id="216"/>
    </w:p>
    <w:p w:rsidR="00B71A20" w:rsidRPr="000625F6" w:rsidRDefault="008C55C0" w:rsidP="008C55C0">
      <w:pPr>
        <w:pStyle w:val="Nagwek31"/>
        <w:keepNext/>
        <w:keepLines/>
        <w:tabs>
          <w:tab w:val="left" w:pos="426"/>
        </w:tabs>
        <w:spacing w:after="120"/>
        <w:jc w:val="both"/>
        <w:rPr>
          <w:lang w:val="pl-PL"/>
        </w:rPr>
      </w:pPr>
      <w:bookmarkStart w:id="217" w:name="_Toc126335667"/>
      <w:bookmarkStart w:id="218" w:name="_Toc126660626"/>
      <w:r>
        <w:rPr>
          <w:lang w:val="pl"/>
        </w:rPr>
        <w:lastRenderedPageBreak/>
        <w:t xml:space="preserve">7.  </w:t>
      </w:r>
      <w:r w:rsidR="000425B4">
        <w:rPr>
          <w:lang w:val="pl"/>
        </w:rPr>
        <w:t>Podejście, jakie powinien przyjąć pozwany rząd</w:t>
      </w:r>
      <w:bookmarkEnd w:id="217"/>
      <w:bookmarkEnd w:id="218"/>
    </w:p>
    <w:p w:rsidR="00B71A20" w:rsidRPr="000625F6" w:rsidRDefault="000425B4" w:rsidP="00115011">
      <w:pPr>
        <w:pStyle w:val="Teksttreci0"/>
        <w:numPr>
          <w:ilvl w:val="0"/>
          <w:numId w:val="57"/>
        </w:numPr>
        <w:tabs>
          <w:tab w:val="left" w:pos="510"/>
        </w:tabs>
        <w:spacing w:after="120"/>
        <w:jc w:val="both"/>
        <w:rPr>
          <w:lang w:val="pl-PL"/>
        </w:rPr>
      </w:pPr>
      <w:r>
        <w:rPr>
          <w:lang w:val="pl"/>
        </w:rPr>
        <w:t>Jeśli pozwany rząd uważa, że skarżący nadużył prawa do skargi, musi odpowiednio poinformować o tym Trybunał i zwrócić jego uwagę na istotne informacje, którymi dysponuje, tak aby umożliwić Trybunałowi wyciągnięcie odpowiednich wniosków. To do samego Trybunału, a nie do pozwanego rządu należy monitorowanie zgodności z proceduralnymi zobowiązaniami nałożonymi na skarżącego przez Konwencję i Regulamin Trybunału. Jednak groźby ze strony rządu i jego organów dotyczące wszczęcia postępowania karnego lub dyscyplinarnego p</w:t>
      </w:r>
      <w:r w:rsidR="00442B28">
        <w:rPr>
          <w:lang w:val="pl"/>
        </w:rPr>
        <w:t>rzeciwko skarżącemu w związku z </w:t>
      </w:r>
      <w:r>
        <w:rPr>
          <w:lang w:val="pl"/>
        </w:rPr>
        <w:t xml:space="preserve">domniemanym naruszeniem jego obowiązków proceduralnych przed Trybunałem mogą stanowić problem w rozumieniu art. 34 </w:t>
      </w:r>
      <w:r>
        <w:rPr>
          <w:i/>
          <w:iCs/>
          <w:lang w:val="pl"/>
        </w:rPr>
        <w:t>in fine</w:t>
      </w:r>
      <w:r>
        <w:rPr>
          <w:lang w:val="pl"/>
        </w:rPr>
        <w:t xml:space="preserve"> Konwencji, który zakazuje jakiejkolwiek ingerencji w skuteczne wykonanie prawa do wniesienia skargi indywidualnej </w:t>
      </w:r>
      <w:hyperlink r:id="rId1258" w:history="1">
        <w:r>
          <w:rPr>
            <w:lang w:val="pl"/>
          </w:rPr>
          <w:t>(</w:t>
        </w:r>
        <w:r>
          <w:rPr>
            <w:i/>
            <w:iCs/>
            <w:color w:val="0072BC"/>
            <w:lang w:val="pl"/>
          </w:rPr>
          <w:t>Miroļubovs i Inni p. Łotwie</w:t>
        </w:r>
        <w:r>
          <w:rPr>
            <w:lang w:val="pl"/>
          </w:rPr>
          <w:t>,</w:t>
        </w:r>
      </w:hyperlink>
      <w:r>
        <w:rPr>
          <w:lang w:val="pl"/>
        </w:rPr>
        <w:t xml:space="preserve"> § 70).</w:t>
      </w:r>
    </w:p>
    <w:p w:rsidR="00B71A20" w:rsidRPr="000B65C4" w:rsidRDefault="000425B4" w:rsidP="00115011">
      <w:pPr>
        <w:pStyle w:val="Teksttreci0"/>
        <w:numPr>
          <w:ilvl w:val="0"/>
          <w:numId w:val="57"/>
        </w:numPr>
        <w:tabs>
          <w:tab w:val="left" w:pos="505"/>
        </w:tabs>
        <w:spacing w:after="120"/>
        <w:jc w:val="both"/>
        <w:rPr>
          <w:lang w:val="pl-PL"/>
        </w:rPr>
      </w:pPr>
      <w:r>
        <w:rPr>
          <w:lang w:val="pl"/>
        </w:rPr>
        <w:t xml:space="preserve">Nawet jeśli rząd nie twierdzi, że zachowanie skarżących stanowiło nadużycie prawa do skargi indywidualnej, kwestię ewentualnego nadużycia może podnieść Trybunał </w:t>
      </w:r>
      <w:r>
        <w:rPr>
          <w:i/>
          <w:iCs/>
          <w:lang w:val="pl"/>
        </w:rPr>
        <w:t xml:space="preserve">proprio motu </w:t>
      </w:r>
      <w:hyperlink r:id="rId1259" w:history="1">
        <w:r>
          <w:rPr>
            <w:lang w:val="pl"/>
          </w:rPr>
          <w:t>(</w:t>
        </w:r>
        <w:r w:rsidR="00442B28">
          <w:rPr>
            <w:i/>
            <w:iCs/>
            <w:color w:val="0072BC"/>
            <w:lang w:val="pl"/>
          </w:rPr>
          <w:t>Gevorgyan i </w:t>
        </w:r>
        <w:r>
          <w:rPr>
            <w:i/>
            <w:iCs/>
            <w:color w:val="0072BC"/>
            <w:lang w:val="pl"/>
          </w:rPr>
          <w:t xml:space="preserve">Inni p. Armenii </w:t>
        </w:r>
      </w:hyperlink>
      <w:r>
        <w:rPr>
          <w:lang w:val="pl"/>
        </w:rPr>
        <w:t>(dec.), § 32;</w:t>
      </w:r>
      <w:hyperlink r:id="rId1260" w:history="1">
        <w:r>
          <w:rPr>
            <w:i/>
            <w:iCs/>
            <w:lang w:val="pl"/>
          </w:rPr>
          <w:t xml:space="preserve"> </w:t>
        </w:r>
        <w:r>
          <w:rPr>
            <w:i/>
            <w:iCs/>
            <w:color w:val="0072BC"/>
            <w:lang w:val="pl"/>
          </w:rPr>
          <w:t>Dimo Dimov i Inni p. Bułgarii</w:t>
        </w:r>
        <w:r>
          <w:rPr>
            <w:lang w:val="pl"/>
          </w:rPr>
          <w:t xml:space="preserve">, </w:t>
        </w:r>
      </w:hyperlink>
      <w:r>
        <w:rPr>
          <w:lang w:val="pl"/>
        </w:rPr>
        <w:t>§ 41).</w:t>
      </w:r>
      <w:r w:rsidR="000B65C4">
        <w:rPr>
          <w:lang w:val="pl"/>
        </w:rPr>
        <w:br/>
      </w:r>
    </w:p>
    <w:p w:rsidR="00B71A20" w:rsidRPr="000625F6" w:rsidRDefault="009A3E9F" w:rsidP="009A3E9F">
      <w:pPr>
        <w:pStyle w:val="Nagwek11"/>
        <w:keepNext/>
        <w:keepLines/>
        <w:tabs>
          <w:tab w:val="left" w:pos="465"/>
        </w:tabs>
        <w:spacing w:after="207"/>
        <w:ind w:left="426" w:hanging="426"/>
        <w:rPr>
          <w:lang w:val="pl-PL"/>
        </w:rPr>
      </w:pPr>
      <w:bookmarkStart w:id="219" w:name="bookmark223"/>
      <w:bookmarkStart w:id="220" w:name="_Toc126335668"/>
      <w:bookmarkStart w:id="221" w:name="_Toc126660627"/>
      <w:r>
        <w:rPr>
          <w:lang w:val="pl-PL"/>
        </w:rPr>
        <w:t xml:space="preserve">II.  </w:t>
      </w:r>
      <w:r w:rsidR="000425B4">
        <w:rPr>
          <w:lang w:val="pl"/>
        </w:rPr>
        <w:t>Podstawy niedopuszczalności odnoszące się do właściwości Trybunału</w:t>
      </w:r>
      <w:bookmarkEnd w:id="219"/>
      <w:bookmarkEnd w:id="220"/>
      <w:bookmarkEnd w:id="221"/>
    </w:p>
    <w:tbl>
      <w:tblPr>
        <w:tblStyle w:val="Tabela-Siatka"/>
        <w:tblW w:w="0" w:type="auto"/>
        <w:shd w:val="clear" w:color="auto" w:fill="FAFAFA"/>
        <w:tblLook w:val="04A0" w:firstRow="1" w:lastRow="0" w:firstColumn="1" w:lastColumn="0" w:noHBand="0" w:noVBand="1"/>
      </w:tblPr>
      <w:tblGrid>
        <w:gridCol w:w="9096"/>
      </w:tblGrid>
      <w:tr w:rsidR="008C55C0" w:rsidRPr="00C31F37" w:rsidTr="0024595F">
        <w:trPr>
          <w:trHeight w:val="2512"/>
        </w:trPr>
        <w:tc>
          <w:tcPr>
            <w:tcW w:w="9096" w:type="dxa"/>
            <w:tcBorders>
              <w:bottom w:val="single" w:sz="4" w:space="0" w:color="auto"/>
            </w:tcBorders>
            <w:shd w:val="clear" w:color="auto" w:fill="FAFAFA"/>
          </w:tcPr>
          <w:p w:rsidR="008C55C0" w:rsidRPr="008C55C0" w:rsidRDefault="008C55C0" w:rsidP="008C55C0">
            <w:pPr>
              <w:pStyle w:val="Teksttreci0"/>
              <w:spacing w:before="120"/>
              <w:rPr>
                <w:b/>
                <w:bCs/>
                <w:color w:val="00548C"/>
                <w:lang w:val="pl"/>
              </w:rPr>
            </w:pPr>
            <w:r w:rsidRPr="008C55C0">
              <w:rPr>
                <w:b/>
                <w:bCs/>
                <w:color w:val="00548C"/>
                <w:lang w:val="pl"/>
              </w:rPr>
              <w:t>Artykuł 35 ust. 3 lit. a Konwencji – Wymogi dopuszczalności</w:t>
            </w:r>
          </w:p>
          <w:p w:rsidR="008C55C0" w:rsidRPr="008C55C0" w:rsidRDefault="008C55C0" w:rsidP="00F22418">
            <w:pPr>
              <w:pStyle w:val="Teksttreci0"/>
              <w:ind w:left="596"/>
              <w:jc w:val="both"/>
              <w:rPr>
                <w:b/>
                <w:bCs/>
                <w:color w:val="00548C"/>
                <w:lang w:val="pl"/>
              </w:rPr>
            </w:pPr>
            <w:r w:rsidRPr="008C55C0">
              <w:rPr>
                <w:color w:val="262626"/>
                <w:sz w:val="20"/>
                <w:szCs w:val="20"/>
                <w:lang w:val="pl"/>
              </w:rPr>
              <w:t>„3. Trybunał uznaje za niedopuszczalną każdą skargę indywidualną wniesioną w trybie artykułu 34, jeśli uważa, że:</w:t>
            </w:r>
          </w:p>
          <w:p w:rsidR="008C55C0" w:rsidRPr="008C55C0" w:rsidRDefault="008C55C0" w:rsidP="008C55C0">
            <w:pPr>
              <w:pStyle w:val="Teksttreci0"/>
              <w:ind w:left="596"/>
              <w:rPr>
                <w:b/>
                <w:bCs/>
                <w:color w:val="00548C"/>
                <w:lang w:val="pl"/>
              </w:rPr>
            </w:pPr>
            <w:r w:rsidRPr="008C55C0">
              <w:rPr>
                <w:color w:val="262626"/>
                <w:sz w:val="20"/>
                <w:szCs w:val="20"/>
                <w:lang w:val="pl"/>
              </w:rPr>
              <w:t>a) skarga nie daje się pogodzić z postanowieniami niniejszej konwencji lub jej protokołów (...);”</w:t>
            </w:r>
          </w:p>
          <w:p w:rsidR="008C55C0" w:rsidRPr="008C55C0" w:rsidRDefault="008C55C0" w:rsidP="00BF5DF2">
            <w:pPr>
              <w:pStyle w:val="Teksttreci0"/>
              <w:rPr>
                <w:b/>
                <w:bCs/>
                <w:color w:val="00548C"/>
                <w:lang w:val="pl"/>
              </w:rPr>
            </w:pPr>
            <w:r w:rsidRPr="008C55C0">
              <w:rPr>
                <w:b/>
                <w:bCs/>
                <w:color w:val="00548C"/>
                <w:lang w:val="pl"/>
              </w:rPr>
              <w:t>Artykuł 32 Konwencji – Jurysdykcja Trybunału</w:t>
            </w:r>
          </w:p>
          <w:p w:rsidR="008C55C0" w:rsidRPr="008C55C0" w:rsidRDefault="008C55C0" w:rsidP="00F22418">
            <w:pPr>
              <w:pStyle w:val="Teksttreci0"/>
              <w:ind w:left="596"/>
              <w:jc w:val="both"/>
              <w:rPr>
                <w:b/>
                <w:bCs/>
                <w:color w:val="00548C"/>
                <w:lang w:val="pl"/>
              </w:rPr>
            </w:pPr>
            <w:r w:rsidRPr="008C55C0">
              <w:rPr>
                <w:color w:val="262626"/>
                <w:sz w:val="20"/>
                <w:szCs w:val="20"/>
                <w:lang w:val="pl"/>
              </w:rPr>
              <w:t>„1. Trybunał jest właściwy do rozpoznania wszystkich spraw dotyczących interpretacji i stosowania niniejszej konwencji i jej protokołów, które zostaną mu przedłożone na podstawie artykułów 33, 34, 46 i 47.</w:t>
            </w:r>
          </w:p>
          <w:p w:rsidR="008C55C0" w:rsidRPr="008C55C0" w:rsidRDefault="008C55C0" w:rsidP="008C55C0">
            <w:pPr>
              <w:pStyle w:val="Teksttreci0"/>
              <w:spacing w:after="120"/>
              <w:ind w:left="595"/>
              <w:jc w:val="both"/>
              <w:rPr>
                <w:lang w:val="pl-PL"/>
              </w:rPr>
            </w:pPr>
            <w:r w:rsidRPr="008C55C0">
              <w:rPr>
                <w:color w:val="262626"/>
                <w:sz w:val="20"/>
                <w:szCs w:val="20"/>
                <w:lang w:val="pl"/>
              </w:rPr>
              <w:t>2. Spór dotyczący właściwości Trybunału rozstrzyga sam Trybunał.”</w:t>
            </w:r>
          </w:p>
        </w:tc>
      </w:tr>
      <w:tr w:rsidR="008C55C0" w:rsidRPr="00C31F37" w:rsidTr="0024595F">
        <w:trPr>
          <w:trHeight w:val="1300"/>
        </w:trPr>
        <w:tc>
          <w:tcPr>
            <w:tcW w:w="9096" w:type="dxa"/>
            <w:tcBorders>
              <w:bottom w:val="single" w:sz="4" w:space="0" w:color="auto"/>
            </w:tcBorders>
            <w:shd w:val="clear" w:color="auto" w:fill="FAFAFA"/>
          </w:tcPr>
          <w:p w:rsidR="008C55C0" w:rsidRPr="008C55C0" w:rsidRDefault="008C55C0" w:rsidP="008C55C0">
            <w:pPr>
              <w:pStyle w:val="Teksttreci0"/>
              <w:spacing w:before="120"/>
              <w:rPr>
                <w:b/>
                <w:bCs/>
                <w:color w:val="00548C"/>
                <w:lang w:val="pl"/>
              </w:rPr>
            </w:pPr>
            <w:r w:rsidRPr="008C55C0">
              <w:rPr>
                <w:b/>
                <w:bCs/>
                <w:color w:val="00548C"/>
                <w:lang w:val="pl"/>
              </w:rPr>
              <w:t>Słowa klucze w bazie HUDOC</w:t>
            </w:r>
          </w:p>
          <w:p w:rsidR="008C55C0" w:rsidRPr="008C55C0" w:rsidRDefault="008C55C0" w:rsidP="008C55C0">
            <w:pPr>
              <w:pStyle w:val="Teksttreci0"/>
              <w:spacing w:after="240"/>
              <w:ind w:left="595"/>
              <w:jc w:val="both"/>
              <w:rPr>
                <w:lang w:val="pl-PL"/>
              </w:rPr>
            </w:pPr>
            <w:r w:rsidRPr="008C55C0">
              <w:rPr>
                <w:i/>
                <w:iCs/>
                <w:color w:val="262626"/>
                <w:sz w:val="20"/>
                <w:szCs w:val="20"/>
                <w:lang w:val="pl"/>
              </w:rPr>
              <w:t>Ratione personae</w:t>
            </w:r>
            <w:r w:rsidRPr="008C55C0">
              <w:rPr>
                <w:color w:val="262626"/>
                <w:sz w:val="20"/>
                <w:szCs w:val="20"/>
                <w:lang w:val="pl"/>
              </w:rPr>
              <w:t xml:space="preserve"> (35-3-a) – </w:t>
            </w:r>
            <w:r w:rsidRPr="008C55C0">
              <w:rPr>
                <w:i/>
                <w:iCs/>
                <w:color w:val="262626"/>
                <w:sz w:val="20"/>
                <w:szCs w:val="20"/>
                <w:lang w:val="pl"/>
              </w:rPr>
              <w:t>ratione loci</w:t>
            </w:r>
            <w:r w:rsidRPr="008C55C0">
              <w:rPr>
                <w:color w:val="262626"/>
                <w:sz w:val="20"/>
                <w:szCs w:val="20"/>
                <w:lang w:val="pl"/>
              </w:rPr>
              <w:t xml:space="preserve"> (35-3-a) – </w:t>
            </w:r>
            <w:r w:rsidRPr="008C55C0">
              <w:rPr>
                <w:i/>
                <w:iCs/>
                <w:color w:val="262626"/>
                <w:sz w:val="20"/>
                <w:szCs w:val="20"/>
                <w:lang w:val="pl"/>
              </w:rPr>
              <w:t>ratione temporis</w:t>
            </w:r>
            <w:r w:rsidRPr="008C55C0">
              <w:rPr>
                <w:color w:val="262626"/>
                <w:sz w:val="20"/>
                <w:szCs w:val="20"/>
                <w:lang w:val="pl"/>
              </w:rPr>
              <w:t xml:space="preserve"> (35-3-a) – sytuacja utrzymująca się (35-3-a) – </w:t>
            </w:r>
            <w:r w:rsidRPr="008C55C0">
              <w:rPr>
                <w:i/>
                <w:iCs/>
                <w:color w:val="262626"/>
                <w:sz w:val="20"/>
                <w:szCs w:val="20"/>
                <w:lang w:val="pl"/>
              </w:rPr>
              <w:t>ratione materiae</w:t>
            </w:r>
            <w:r w:rsidRPr="008C55C0">
              <w:rPr>
                <w:color w:val="262626"/>
                <w:sz w:val="20"/>
                <w:szCs w:val="20"/>
                <w:lang w:val="pl"/>
              </w:rPr>
              <w:t xml:space="preserve"> (35-3-a)</w:t>
            </w:r>
          </w:p>
        </w:tc>
      </w:tr>
    </w:tbl>
    <w:p w:rsidR="00B71A20" w:rsidRDefault="000425B4" w:rsidP="008C55C0">
      <w:pPr>
        <w:pStyle w:val="Nagwek21"/>
        <w:keepNext/>
        <w:keepLines/>
        <w:spacing w:before="240" w:after="240"/>
      </w:pPr>
      <w:bookmarkStart w:id="222" w:name="bookmark227"/>
      <w:bookmarkStart w:id="223" w:name="bookmark226"/>
      <w:bookmarkStart w:id="224" w:name="_Toc126335669"/>
      <w:bookmarkStart w:id="225" w:name="_Toc126660628"/>
      <w:r>
        <w:rPr>
          <w:lang w:val="pl"/>
        </w:rPr>
        <w:t xml:space="preserve">A. Niezgodność </w:t>
      </w:r>
      <w:r>
        <w:rPr>
          <w:i/>
          <w:iCs/>
          <w:lang w:val="pl"/>
        </w:rPr>
        <w:t>ratione personae</w:t>
      </w:r>
      <w:bookmarkEnd w:id="222"/>
      <w:bookmarkEnd w:id="223"/>
      <w:bookmarkEnd w:id="224"/>
      <w:bookmarkEnd w:id="225"/>
    </w:p>
    <w:p w:rsidR="00B71A20" w:rsidRDefault="00EB2DEB" w:rsidP="00EB2DEB">
      <w:pPr>
        <w:pStyle w:val="Nagwek31"/>
        <w:keepNext/>
        <w:keepLines/>
        <w:tabs>
          <w:tab w:val="left" w:pos="465"/>
        </w:tabs>
        <w:spacing w:after="100"/>
      </w:pPr>
      <w:bookmarkStart w:id="226" w:name="_Toc126335670"/>
      <w:bookmarkStart w:id="227" w:name="_Toc126660629"/>
      <w:r>
        <w:rPr>
          <w:lang w:val="pl"/>
        </w:rPr>
        <w:t xml:space="preserve">1.  </w:t>
      </w:r>
      <w:r w:rsidR="000425B4">
        <w:rPr>
          <w:lang w:val="pl"/>
        </w:rPr>
        <w:t>Zasady</w:t>
      </w:r>
      <w:bookmarkEnd w:id="226"/>
      <w:bookmarkEnd w:id="227"/>
    </w:p>
    <w:p w:rsidR="00B71A20" w:rsidRPr="000625F6" w:rsidRDefault="000425B4" w:rsidP="00EB2DEB">
      <w:pPr>
        <w:pStyle w:val="Teksttreci0"/>
        <w:numPr>
          <w:ilvl w:val="0"/>
          <w:numId w:val="60"/>
        </w:numPr>
        <w:tabs>
          <w:tab w:val="left" w:pos="517"/>
        </w:tabs>
        <w:jc w:val="both"/>
        <w:rPr>
          <w:lang w:val="pl-PL"/>
        </w:rPr>
      </w:pPr>
      <w:r>
        <w:rPr>
          <w:lang w:val="pl"/>
        </w:rPr>
        <w:t xml:space="preserve">Zgodność </w:t>
      </w:r>
      <w:r>
        <w:rPr>
          <w:i/>
          <w:iCs/>
          <w:lang w:val="pl"/>
        </w:rPr>
        <w:t>ratione personae</w:t>
      </w:r>
      <w:r>
        <w:rPr>
          <w:lang w:val="pl"/>
        </w:rPr>
        <w:t xml:space="preserve"> wymaga, by zarzucane naruszenie Konwencji zostało popełnione przez układające się państwo lub mogło mu zostać w jakiś inny sposób przypisane.</w:t>
      </w:r>
    </w:p>
    <w:p w:rsidR="00B71A20" w:rsidRPr="000625F6" w:rsidRDefault="000425B4" w:rsidP="00115011">
      <w:pPr>
        <w:pStyle w:val="Teksttreci0"/>
        <w:numPr>
          <w:ilvl w:val="0"/>
          <w:numId w:val="60"/>
        </w:numPr>
        <w:tabs>
          <w:tab w:val="left" w:pos="521"/>
        </w:tabs>
        <w:jc w:val="both"/>
        <w:rPr>
          <w:lang w:val="pl-PL"/>
        </w:rPr>
      </w:pPr>
      <w:r>
        <w:rPr>
          <w:lang w:val="pl"/>
        </w:rPr>
        <w:t xml:space="preserve">Nawet jeżeli pozwane państwo nie zgłosiło żadnych zastrzeżeń co do właściwości </w:t>
      </w:r>
      <w:r>
        <w:rPr>
          <w:i/>
          <w:iCs/>
          <w:lang w:val="pl"/>
        </w:rPr>
        <w:t>ratione personae</w:t>
      </w:r>
      <w:r>
        <w:rPr>
          <w:lang w:val="pl"/>
        </w:rPr>
        <w:t xml:space="preserve"> Trybunału, kwestia ta wymaga rozpatrzenia przez Trybunał z urzędu </w:t>
      </w:r>
      <w:hyperlink r:id="rId1261" w:history="1">
        <w:r>
          <w:rPr>
            <w:lang w:val="pl"/>
          </w:rPr>
          <w:t>(</w:t>
        </w:r>
        <w:r>
          <w:rPr>
            <w:i/>
            <w:iCs/>
            <w:color w:val="0072BC"/>
            <w:lang w:val="pl"/>
          </w:rPr>
          <w:t>Sejdić i Finci</w:t>
        </w:r>
      </w:hyperlink>
      <w:r>
        <w:rPr>
          <w:i/>
          <w:iCs/>
          <w:color w:val="0072BC"/>
          <w:lang w:val="pl"/>
        </w:rPr>
        <w:t xml:space="preserve"> </w:t>
      </w:r>
      <w:hyperlink r:id="rId1262" w:history="1">
        <w:r w:rsidR="00442B28">
          <w:rPr>
            <w:i/>
            <w:iCs/>
            <w:color w:val="0072BC"/>
            <w:lang w:val="pl"/>
          </w:rPr>
          <w:t>p. Bośni i </w:t>
        </w:r>
        <w:r>
          <w:rPr>
            <w:i/>
            <w:iCs/>
            <w:color w:val="0072BC"/>
            <w:lang w:val="pl"/>
          </w:rPr>
          <w:t xml:space="preserve">Hercegowinie </w:t>
        </w:r>
      </w:hyperlink>
      <w:r>
        <w:rPr>
          <w:lang w:val="pl"/>
        </w:rPr>
        <w:t>[WI], § 27;</w:t>
      </w:r>
      <w:hyperlink r:id="rId1263" w:history="1">
        <w:r>
          <w:rPr>
            <w:lang w:val="pl"/>
          </w:rPr>
          <w:t xml:space="preserve"> </w:t>
        </w:r>
        <w:r>
          <w:rPr>
            <w:i/>
            <w:iCs/>
            <w:color w:val="0072BC"/>
            <w:lang w:val="pl"/>
          </w:rPr>
          <w:t>Mutu i Pechstein p. Szwajcarii</w:t>
        </w:r>
        <w:r>
          <w:rPr>
            <w:lang w:val="pl"/>
          </w:rPr>
          <w:t>,</w:t>
        </w:r>
      </w:hyperlink>
      <w:r>
        <w:rPr>
          <w:lang w:val="pl"/>
        </w:rPr>
        <w:t xml:space="preserve"> § 63).</w:t>
      </w:r>
    </w:p>
    <w:p w:rsidR="00B71A20" w:rsidRPr="000625F6" w:rsidRDefault="000425B4" w:rsidP="00115011">
      <w:pPr>
        <w:pStyle w:val="Teksttreci0"/>
        <w:numPr>
          <w:ilvl w:val="0"/>
          <w:numId w:val="60"/>
        </w:numPr>
        <w:tabs>
          <w:tab w:val="left" w:pos="517"/>
        </w:tabs>
        <w:jc w:val="both"/>
        <w:rPr>
          <w:lang w:val="pl-PL"/>
        </w:rPr>
      </w:pPr>
      <w:r>
        <w:rPr>
          <w:lang w:val="pl"/>
        </w:rPr>
        <w:t xml:space="preserve">Prawa podstawowe chronione przez międzynarodowe traktaty dotyczące praw człowieka powinny być zagwarantowane osobom żyjącym na terytorium danego państwa strony bez względu na to, czy to państwo później ulegnie rozpadowi lub będzie przedmiotem sukcesji </w:t>
      </w:r>
      <w:hyperlink r:id="rId1264" w:history="1">
        <w:r>
          <w:rPr>
            <w:lang w:val="pl"/>
          </w:rPr>
          <w:t>(</w:t>
        </w:r>
        <w:r w:rsidR="00442B28">
          <w:rPr>
            <w:i/>
            <w:iCs/>
            <w:color w:val="0072BC"/>
            <w:lang w:val="pl"/>
          </w:rPr>
          <w:t>Bijelić p. Czarnogórze i </w:t>
        </w:r>
        <w:r>
          <w:rPr>
            <w:i/>
            <w:iCs/>
            <w:color w:val="0072BC"/>
            <w:lang w:val="pl"/>
          </w:rPr>
          <w:t>Serbii</w:t>
        </w:r>
        <w:r>
          <w:rPr>
            <w:lang w:val="pl"/>
          </w:rPr>
          <w:t>,</w:t>
        </w:r>
      </w:hyperlink>
      <w:r>
        <w:rPr>
          <w:lang w:val="pl"/>
        </w:rPr>
        <w:t xml:space="preserve"> § 69).</w:t>
      </w:r>
    </w:p>
    <w:p w:rsidR="00B71A20" w:rsidRPr="000625F6" w:rsidRDefault="000425B4" w:rsidP="00115011">
      <w:pPr>
        <w:pStyle w:val="Teksttreci0"/>
        <w:numPr>
          <w:ilvl w:val="0"/>
          <w:numId w:val="60"/>
        </w:numPr>
        <w:tabs>
          <w:tab w:val="left" w:pos="517"/>
        </w:tabs>
        <w:jc w:val="both"/>
        <w:rPr>
          <w:lang w:val="pl-PL"/>
        </w:rPr>
      </w:pPr>
      <w:r>
        <w:rPr>
          <w:lang w:val="pl"/>
        </w:rPr>
        <w:t xml:space="preserve">Państwo można pociągnąć do odpowiedzialności za długi przedsiębiorstwa państwowego nawet </w:t>
      </w:r>
      <w:r>
        <w:rPr>
          <w:lang w:val="pl"/>
        </w:rPr>
        <w:lastRenderedPageBreak/>
        <w:t>wtedy, gdy to przedsiębiorstwo jest odrębną osobą prawną, pod warunkiem że nie jest ono na tyle niezależne od państwa pod względem instytucjonalnym i ope</w:t>
      </w:r>
      <w:r w:rsidR="00442B28">
        <w:rPr>
          <w:lang w:val="pl"/>
        </w:rPr>
        <w:t>racyjnym, aby zwolnić państwo z </w:t>
      </w:r>
      <w:r>
        <w:rPr>
          <w:lang w:val="pl"/>
        </w:rPr>
        <w:t xml:space="preserve">odpowiedzialności konwencyjnej </w:t>
      </w:r>
      <w:hyperlink r:id="rId1265" w:history="1">
        <w:r>
          <w:rPr>
            <w:lang w:val="pl"/>
          </w:rPr>
          <w:t>(</w:t>
        </w:r>
        <w:r>
          <w:rPr>
            <w:i/>
            <w:iCs/>
            <w:color w:val="0072BC"/>
            <w:lang w:val="pl"/>
          </w:rPr>
          <w:t>Ališić i Inni p. Bośni i Hercegowinie, Ch</w:t>
        </w:r>
        <w:r w:rsidR="00F22418">
          <w:rPr>
            <w:i/>
            <w:iCs/>
            <w:color w:val="0072BC"/>
            <w:lang w:val="pl"/>
          </w:rPr>
          <w:t>orwacji, Serbii, Słowenii i </w:t>
        </w:r>
        <w:r>
          <w:rPr>
            <w:i/>
            <w:iCs/>
            <w:color w:val="0072BC"/>
            <w:lang w:val="pl"/>
          </w:rPr>
          <w:t>Byłej Jugosłowiańskiej</w:t>
        </w:r>
      </w:hyperlink>
      <w:r>
        <w:rPr>
          <w:i/>
          <w:iCs/>
          <w:color w:val="0072BC"/>
          <w:lang w:val="pl"/>
        </w:rPr>
        <w:t xml:space="preserve"> </w:t>
      </w:r>
      <w:hyperlink r:id="rId1266" w:history="1">
        <w:r>
          <w:rPr>
            <w:i/>
            <w:iCs/>
            <w:color w:val="0072BC"/>
            <w:lang w:val="pl"/>
          </w:rPr>
          <w:t xml:space="preserve">Republice Macedonii </w:t>
        </w:r>
      </w:hyperlink>
      <w:r>
        <w:rPr>
          <w:lang w:val="pl"/>
        </w:rPr>
        <w:t>[WI], §§ 114-115;</w:t>
      </w:r>
      <w:hyperlink r:id="rId1267" w:history="1">
        <w:r>
          <w:rPr>
            <w:i/>
            <w:iCs/>
            <w:lang w:val="pl"/>
          </w:rPr>
          <w:t xml:space="preserve"> </w:t>
        </w:r>
        <w:r>
          <w:rPr>
            <w:i/>
            <w:iCs/>
            <w:color w:val="0072BC"/>
            <w:lang w:val="pl"/>
          </w:rPr>
          <w:t>Kuzhelev i Inni p. Rosji</w:t>
        </w:r>
        <w:r>
          <w:rPr>
            <w:lang w:val="pl"/>
          </w:rPr>
          <w:t>,</w:t>
        </w:r>
      </w:hyperlink>
      <w:r>
        <w:rPr>
          <w:lang w:val="pl"/>
        </w:rPr>
        <w:t xml:space="preserve"> §§ 93-100, 117; </w:t>
      </w:r>
      <w:hyperlink r:id="rId1268" w:history="1">
        <w:r>
          <w:rPr>
            <w:i/>
            <w:iCs/>
            <w:color w:val="0072BC"/>
            <w:lang w:val="pl"/>
          </w:rPr>
          <w:t>Mykhaylenky i Inni p. Ukrainie</w:t>
        </w:r>
        <w:r>
          <w:rPr>
            <w:lang w:val="pl"/>
          </w:rPr>
          <w:t>,</w:t>
        </w:r>
      </w:hyperlink>
      <w:r>
        <w:rPr>
          <w:lang w:val="pl"/>
        </w:rPr>
        <w:t xml:space="preserve"> §§ 43</w:t>
      </w:r>
      <w:r>
        <w:rPr>
          <w:lang w:val="pl"/>
        </w:rPr>
        <w:noBreakHyphen/>
        <w:t>45). Ta zasada, wypracowana w odniesieniu do długów, ma też zastosowanie do innych działań i zaniechań tego typu prz</w:t>
      </w:r>
      <w:r w:rsidR="00442B28">
        <w:rPr>
          <w:lang w:val="pl"/>
        </w:rPr>
        <w:t>edsiębiorstw, np. korzystania z </w:t>
      </w:r>
      <w:r>
        <w:rPr>
          <w:lang w:val="pl"/>
        </w:rPr>
        <w:t xml:space="preserve">opatentowanych wynalazków </w:t>
      </w:r>
      <w:hyperlink r:id="rId1269" w:history="1">
        <w:r>
          <w:rPr>
            <w:lang w:val="pl"/>
          </w:rPr>
          <w:t>(</w:t>
        </w:r>
        <w:r>
          <w:rPr>
            <w:i/>
            <w:iCs/>
            <w:color w:val="0072BC"/>
            <w:lang w:val="pl"/>
          </w:rPr>
          <w:t>Tokel p. Turcji</w:t>
        </w:r>
        <w:r>
          <w:rPr>
            <w:lang w:val="pl"/>
          </w:rPr>
          <w:t>,</w:t>
        </w:r>
      </w:hyperlink>
      <w:r>
        <w:rPr>
          <w:lang w:val="pl"/>
        </w:rPr>
        <w:t xml:space="preserve"> §§ 58-62). Działania i zaniechania fundacji prawa prywatnego też mogą prowadzić do pociągnięcia pozwanego państwa do odpowiedzialności na podstawie Konwencji </w:t>
      </w:r>
      <w:hyperlink r:id="rId1270" w:history="1">
        <w:r>
          <w:rPr>
            <w:lang w:val="pl"/>
          </w:rPr>
          <w:t>(</w:t>
        </w:r>
        <w:r>
          <w:rPr>
            <w:i/>
            <w:iCs/>
            <w:color w:val="0072BC"/>
            <w:lang w:val="pl"/>
          </w:rPr>
          <w:t>Mutu i Pechstein</w:t>
        </w:r>
      </w:hyperlink>
      <w:r>
        <w:rPr>
          <w:i/>
          <w:iCs/>
          <w:color w:val="0072BC"/>
          <w:lang w:val="pl"/>
        </w:rPr>
        <w:t xml:space="preserve"> </w:t>
      </w:r>
      <w:hyperlink r:id="rId1271" w:history="1">
        <w:r>
          <w:rPr>
            <w:i/>
            <w:iCs/>
            <w:color w:val="0072BC"/>
            <w:lang w:val="pl"/>
          </w:rPr>
          <w:t>p. Szwajcarii</w:t>
        </w:r>
        <w:r>
          <w:rPr>
            <w:lang w:val="pl"/>
          </w:rPr>
          <w:t>,</w:t>
        </w:r>
      </w:hyperlink>
      <w:r>
        <w:rPr>
          <w:lang w:val="pl"/>
        </w:rPr>
        <w:t xml:space="preserve"> §§ 65</w:t>
      </w:r>
      <w:r>
        <w:rPr>
          <w:lang w:val="pl"/>
        </w:rPr>
        <w:noBreakHyphen/>
        <w:t>67).</w:t>
      </w:r>
    </w:p>
    <w:p w:rsidR="00B71A20" w:rsidRPr="000625F6" w:rsidRDefault="000425B4" w:rsidP="00115011">
      <w:pPr>
        <w:pStyle w:val="Teksttreci0"/>
        <w:numPr>
          <w:ilvl w:val="0"/>
          <w:numId w:val="60"/>
        </w:numPr>
        <w:tabs>
          <w:tab w:val="left" w:pos="526"/>
        </w:tabs>
        <w:jc w:val="both"/>
        <w:rPr>
          <w:lang w:val="pl-PL"/>
        </w:rPr>
      </w:pPr>
      <w:r>
        <w:rPr>
          <w:lang w:val="pl"/>
        </w:rPr>
        <w:t xml:space="preserve">Skargi zostaną uznane za niezgodne </w:t>
      </w:r>
      <w:r>
        <w:rPr>
          <w:i/>
          <w:iCs/>
          <w:lang w:val="pl"/>
        </w:rPr>
        <w:t>ratione personae</w:t>
      </w:r>
      <w:r>
        <w:rPr>
          <w:lang w:val="pl"/>
        </w:rPr>
        <w:t xml:space="preserve"> z Konwencją z następujących powodów:</w:t>
      </w:r>
    </w:p>
    <w:p w:rsidR="00B71A20" w:rsidRPr="000625F6" w:rsidRDefault="000425B4" w:rsidP="00115011">
      <w:pPr>
        <w:pStyle w:val="Teksttreci0"/>
        <w:numPr>
          <w:ilvl w:val="0"/>
          <w:numId w:val="61"/>
        </w:numPr>
        <w:tabs>
          <w:tab w:val="left" w:pos="863"/>
        </w:tabs>
        <w:spacing w:after="40"/>
        <w:ind w:left="880" w:hanging="300"/>
        <w:jc w:val="both"/>
      </w:pPr>
      <w:r>
        <w:rPr>
          <w:lang w:val="pl"/>
        </w:rPr>
        <w:t xml:space="preserve">jeśli skarżący nie posiada odpowiedniej zdolności w rozumieniu art. 34 Konwencji (patrz np. </w:t>
      </w:r>
      <w:hyperlink r:id="rId1272" w:history="1">
        <w:r w:rsidRPr="000625F6">
          <w:rPr>
            <w:i/>
            <w:iCs/>
            <w:color w:val="0072BC"/>
          </w:rPr>
          <w:t xml:space="preserve">Municipal Section of Antilly p. Francji </w:t>
        </w:r>
      </w:hyperlink>
      <w:r w:rsidRPr="000625F6">
        <w:t>(dec.);</w:t>
      </w:r>
      <w:hyperlink r:id="rId1273" w:history="1">
        <w:r w:rsidRPr="000625F6">
          <w:t xml:space="preserve"> </w:t>
        </w:r>
        <w:r w:rsidRPr="000625F6">
          <w:rPr>
            <w:i/>
            <w:iCs/>
            <w:color w:val="0072BC"/>
          </w:rPr>
          <w:t xml:space="preserve">Döşemealtı Belediyesi p. Turcji </w:t>
        </w:r>
      </w:hyperlink>
      <w:r w:rsidRPr="000625F6">
        <w:t>(dec.);</w:t>
      </w:r>
      <w:hyperlink r:id="rId1274" w:history="1">
        <w:r w:rsidRPr="000625F6">
          <w:t xml:space="preserve"> </w:t>
        </w:r>
        <w:r w:rsidRPr="000625F6">
          <w:rPr>
            <w:i/>
            <w:iCs/>
            <w:color w:val="0072BC"/>
          </w:rPr>
          <w:t>Moretti</w:t>
        </w:r>
      </w:hyperlink>
      <w:r w:rsidRPr="000625F6">
        <w:rPr>
          <w:i/>
          <w:iCs/>
          <w:color w:val="0072BC"/>
        </w:rPr>
        <w:t xml:space="preserve"> </w:t>
      </w:r>
      <w:hyperlink r:id="rId1275" w:history="1">
        <w:r w:rsidR="00442B28">
          <w:rPr>
            <w:i/>
            <w:iCs/>
            <w:color w:val="0072BC"/>
          </w:rPr>
          <w:t>i </w:t>
        </w:r>
        <w:r w:rsidRPr="000625F6">
          <w:rPr>
            <w:i/>
            <w:iCs/>
            <w:color w:val="0072BC"/>
          </w:rPr>
          <w:t>Benedetti p. Włochom</w:t>
        </w:r>
        <w:r w:rsidRPr="000625F6">
          <w:t>,</w:t>
        </w:r>
      </w:hyperlink>
      <w:r w:rsidRPr="000625F6">
        <w:t xml:space="preserve"> §§ 32-35;</w:t>
      </w:r>
      <w:hyperlink r:id="rId1276" w:history="1">
        <w:r w:rsidRPr="000625F6">
          <w:t xml:space="preserve"> </w:t>
        </w:r>
        <w:r w:rsidRPr="000625F6">
          <w:rPr>
            <w:i/>
            <w:iCs/>
            <w:color w:val="0072BC"/>
          </w:rPr>
          <w:t xml:space="preserve">Bulgarian Helsinki Committee p. Bułgarii </w:t>
        </w:r>
      </w:hyperlink>
      <w:r w:rsidRPr="000625F6">
        <w:t>(dec.);</w:t>
      </w:r>
      <w:hyperlink r:id="rId1277" w:history="1">
        <w:r w:rsidRPr="000625F6">
          <w:t xml:space="preserve"> </w:t>
        </w:r>
        <w:r w:rsidRPr="000625F6">
          <w:rPr>
            <w:i/>
            <w:iCs/>
            <w:color w:val="0072BC"/>
          </w:rPr>
          <w:t>V.D. i</w:t>
        </w:r>
      </w:hyperlink>
      <w:r w:rsidRPr="000625F6">
        <w:rPr>
          <w:i/>
          <w:iCs/>
          <w:color w:val="0072BC"/>
        </w:rPr>
        <w:t xml:space="preserve"> </w:t>
      </w:r>
      <w:hyperlink r:id="rId1278" w:history="1">
        <w:r w:rsidRPr="000625F6">
          <w:rPr>
            <w:i/>
            <w:iCs/>
            <w:color w:val="0072BC"/>
          </w:rPr>
          <w:t>Inni p. Rosji</w:t>
        </w:r>
        <w:r w:rsidRPr="000625F6">
          <w:t>,</w:t>
        </w:r>
      </w:hyperlink>
      <w:r w:rsidRPr="000625F6">
        <w:t xml:space="preserve"> §§ 72-76;</w:t>
      </w:r>
      <w:hyperlink r:id="rId1279" w:history="1">
        <w:r w:rsidRPr="000625F6">
          <w:t xml:space="preserve"> </w:t>
        </w:r>
        <w:r w:rsidRPr="000625F6">
          <w:rPr>
            <w:i/>
            <w:iCs/>
            <w:color w:val="0072BC"/>
          </w:rPr>
          <w:t xml:space="preserve">İhsan Doğramacı Bilkent Üniversitesi p. Turcji </w:t>
        </w:r>
      </w:hyperlink>
      <w:r w:rsidRPr="000625F6">
        <w:t xml:space="preserve">(dec.), §§ 34-47; </w:t>
      </w:r>
      <w:hyperlink r:id="rId1280" w:history="1">
        <w:r w:rsidRPr="000625F6">
          <w:rPr>
            <w:i/>
            <w:iCs/>
            <w:color w:val="0072BC"/>
          </w:rPr>
          <w:t xml:space="preserve">Demokratyczna Republika Konga p. Belgii </w:t>
        </w:r>
      </w:hyperlink>
      <w:r w:rsidRPr="000625F6">
        <w:t>(dec.), §§ 13-21);</w:t>
      </w:r>
    </w:p>
    <w:p w:rsidR="00B71A20" w:rsidRPr="000625F6" w:rsidRDefault="000425B4" w:rsidP="00115011">
      <w:pPr>
        <w:pStyle w:val="Teksttreci0"/>
        <w:numPr>
          <w:ilvl w:val="0"/>
          <w:numId w:val="61"/>
        </w:numPr>
        <w:tabs>
          <w:tab w:val="left" w:pos="883"/>
        </w:tabs>
        <w:spacing w:after="40"/>
        <w:ind w:left="880" w:hanging="280"/>
        <w:jc w:val="both"/>
        <w:rPr>
          <w:lang w:val="pl-PL"/>
        </w:rPr>
      </w:pPr>
      <w:r>
        <w:rPr>
          <w:lang w:val="pl"/>
        </w:rPr>
        <w:t xml:space="preserve">jeśli skarżący nie jest w stanie wykazać, że padł ofiarą domniemanego naruszenia </w:t>
      </w:r>
      <w:hyperlink r:id="rId1281" w:history="1">
        <w:r>
          <w:rPr>
            <w:lang w:val="pl"/>
          </w:rPr>
          <w:t>(</w:t>
        </w:r>
        <w:r>
          <w:rPr>
            <w:i/>
            <w:iCs/>
            <w:color w:val="0072BC"/>
            <w:lang w:val="pl"/>
          </w:rPr>
          <w:t>Kátai</w:t>
        </w:r>
      </w:hyperlink>
      <w:r>
        <w:rPr>
          <w:i/>
          <w:iCs/>
          <w:color w:val="0072BC"/>
          <w:lang w:val="pl"/>
        </w:rPr>
        <w:t xml:space="preserve"> </w:t>
      </w:r>
      <w:hyperlink r:id="rId1282" w:history="1">
        <w:r>
          <w:rPr>
            <w:i/>
            <w:iCs/>
            <w:color w:val="0072BC"/>
            <w:lang w:val="pl"/>
          </w:rPr>
          <w:t xml:space="preserve">p. Węgrom </w:t>
        </w:r>
      </w:hyperlink>
      <w:r>
        <w:rPr>
          <w:lang w:val="pl"/>
        </w:rPr>
        <w:t>(dec.), §§ 25</w:t>
      </w:r>
      <w:r>
        <w:rPr>
          <w:lang w:val="pl"/>
        </w:rPr>
        <w:noBreakHyphen/>
        <w:t>26;</w:t>
      </w:r>
      <w:hyperlink r:id="rId1283" w:history="1">
        <w:r>
          <w:rPr>
            <w:lang w:val="pl"/>
          </w:rPr>
          <w:t xml:space="preserve"> </w:t>
        </w:r>
        <w:r>
          <w:rPr>
            <w:i/>
            <w:iCs/>
            <w:color w:val="0072BC"/>
            <w:lang w:val="pl"/>
          </w:rPr>
          <w:t>Trivkanović p. Chorwacji</w:t>
        </w:r>
        <w:r>
          <w:rPr>
            <w:lang w:val="pl"/>
          </w:rPr>
          <w:t>,</w:t>
        </w:r>
      </w:hyperlink>
      <w:r>
        <w:rPr>
          <w:lang w:val="pl"/>
        </w:rPr>
        <w:t xml:space="preserve"> §§ 49</w:t>
      </w:r>
      <w:r>
        <w:rPr>
          <w:lang w:val="pl"/>
        </w:rPr>
        <w:noBreakHyphen/>
        <w:t>51; patrz Wprowadzenie,</w:t>
      </w:r>
      <w:hyperlink w:anchor="bookmark24" w:tooltip="Bieżący dokument">
        <w:r>
          <w:rPr>
            <w:lang w:val="pl"/>
          </w:rPr>
          <w:t xml:space="preserve"> </w:t>
        </w:r>
        <w:r>
          <w:rPr>
            <w:color w:val="0072BC"/>
            <w:lang w:val="pl"/>
          </w:rPr>
          <w:t>pkt A.3</w:t>
        </w:r>
      </w:hyperlink>
      <w:r>
        <w:rPr>
          <w:color w:val="0072BC"/>
          <w:lang w:val="pl"/>
        </w:rPr>
        <w:t xml:space="preserve"> </w:t>
      </w:r>
      <w:r>
        <w:rPr>
          <w:lang w:val="pl"/>
        </w:rPr>
        <w:t>„status ofiary”);</w:t>
      </w:r>
    </w:p>
    <w:p w:rsidR="00B71A20" w:rsidRPr="000625F6" w:rsidRDefault="000425B4" w:rsidP="00115011">
      <w:pPr>
        <w:pStyle w:val="Teksttreci0"/>
        <w:numPr>
          <w:ilvl w:val="0"/>
          <w:numId w:val="61"/>
        </w:numPr>
        <w:tabs>
          <w:tab w:val="left" w:pos="883"/>
        </w:tabs>
        <w:spacing w:after="40"/>
        <w:ind w:left="880" w:hanging="280"/>
        <w:jc w:val="both"/>
        <w:rPr>
          <w:lang w:val="pl-PL"/>
        </w:rPr>
      </w:pPr>
      <w:r>
        <w:rPr>
          <w:lang w:val="pl"/>
        </w:rPr>
        <w:t xml:space="preserve">jeśli skarga została wniesiona przeciwko osobie prywatnej </w:t>
      </w:r>
      <w:hyperlink r:id="rId1284" w:history="1">
        <w:r>
          <w:rPr>
            <w:lang w:val="pl"/>
          </w:rPr>
          <w:t>(</w:t>
        </w:r>
        <w:r>
          <w:rPr>
            <w:i/>
            <w:iCs/>
            <w:color w:val="0072BC"/>
            <w:lang w:val="pl"/>
          </w:rPr>
          <w:t>X. p. Wielkiej Brytanii</w:t>
        </w:r>
        <w:r>
          <w:rPr>
            <w:lang w:val="pl"/>
          </w:rPr>
          <w:t>,</w:t>
        </w:r>
      </w:hyperlink>
      <w:r>
        <w:rPr>
          <w:lang w:val="pl"/>
        </w:rPr>
        <w:t xml:space="preserve"> decyzja Komisji z dnia 10 grudnia 1976 r.;</w:t>
      </w:r>
      <w:hyperlink r:id="rId1285" w:history="1">
        <w:r>
          <w:rPr>
            <w:lang w:val="pl"/>
          </w:rPr>
          <w:t xml:space="preserve"> </w:t>
        </w:r>
        <w:r>
          <w:rPr>
            <w:i/>
            <w:iCs/>
            <w:color w:val="0072BC"/>
            <w:lang w:val="pl"/>
          </w:rPr>
          <w:t>Durini p. Włochom</w:t>
        </w:r>
        <w:r>
          <w:rPr>
            <w:lang w:val="pl"/>
          </w:rPr>
          <w:t>,</w:t>
        </w:r>
      </w:hyperlink>
      <w:r>
        <w:rPr>
          <w:lang w:val="pl"/>
        </w:rPr>
        <w:t xml:space="preserve"> decyzja Komisji);</w:t>
      </w:r>
    </w:p>
    <w:p w:rsidR="00B71A20" w:rsidRPr="000625F6" w:rsidRDefault="000425B4" w:rsidP="00115011">
      <w:pPr>
        <w:pStyle w:val="Teksttreci0"/>
        <w:numPr>
          <w:ilvl w:val="0"/>
          <w:numId w:val="61"/>
        </w:numPr>
        <w:tabs>
          <w:tab w:val="left" w:pos="883"/>
        </w:tabs>
        <w:spacing w:after="40"/>
        <w:ind w:left="880" w:hanging="280"/>
        <w:jc w:val="both"/>
        <w:rPr>
          <w:lang w:val="pl-PL"/>
        </w:rPr>
      </w:pPr>
      <w:r>
        <w:rPr>
          <w:lang w:val="pl"/>
        </w:rPr>
        <w:t xml:space="preserve">jeśli skarga została wniesiona bezpośrednio przeciwko organizacji międzynarodowej, która nie przystąpiła do Konwencji </w:t>
      </w:r>
      <w:hyperlink r:id="rId1286" w:history="1">
        <w:r>
          <w:rPr>
            <w:lang w:val="pl"/>
          </w:rPr>
          <w:t>(</w:t>
        </w:r>
        <w:r>
          <w:rPr>
            <w:i/>
            <w:iCs/>
            <w:color w:val="0072BC"/>
            <w:lang w:val="pl"/>
          </w:rPr>
          <w:t xml:space="preserve">Stephens p. Cyprowi, Turcji i ONZ </w:t>
        </w:r>
      </w:hyperlink>
      <w:r>
        <w:rPr>
          <w:lang w:val="pl"/>
        </w:rPr>
        <w:t>(dec.), ostatni ustęp);</w:t>
      </w:r>
    </w:p>
    <w:p w:rsidR="00B71A20" w:rsidRPr="000625F6" w:rsidRDefault="000425B4" w:rsidP="00115011">
      <w:pPr>
        <w:pStyle w:val="Teksttreci0"/>
        <w:numPr>
          <w:ilvl w:val="0"/>
          <w:numId w:val="61"/>
        </w:numPr>
        <w:tabs>
          <w:tab w:val="left" w:pos="883"/>
        </w:tabs>
        <w:spacing w:after="240"/>
        <w:ind w:left="880" w:hanging="280"/>
        <w:jc w:val="both"/>
        <w:rPr>
          <w:lang w:val="pl-PL"/>
        </w:rPr>
      </w:pPr>
      <w:r>
        <w:rPr>
          <w:lang w:val="pl"/>
        </w:rPr>
        <w:t xml:space="preserve">jeśli skarga dotyczy Protokołu do Konwencji, który nie został przez pozwane państwo ratyfikowany </w:t>
      </w:r>
      <w:hyperlink r:id="rId1287" w:history="1">
        <w:r>
          <w:rPr>
            <w:lang w:val="pl"/>
          </w:rPr>
          <w:t>(</w:t>
        </w:r>
        <w:r>
          <w:rPr>
            <w:i/>
            <w:iCs/>
            <w:color w:val="0072BC"/>
            <w:lang w:val="pl"/>
          </w:rPr>
          <w:t>Horsham p. Wielkiej Brytanii</w:t>
        </w:r>
        <w:r>
          <w:rPr>
            <w:lang w:val="pl"/>
          </w:rPr>
          <w:t>,</w:t>
        </w:r>
      </w:hyperlink>
      <w:r>
        <w:rPr>
          <w:lang w:val="pl"/>
        </w:rPr>
        <w:t xml:space="preserve"> decyzja Komisji;</w:t>
      </w:r>
      <w:hyperlink r:id="rId1288" w:history="1">
        <w:r>
          <w:rPr>
            <w:lang w:val="pl"/>
          </w:rPr>
          <w:t xml:space="preserve"> </w:t>
        </w:r>
        <w:r>
          <w:rPr>
            <w:i/>
            <w:iCs/>
            <w:color w:val="0072BC"/>
            <w:lang w:val="pl"/>
          </w:rPr>
          <w:t>De Saedeleer p. Belgii</w:t>
        </w:r>
        <w:r>
          <w:rPr>
            <w:lang w:val="pl"/>
          </w:rPr>
          <w:t>,</w:t>
        </w:r>
      </w:hyperlink>
      <w:r>
        <w:rPr>
          <w:lang w:val="pl"/>
        </w:rPr>
        <w:t xml:space="preserve"> § 68).</w:t>
      </w:r>
    </w:p>
    <w:p w:rsidR="00B71A20" w:rsidRDefault="00EB2DEB" w:rsidP="00EB2DEB">
      <w:pPr>
        <w:pStyle w:val="Nagwek31"/>
        <w:keepNext/>
        <w:keepLines/>
        <w:tabs>
          <w:tab w:val="left" w:pos="327"/>
        </w:tabs>
        <w:spacing w:after="280"/>
        <w:jc w:val="both"/>
      </w:pPr>
      <w:bookmarkStart w:id="228" w:name="bookmark233"/>
      <w:bookmarkStart w:id="229" w:name="bookmark232"/>
      <w:bookmarkStart w:id="230" w:name="_Toc126335671"/>
      <w:bookmarkStart w:id="231" w:name="_Toc126660630"/>
      <w:r>
        <w:rPr>
          <w:lang w:val="pl"/>
        </w:rPr>
        <w:t xml:space="preserve">2.  </w:t>
      </w:r>
      <w:r w:rsidR="000425B4">
        <w:rPr>
          <w:lang w:val="pl"/>
        </w:rPr>
        <w:t>Jurysdykcja</w:t>
      </w:r>
      <w:r w:rsidR="000425B4">
        <w:rPr>
          <w:vertAlign w:val="superscript"/>
          <w:lang w:val="pl"/>
        </w:rPr>
        <w:footnoteReference w:id="9"/>
      </w:r>
      <w:bookmarkEnd w:id="228"/>
      <w:bookmarkEnd w:id="229"/>
      <w:bookmarkEnd w:id="230"/>
      <w:bookmarkEnd w:id="231"/>
    </w:p>
    <w:p w:rsidR="00B71A20" w:rsidRPr="000625F6" w:rsidRDefault="000425B4" w:rsidP="00115011">
      <w:pPr>
        <w:pStyle w:val="Teksttreci0"/>
        <w:numPr>
          <w:ilvl w:val="0"/>
          <w:numId w:val="60"/>
        </w:numPr>
        <w:tabs>
          <w:tab w:val="left" w:pos="519"/>
        </w:tabs>
        <w:spacing w:after="120"/>
        <w:jc w:val="both"/>
        <w:rPr>
          <w:lang w:val="pl-PL"/>
        </w:rPr>
      </w:pPr>
      <w:r>
        <w:rPr>
          <w:lang w:val="pl"/>
        </w:rPr>
        <w:t xml:space="preserve">Stwierdzenie braku jurysdykcji </w:t>
      </w:r>
      <w:r>
        <w:rPr>
          <w:i/>
          <w:iCs/>
          <w:lang w:val="pl"/>
        </w:rPr>
        <w:t>ratione loci</w:t>
      </w:r>
      <w:r>
        <w:rPr>
          <w:lang w:val="pl"/>
        </w:rPr>
        <w:t xml:space="preserve"> nie zwalnia Trybunału z obowiązku zbadania, czy skarżący podlegają „jurysdykcji” co najmniej jednego układającego się państwa w rozumieniu art. 1 Konwencji </w:t>
      </w:r>
      <w:hyperlink r:id="rId1289" w:history="1">
        <w:r>
          <w:rPr>
            <w:lang w:val="pl"/>
          </w:rPr>
          <w:t>(</w:t>
        </w:r>
        <w:r>
          <w:rPr>
            <w:i/>
            <w:iCs/>
            <w:color w:val="0072BC"/>
            <w:lang w:val="pl"/>
          </w:rPr>
          <w:t>Drozd i Janousek p. Francji i Hiszpanii</w:t>
        </w:r>
        <w:r>
          <w:rPr>
            <w:lang w:val="pl"/>
          </w:rPr>
          <w:t>,</w:t>
        </w:r>
      </w:hyperlink>
      <w:r>
        <w:rPr>
          <w:lang w:val="pl"/>
        </w:rPr>
        <w:t xml:space="preserve"> § 90). Dlatego też zastrzeżenia odnoszące się do faktu, że skarżący nie podlega „jurysdykcji” pozwanego państwa, będą częściej podnoszone niż zarzuty dotyczące tego, że skarga jest niezgodna co do </w:t>
      </w:r>
      <w:r>
        <w:rPr>
          <w:i/>
          <w:iCs/>
          <w:lang w:val="pl"/>
        </w:rPr>
        <w:t>ratione personae</w:t>
      </w:r>
      <w:r>
        <w:rPr>
          <w:lang w:val="pl"/>
        </w:rPr>
        <w:t xml:space="preserve"> z Konwencją (patrz argumenty pozwanych rządów w sprawie</w:t>
      </w:r>
      <w:hyperlink r:id="rId1290" w:history="1">
        <w:r>
          <w:rPr>
            <w:lang w:val="pl"/>
          </w:rPr>
          <w:t xml:space="preserve"> </w:t>
        </w:r>
        <w:r>
          <w:rPr>
            <w:i/>
            <w:iCs/>
            <w:color w:val="0072BC"/>
            <w:lang w:val="pl"/>
          </w:rPr>
          <w:t xml:space="preserve">Banković i Inni p. Belgii i innym </w:t>
        </w:r>
      </w:hyperlink>
      <w:r>
        <w:rPr>
          <w:lang w:val="pl"/>
        </w:rPr>
        <w:t>(dec.) [WI], § 35;</w:t>
      </w:r>
      <w:hyperlink r:id="rId1291" w:history="1">
        <w:r>
          <w:rPr>
            <w:lang w:val="pl"/>
          </w:rPr>
          <w:t xml:space="preserve"> </w:t>
        </w:r>
        <w:r>
          <w:rPr>
            <w:i/>
            <w:iCs/>
            <w:color w:val="0072BC"/>
            <w:lang w:val="pl"/>
          </w:rPr>
          <w:t xml:space="preserve">Ilaşcu i Inni p. Mołdawii i Rosji </w:t>
        </w:r>
      </w:hyperlink>
      <w:r>
        <w:rPr>
          <w:lang w:val="pl"/>
        </w:rPr>
        <w:t>[WI], § 300;</w:t>
      </w:r>
      <w:hyperlink r:id="rId1292" w:history="1">
        <w:r>
          <w:rPr>
            <w:lang w:val="pl"/>
          </w:rPr>
          <w:t xml:space="preserve"> </w:t>
        </w:r>
        <w:r>
          <w:rPr>
            <w:i/>
            <w:iCs/>
            <w:color w:val="0072BC"/>
            <w:lang w:val="pl"/>
          </w:rPr>
          <w:t>Weber i Saravia p. Niemcom</w:t>
        </w:r>
      </w:hyperlink>
      <w:r>
        <w:rPr>
          <w:color w:val="0072BC"/>
          <w:lang w:val="pl"/>
        </w:rPr>
        <w:t xml:space="preserve"> </w:t>
      </w:r>
      <w:r>
        <w:rPr>
          <w:lang w:val="pl"/>
        </w:rPr>
        <w:t>(dec.); patrz też sprawa</w:t>
      </w:r>
      <w:hyperlink r:id="rId1293" w:history="1">
        <w:r>
          <w:rPr>
            <w:lang w:val="pl"/>
          </w:rPr>
          <w:t xml:space="preserve"> </w:t>
        </w:r>
        <w:r w:rsidR="00442B28">
          <w:rPr>
            <w:i/>
            <w:iCs/>
            <w:color w:val="0072BC"/>
            <w:lang w:val="pl"/>
          </w:rPr>
          <w:t>Mozer p. Republice Mołdawii i </w:t>
        </w:r>
        <w:r>
          <w:rPr>
            <w:i/>
            <w:iCs/>
            <w:color w:val="0072BC"/>
            <w:lang w:val="pl"/>
          </w:rPr>
          <w:t xml:space="preserve">Rosji </w:t>
        </w:r>
      </w:hyperlink>
      <w:r>
        <w:rPr>
          <w:lang w:val="pl"/>
        </w:rPr>
        <w:t xml:space="preserve">[WI], § 79, w której rząd rosyjski wniósł zastrzeżenie co do </w:t>
      </w:r>
      <w:r>
        <w:rPr>
          <w:i/>
          <w:iCs/>
          <w:lang w:val="pl"/>
        </w:rPr>
        <w:t>ratione personae</w:t>
      </w:r>
      <w:r>
        <w:rPr>
          <w:lang w:val="pl"/>
        </w:rPr>
        <w:t xml:space="preserve"> i </w:t>
      </w:r>
      <w:r>
        <w:rPr>
          <w:i/>
          <w:iCs/>
          <w:lang w:val="pl"/>
        </w:rPr>
        <w:t>ratione loci</w:t>
      </w:r>
      <w:r>
        <w:rPr>
          <w:lang w:val="pl"/>
        </w:rPr>
        <w:t>; patrz</w:t>
      </w:r>
      <w:hyperlink r:id="rId1294" w:history="1">
        <w:r>
          <w:rPr>
            <w:lang w:val="pl"/>
          </w:rPr>
          <w:t xml:space="preserve"> </w:t>
        </w:r>
        <w:r>
          <w:rPr>
            <w:i/>
            <w:iCs/>
            <w:color w:val="0072BC"/>
            <w:lang w:val="pl"/>
          </w:rPr>
          <w:t>M.A. i Inni p. Litwie</w:t>
        </w:r>
        <w:r>
          <w:rPr>
            <w:lang w:val="pl"/>
          </w:rPr>
          <w:t>,</w:t>
        </w:r>
      </w:hyperlink>
      <w:r>
        <w:rPr>
          <w:lang w:val="pl"/>
        </w:rPr>
        <w:t xml:space="preserve"> § 67). „Jurysdykcja” w rozumieniu art. 1 Konwencji stanowi trzystopniowe kryterium. Wykonywanie jurysdykcji jest jednym z koniecznych warunków tego, aby układające się państwo mogło zostać pociągnięte do odpowiedzialności za przypisywane mu działania lub zaniechania mogące dać podstawy do zarzucenia naruszenia praw i wolności określonych w Konwencji </w:t>
      </w:r>
      <w:hyperlink r:id="rId1295" w:history="1">
        <w:r>
          <w:rPr>
            <w:lang w:val="pl"/>
          </w:rPr>
          <w:t>(</w:t>
        </w:r>
        <w:r>
          <w:rPr>
            <w:i/>
            <w:iCs/>
            <w:color w:val="0072BC"/>
            <w:lang w:val="pl"/>
          </w:rPr>
          <w:t xml:space="preserve">Ilaşcu i Inni p. Mołdawii i Rosji </w:t>
        </w:r>
      </w:hyperlink>
      <w:r>
        <w:rPr>
          <w:lang w:val="pl"/>
        </w:rPr>
        <w:t>[WI], § 311;</w:t>
      </w:r>
      <w:hyperlink r:id="rId1296" w:history="1">
        <w:r>
          <w:rPr>
            <w:i/>
            <w:iCs/>
            <w:lang w:val="pl"/>
          </w:rPr>
          <w:t xml:space="preserve"> </w:t>
        </w:r>
        <w:r>
          <w:rPr>
            <w:i/>
            <w:iCs/>
            <w:color w:val="0072BC"/>
            <w:lang w:val="pl"/>
          </w:rPr>
          <w:t>Al-Skeini</w:t>
        </w:r>
      </w:hyperlink>
      <w:r>
        <w:rPr>
          <w:i/>
          <w:iCs/>
          <w:color w:val="0072BC"/>
          <w:lang w:val="pl"/>
        </w:rPr>
        <w:t xml:space="preserve"> </w:t>
      </w:r>
      <w:hyperlink r:id="rId1297" w:history="1">
        <w:r>
          <w:rPr>
            <w:i/>
            <w:iCs/>
            <w:color w:val="0072BC"/>
            <w:lang w:val="pl"/>
          </w:rPr>
          <w:t xml:space="preserve">p. Wielkiej Brytanii </w:t>
        </w:r>
      </w:hyperlink>
      <w:r>
        <w:rPr>
          <w:lang w:val="pl"/>
        </w:rPr>
        <w:t>[WI], § 130).</w:t>
      </w:r>
    </w:p>
    <w:p w:rsidR="00B71A20" w:rsidRPr="000625F6" w:rsidRDefault="000425B4" w:rsidP="00115011">
      <w:pPr>
        <w:pStyle w:val="Teksttreci0"/>
        <w:numPr>
          <w:ilvl w:val="0"/>
          <w:numId w:val="60"/>
        </w:numPr>
        <w:tabs>
          <w:tab w:val="left" w:pos="519"/>
        </w:tabs>
        <w:spacing w:after="120"/>
        <w:jc w:val="both"/>
        <w:rPr>
          <w:lang w:val="pl-PL"/>
        </w:rPr>
      </w:pPr>
      <w:r>
        <w:rPr>
          <w:lang w:val="pl"/>
        </w:rPr>
        <w:t xml:space="preserve">Kompetencja jurysdykcyjna państwa na mocy art. 1 oznacza przede wszystkim właściwość miejscową </w:t>
      </w:r>
      <w:hyperlink r:id="rId1298" w:history="1">
        <w:r>
          <w:rPr>
            <w:lang w:val="pl"/>
          </w:rPr>
          <w:t>(</w:t>
        </w:r>
        <w:r>
          <w:rPr>
            <w:i/>
            <w:iCs/>
            <w:color w:val="0072BC"/>
            <w:lang w:val="pl"/>
          </w:rPr>
          <w:t>Banković i Inni</w:t>
        </w:r>
      </w:hyperlink>
      <w:r>
        <w:rPr>
          <w:i/>
          <w:iCs/>
          <w:color w:val="0072BC"/>
          <w:lang w:val="pl"/>
        </w:rPr>
        <w:t xml:space="preserve"> </w:t>
      </w:r>
      <w:hyperlink r:id="rId1299" w:history="1">
        <w:r>
          <w:rPr>
            <w:i/>
            <w:iCs/>
            <w:color w:val="0072BC"/>
            <w:lang w:val="pl"/>
          </w:rPr>
          <w:t xml:space="preserve">p. Belgii i innym </w:t>
        </w:r>
      </w:hyperlink>
      <w:r>
        <w:rPr>
          <w:lang w:val="pl"/>
        </w:rPr>
        <w:t>(dec.) [WI], §§ 61 i 67;</w:t>
      </w:r>
      <w:hyperlink r:id="rId1300" w:history="1">
        <w:r>
          <w:rPr>
            <w:i/>
            <w:iCs/>
            <w:lang w:val="pl"/>
          </w:rPr>
          <w:t xml:space="preserve"> </w:t>
        </w:r>
        <w:r>
          <w:rPr>
            <w:i/>
            <w:iCs/>
            <w:color w:val="0072BC"/>
            <w:lang w:val="pl"/>
          </w:rPr>
          <w:t>Catan i Inni p. Republice Mołdawii i</w:t>
        </w:r>
      </w:hyperlink>
      <w:r w:rsidR="00442B28">
        <w:rPr>
          <w:i/>
          <w:iCs/>
          <w:color w:val="0072BC"/>
          <w:lang w:val="pl"/>
        </w:rPr>
        <w:t> </w:t>
      </w:r>
      <w:hyperlink r:id="rId1301" w:history="1">
        <w:r>
          <w:rPr>
            <w:i/>
            <w:iCs/>
            <w:color w:val="0072BC"/>
            <w:lang w:val="pl"/>
          </w:rPr>
          <w:t xml:space="preserve">Rosji </w:t>
        </w:r>
      </w:hyperlink>
      <w:r>
        <w:rPr>
          <w:lang w:val="pl"/>
        </w:rPr>
        <w:t xml:space="preserve">[WI], § 104). Uznaje się, że jurysdykcja zwykle obejmuje całe terytorium państwa </w:t>
      </w:r>
      <w:hyperlink r:id="rId1302" w:history="1">
        <w:r>
          <w:rPr>
            <w:lang w:val="pl"/>
          </w:rPr>
          <w:t>(</w:t>
        </w:r>
        <w:r w:rsidR="00F22418">
          <w:rPr>
            <w:i/>
            <w:iCs/>
            <w:color w:val="0072BC"/>
            <w:lang w:val="pl"/>
          </w:rPr>
          <w:t>N.D. i N.T. p. </w:t>
        </w:r>
        <w:r>
          <w:rPr>
            <w:i/>
            <w:iCs/>
            <w:color w:val="0072BC"/>
            <w:lang w:val="pl"/>
          </w:rPr>
          <w:t xml:space="preserve">Hiszpanii </w:t>
        </w:r>
      </w:hyperlink>
      <w:r>
        <w:rPr>
          <w:lang w:val="pl"/>
        </w:rPr>
        <w:t>[WI], §§ 102-103, 105 i nast.;</w:t>
      </w:r>
      <w:hyperlink r:id="rId1303" w:history="1">
        <w:r>
          <w:rPr>
            <w:i/>
            <w:iCs/>
            <w:lang w:val="pl"/>
          </w:rPr>
          <w:t xml:space="preserve"> </w:t>
        </w:r>
        <w:r>
          <w:rPr>
            <w:i/>
            <w:iCs/>
            <w:color w:val="0072BC"/>
            <w:lang w:val="pl"/>
          </w:rPr>
          <w:t xml:space="preserve">Assanidze p. Gruzji </w:t>
        </w:r>
      </w:hyperlink>
      <w:r>
        <w:rPr>
          <w:lang w:val="pl"/>
        </w:rPr>
        <w:t xml:space="preserve">[WI], § 139; </w:t>
      </w:r>
      <w:hyperlink r:id="rId1304" w:history="1">
        <w:r>
          <w:rPr>
            <w:i/>
            <w:iCs/>
            <w:color w:val="0072BC"/>
            <w:lang w:val="pl"/>
          </w:rPr>
          <w:t xml:space="preserve">Sargsyan p. Azerbejdżanowi </w:t>
        </w:r>
      </w:hyperlink>
      <w:r>
        <w:rPr>
          <w:lang w:val="pl"/>
        </w:rPr>
        <w:t>[WI], §§ 129, 139 i 150). Jurysdykcja może też być wykonywana na granicy (np. gdy funkcjonariusze graniczni odmówili przyjęcia wniosków o azyl i wpuszczenia wniosk</w:t>
      </w:r>
      <w:r w:rsidR="00442B28">
        <w:rPr>
          <w:lang w:val="pl"/>
        </w:rPr>
        <w:t>odawców na terytorium państwa w </w:t>
      </w:r>
      <w:r>
        <w:rPr>
          <w:lang w:val="pl"/>
        </w:rPr>
        <w:t>sprawie</w:t>
      </w:r>
      <w:hyperlink r:id="rId1305" w:history="1">
        <w:r>
          <w:rPr>
            <w:i/>
            <w:iCs/>
            <w:lang w:val="pl"/>
          </w:rPr>
          <w:t xml:space="preserve"> </w:t>
        </w:r>
        <w:r>
          <w:rPr>
            <w:i/>
            <w:iCs/>
            <w:color w:val="0072BC"/>
            <w:lang w:val="pl"/>
          </w:rPr>
          <w:t>M.A. i Inni p. Litwie</w:t>
        </w:r>
        <w:r>
          <w:rPr>
            <w:lang w:val="pl"/>
          </w:rPr>
          <w:t>,</w:t>
        </w:r>
      </w:hyperlink>
      <w:r>
        <w:rPr>
          <w:lang w:val="pl"/>
        </w:rPr>
        <w:t xml:space="preserve"> §§ 69</w:t>
      </w:r>
      <w:r>
        <w:rPr>
          <w:lang w:val="pl"/>
        </w:rPr>
        <w:noBreakHyphen/>
        <w:t>70;</w:t>
      </w:r>
      <w:hyperlink r:id="rId1306" w:history="1">
        <w:r>
          <w:rPr>
            <w:i/>
            <w:iCs/>
            <w:lang w:val="pl"/>
          </w:rPr>
          <w:t xml:space="preserve"> </w:t>
        </w:r>
        <w:r>
          <w:rPr>
            <w:i/>
            <w:iCs/>
            <w:color w:val="0072BC"/>
            <w:lang w:val="pl"/>
          </w:rPr>
          <w:t>M.K. i Inni</w:t>
        </w:r>
      </w:hyperlink>
      <w:r>
        <w:rPr>
          <w:i/>
          <w:iCs/>
          <w:color w:val="0072BC"/>
          <w:lang w:val="pl"/>
        </w:rPr>
        <w:t xml:space="preserve"> </w:t>
      </w:r>
      <w:hyperlink r:id="rId1307" w:history="1">
        <w:r>
          <w:rPr>
            <w:i/>
            <w:iCs/>
            <w:color w:val="0072BC"/>
            <w:lang w:val="pl"/>
          </w:rPr>
          <w:t>p. Polsce</w:t>
        </w:r>
        <w:r>
          <w:rPr>
            <w:lang w:val="pl"/>
          </w:rPr>
          <w:t xml:space="preserve">, </w:t>
        </w:r>
      </w:hyperlink>
      <w:r>
        <w:rPr>
          <w:lang w:val="pl"/>
        </w:rPr>
        <w:t xml:space="preserve">§§ 126-132). Pojęcie „jurysdykcji” należy rozumieć w sposób odzwierciedlający jego znaczenie w prawie międzynarodowym publicznym, zgodnie </w:t>
      </w:r>
      <w:r>
        <w:rPr>
          <w:lang w:val="pl"/>
        </w:rPr>
        <w:lastRenderedPageBreak/>
        <w:t>z którym to, że istnieje ogrodzenie zbudowane w pewnej odległości od granicy, nie upoważnia państwa do jednostronnego wyłączania, zmieniania lub ograniczania swojej właściwości miejscowej, która zaczyna obowiązywać na linii tworzącej granicę. Trybunał przyjął do wiadomości, że państwa, których granice są granicą zewnętrzną strefy Schengen, mierzą się ze zna</w:t>
      </w:r>
      <w:r w:rsidR="00442B28">
        <w:rPr>
          <w:lang w:val="pl"/>
        </w:rPr>
        <w:t>cznymi trudnościami w związku z </w:t>
      </w:r>
      <w:r>
        <w:rPr>
          <w:lang w:val="pl"/>
        </w:rPr>
        <w:t xml:space="preserve">rosnącym napływem migrantów i osób ubiegających się o azyl, lecz nie wyciągał żadnych wniosków odnośnie do jurysdykcji tych państw </w:t>
      </w:r>
      <w:hyperlink r:id="rId1308" w:history="1">
        <w:r>
          <w:rPr>
            <w:lang w:val="pl"/>
          </w:rPr>
          <w:t>(</w:t>
        </w:r>
        <w:r>
          <w:rPr>
            <w:i/>
            <w:iCs/>
            <w:color w:val="0072BC"/>
            <w:lang w:val="pl"/>
          </w:rPr>
          <w:t xml:space="preserve">N.D. i N.T. p. Hiszpanii </w:t>
        </w:r>
      </w:hyperlink>
      <w:r>
        <w:rPr>
          <w:lang w:val="pl"/>
        </w:rPr>
        <w:t>[WI], §§ 104-111, gdzie państwo powołało się na wyjątek od reguły właściwości miejscowej w kontekście nielegalnej imigracji, §§ 107-108).</w:t>
      </w:r>
    </w:p>
    <w:p w:rsidR="00B71A20" w:rsidRDefault="000425B4" w:rsidP="00115011">
      <w:pPr>
        <w:pStyle w:val="Teksttreci0"/>
        <w:numPr>
          <w:ilvl w:val="0"/>
          <w:numId w:val="60"/>
        </w:numPr>
        <w:tabs>
          <w:tab w:val="left" w:pos="505"/>
        </w:tabs>
        <w:jc w:val="both"/>
      </w:pPr>
      <w:r>
        <w:rPr>
          <w:lang w:val="pl"/>
        </w:rPr>
        <w:t xml:space="preserve">Państwa mogą zostać pociągnięte do odpowiedzialności za działania ich władz, które zostały podjęte lub wywołały skutki poza ich własnym terytorium </w:t>
      </w:r>
      <w:hyperlink r:id="rId1309" w:history="1">
        <w:r>
          <w:rPr>
            <w:lang w:val="pl"/>
          </w:rPr>
          <w:t>(</w:t>
        </w:r>
        <w:r>
          <w:rPr>
            <w:i/>
            <w:iCs/>
            <w:color w:val="0072BC"/>
            <w:lang w:val="pl"/>
          </w:rPr>
          <w:t>Drozd i Janousek p. Francji i Hiszpanii</w:t>
        </w:r>
        <w:r>
          <w:rPr>
            <w:lang w:val="pl"/>
          </w:rPr>
          <w:t>,</w:t>
        </w:r>
      </w:hyperlink>
      <w:r>
        <w:rPr>
          <w:lang w:val="pl"/>
        </w:rPr>
        <w:t xml:space="preserve"> § 91;</w:t>
      </w:r>
      <w:hyperlink r:id="rId1310" w:history="1">
        <w:r>
          <w:rPr>
            <w:i/>
            <w:iCs/>
            <w:lang w:val="pl"/>
          </w:rPr>
          <w:t xml:space="preserve"> </w:t>
        </w:r>
        <w:r>
          <w:rPr>
            <w:i/>
            <w:iCs/>
            <w:color w:val="0072BC"/>
            <w:lang w:val="pl"/>
          </w:rPr>
          <w:t>Soering p. Wielkiej</w:t>
        </w:r>
      </w:hyperlink>
      <w:r>
        <w:rPr>
          <w:i/>
          <w:iCs/>
          <w:color w:val="0072BC"/>
          <w:lang w:val="pl"/>
        </w:rPr>
        <w:t xml:space="preserve"> </w:t>
      </w:r>
      <w:hyperlink r:id="rId1311" w:history="1">
        <w:r>
          <w:rPr>
            <w:i/>
            <w:iCs/>
            <w:color w:val="0072BC"/>
            <w:lang w:val="pl"/>
          </w:rPr>
          <w:t>Brytanii</w:t>
        </w:r>
        <w:r>
          <w:rPr>
            <w:lang w:val="pl"/>
          </w:rPr>
          <w:t>,</w:t>
        </w:r>
      </w:hyperlink>
      <w:r>
        <w:rPr>
          <w:lang w:val="pl"/>
        </w:rPr>
        <w:t xml:space="preserve"> §§ 86 i 91;</w:t>
      </w:r>
      <w:hyperlink r:id="rId1312" w:history="1">
        <w:r>
          <w:rPr>
            <w:i/>
            <w:iCs/>
            <w:lang w:val="pl"/>
          </w:rPr>
          <w:t xml:space="preserve"> </w:t>
        </w:r>
        <w:r>
          <w:rPr>
            <w:i/>
            <w:iCs/>
            <w:color w:val="0072BC"/>
            <w:lang w:val="pl"/>
          </w:rPr>
          <w:t xml:space="preserve">Loizidou p. Turcji </w:t>
        </w:r>
      </w:hyperlink>
      <w:r>
        <w:rPr>
          <w:lang w:val="pl"/>
        </w:rPr>
        <w:t xml:space="preserve">(zastrzeżenia wstępne), § 62). Takie sytuacje stanowią jednak wyjątek </w:t>
      </w:r>
      <w:hyperlink r:id="rId1313" w:history="1">
        <w:r>
          <w:rPr>
            <w:lang w:val="pl"/>
          </w:rPr>
          <w:t>(</w:t>
        </w:r>
        <w:r>
          <w:rPr>
            <w:i/>
            <w:iCs/>
            <w:color w:val="0072BC"/>
            <w:lang w:val="pl"/>
          </w:rPr>
          <w:t xml:space="preserve">Banković i Inni p. Belgii i innym </w:t>
        </w:r>
      </w:hyperlink>
      <w:r>
        <w:rPr>
          <w:lang w:val="pl"/>
        </w:rPr>
        <w:t>(dec.) [WI], § 71;</w:t>
      </w:r>
      <w:hyperlink r:id="rId1314" w:history="1">
        <w:r>
          <w:rPr>
            <w:i/>
            <w:iCs/>
            <w:lang w:val="pl"/>
          </w:rPr>
          <w:t xml:space="preserve"> </w:t>
        </w:r>
        <w:r>
          <w:rPr>
            <w:i/>
            <w:iCs/>
            <w:color w:val="0072BC"/>
            <w:lang w:val="pl"/>
          </w:rPr>
          <w:t>Ilaşcu i Inni</w:t>
        </w:r>
      </w:hyperlink>
      <w:r>
        <w:rPr>
          <w:i/>
          <w:iCs/>
          <w:color w:val="0072BC"/>
          <w:lang w:val="pl"/>
        </w:rPr>
        <w:t xml:space="preserve"> </w:t>
      </w:r>
      <w:hyperlink r:id="rId1315" w:history="1">
        <w:r w:rsidR="00442B28">
          <w:rPr>
            <w:i/>
            <w:iCs/>
            <w:color w:val="0072BC"/>
            <w:lang w:val="pl"/>
          </w:rPr>
          <w:t>p. Mołdawii i </w:t>
        </w:r>
        <w:r>
          <w:rPr>
            <w:i/>
            <w:iCs/>
            <w:color w:val="0072BC"/>
            <w:lang w:val="pl"/>
          </w:rPr>
          <w:t xml:space="preserve">Rosji </w:t>
        </w:r>
      </w:hyperlink>
      <w:r>
        <w:rPr>
          <w:lang w:val="pl"/>
        </w:rPr>
        <w:t xml:space="preserve">[WI], § 314), tj. kiedy układające się państwo sprawuje faktyczną kontrolę nad obszarem lub co najmniej wywiera decydujący wpływ na tym obszarze </w:t>
      </w:r>
      <w:hyperlink r:id="rId1316" w:history="1">
        <w:r>
          <w:rPr>
            <w:lang w:val="pl"/>
          </w:rPr>
          <w:t>(</w:t>
        </w:r>
        <w:r>
          <w:rPr>
            <w:i/>
            <w:iCs/>
            <w:color w:val="0072BC"/>
            <w:lang w:val="pl"/>
          </w:rPr>
          <w:t>ibid</w:t>
        </w:r>
        <w:r>
          <w:rPr>
            <w:color w:val="0072BC"/>
            <w:lang w:val="pl"/>
          </w:rPr>
          <w:t>.</w:t>
        </w:r>
        <w:r>
          <w:rPr>
            <w:lang w:val="pl"/>
          </w:rPr>
          <w:t>,</w:t>
        </w:r>
      </w:hyperlink>
      <w:r>
        <w:rPr>
          <w:lang w:val="pl"/>
        </w:rPr>
        <w:t xml:space="preserve"> §§ 314-316 i 392;</w:t>
      </w:r>
      <w:hyperlink r:id="rId1317" w:history="1">
        <w:r>
          <w:rPr>
            <w:i/>
            <w:iCs/>
            <w:lang w:val="pl"/>
          </w:rPr>
          <w:t xml:space="preserve"> </w:t>
        </w:r>
        <w:r>
          <w:rPr>
            <w:i/>
            <w:iCs/>
            <w:color w:val="0072BC"/>
            <w:lang w:val="pl"/>
          </w:rPr>
          <w:t>Catan i Inni</w:t>
        </w:r>
      </w:hyperlink>
      <w:r>
        <w:rPr>
          <w:i/>
          <w:iCs/>
          <w:color w:val="0072BC"/>
          <w:lang w:val="pl"/>
        </w:rPr>
        <w:t xml:space="preserve"> </w:t>
      </w:r>
      <w:hyperlink r:id="rId1318" w:history="1">
        <w:r>
          <w:rPr>
            <w:i/>
            <w:iCs/>
            <w:color w:val="0072BC"/>
            <w:lang w:val="pl"/>
          </w:rPr>
          <w:t xml:space="preserve">p. Republice Mołdawii i Rosji </w:t>
        </w:r>
      </w:hyperlink>
      <w:r>
        <w:rPr>
          <w:lang w:val="pl"/>
        </w:rPr>
        <w:t>[WI], §§ 106-107;</w:t>
      </w:r>
      <w:hyperlink r:id="rId1319" w:history="1">
        <w:r>
          <w:rPr>
            <w:i/>
            <w:iCs/>
            <w:lang w:val="pl"/>
          </w:rPr>
          <w:t xml:space="preserve"> </w:t>
        </w:r>
        <w:r>
          <w:rPr>
            <w:i/>
            <w:iCs/>
            <w:color w:val="0072BC"/>
            <w:lang w:val="pl"/>
          </w:rPr>
          <w:t xml:space="preserve">Al-Skeini p. Wielkiej Brytanii </w:t>
        </w:r>
      </w:hyperlink>
      <w:r>
        <w:rPr>
          <w:lang w:val="pl"/>
        </w:rPr>
        <w:t>[WI], §§ 138-140;</w:t>
      </w:r>
      <w:hyperlink r:id="rId1320" w:history="1">
        <w:r>
          <w:rPr>
            <w:i/>
            <w:iCs/>
            <w:lang w:val="pl"/>
          </w:rPr>
          <w:t xml:space="preserve"> </w:t>
        </w:r>
        <w:r w:rsidR="00442B28">
          <w:rPr>
            <w:i/>
            <w:iCs/>
            <w:color w:val="0072BC"/>
            <w:lang w:val="pl"/>
          </w:rPr>
          <w:t>Medvedyev i Inni p. </w:t>
        </w:r>
        <w:r>
          <w:rPr>
            <w:i/>
            <w:iCs/>
            <w:color w:val="0072BC"/>
            <w:lang w:val="pl"/>
          </w:rPr>
          <w:t xml:space="preserve">Francji </w:t>
        </w:r>
      </w:hyperlink>
      <w:r>
        <w:rPr>
          <w:lang w:val="pl"/>
        </w:rPr>
        <w:t>[WI], §§ 63-64;</w:t>
      </w:r>
      <w:hyperlink r:id="rId1321" w:history="1">
        <w:r>
          <w:rPr>
            <w:i/>
            <w:iCs/>
            <w:lang w:val="pl"/>
          </w:rPr>
          <w:t xml:space="preserve"> </w:t>
        </w:r>
        <w:r>
          <w:rPr>
            <w:i/>
            <w:iCs/>
            <w:color w:val="0072BC"/>
            <w:lang w:val="pl"/>
          </w:rPr>
          <w:t xml:space="preserve">Gruzja p. Rosji (II) </w:t>
        </w:r>
      </w:hyperlink>
      <w:r>
        <w:rPr>
          <w:lang w:val="pl"/>
        </w:rPr>
        <w:t>[WI], §§ 161-175, sprawa dotycząca fazy okupacji po zakończeniu działań wojennych). Jeśli chodzi o pojęcia „skutecznej kontroli” nad danym obszarem oraz skutecznej kontroli z użyciem sił zbrojnych państwa, patrz</w:t>
      </w:r>
      <w:hyperlink r:id="rId1322" w:history="1">
        <w:r>
          <w:rPr>
            <w:lang w:val="pl"/>
          </w:rPr>
          <w:t xml:space="preserve"> </w:t>
        </w:r>
        <w:r>
          <w:rPr>
            <w:i/>
            <w:iCs/>
            <w:color w:val="0072BC"/>
            <w:lang w:val="pl"/>
          </w:rPr>
          <w:t>Ilaşcu i</w:t>
        </w:r>
      </w:hyperlink>
      <w:r>
        <w:rPr>
          <w:i/>
          <w:iCs/>
          <w:color w:val="0072BC"/>
          <w:lang w:val="pl"/>
        </w:rPr>
        <w:t xml:space="preserve"> </w:t>
      </w:r>
      <w:hyperlink r:id="rId1323" w:history="1">
        <w:r>
          <w:rPr>
            <w:i/>
            <w:iCs/>
            <w:color w:val="0072BC"/>
            <w:lang w:val="pl"/>
          </w:rPr>
          <w:t xml:space="preserve">inni p. Mołdawii i Rosji </w:t>
        </w:r>
      </w:hyperlink>
      <w:r>
        <w:rPr>
          <w:lang w:val="pl"/>
        </w:rPr>
        <w:t>[WI], §§ 314-316; patrz również</w:t>
      </w:r>
      <w:hyperlink r:id="rId1324" w:history="1">
        <w:r>
          <w:rPr>
            <w:lang w:val="pl"/>
          </w:rPr>
          <w:t xml:space="preserve"> </w:t>
        </w:r>
        <w:r>
          <w:rPr>
            <w:i/>
            <w:iCs/>
            <w:color w:val="0072BC"/>
            <w:lang w:val="pl"/>
          </w:rPr>
          <w:t>Banković i Inni p. Belgii i innym</w:t>
        </w:r>
      </w:hyperlink>
      <w:r>
        <w:rPr>
          <w:color w:val="0072BC"/>
          <w:lang w:val="pl"/>
        </w:rPr>
        <w:t xml:space="preserve"> </w:t>
      </w:r>
      <w:r>
        <w:rPr>
          <w:lang w:val="pl"/>
        </w:rPr>
        <w:t>[WI] (dec.), § 67 i nast. oraz §§ 74-82;</w:t>
      </w:r>
      <w:hyperlink r:id="rId1325" w:history="1">
        <w:r>
          <w:rPr>
            <w:lang w:val="pl"/>
          </w:rPr>
          <w:t xml:space="preserve"> </w:t>
        </w:r>
        <w:r>
          <w:rPr>
            <w:i/>
            <w:iCs/>
            <w:color w:val="0072BC"/>
            <w:lang w:val="pl"/>
          </w:rPr>
          <w:t xml:space="preserve">Cypr p. Turcji </w:t>
        </w:r>
      </w:hyperlink>
      <w:r>
        <w:rPr>
          <w:lang w:val="pl"/>
        </w:rPr>
        <w:t>[WI], §§ 75-81;</w:t>
      </w:r>
      <w:hyperlink r:id="rId1326" w:history="1">
        <w:r>
          <w:rPr>
            <w:lang w:val="pl"/>
          </w:rPr>
          <w:t xml:space="preserve"> </w:t>
        </w:r>
        <w:r>
          <w:rPr>
            <w:i/>
            <w:iCs/>
            <w:color w:val="0072BC"/>
            <w:lang w:val="pl"/>
          </w:rPr>
          <w:t xml:space="preserve">Loizidou p. Turcji </w:t>
        </w:r>
      </w:hyperlink>
      <w:r>
        <w:rPr>
          <w:lang w:val="pl"/>
        </w:rPr>
        <w:t>(przedmiot skargi), §§ 52-57;</w:t>
      </w:r>
      <w:hyperlink r:id="rId1327" w:history="1">
        <w:r>
          <w:rPr>
            <w:lang w:val="pl"/>
          </w:rPr>
          <w:t xml:space="preserve"> </w:t>
        </w:r>
        <w:r>
          <w:rPr>
            <w:i/>
            <w:iCs/>
            <w:color w:val="0072BC"/>
            <w:lang w:val="pl"/>
          </w:rPr>
          <w:t xml:space="preserve">Hassan p. Wielkiej Brytanii </w:t>
        </w:r>
      </w:hyperlink>
      <w:r>
        <w:rPr>
          <w:lang w:val="pl"/>
        </w:rPr>
        <w:t>[WI], § 75;</w:t>
      </w:r>
      <w:hyperlink r:id="rId1328" w:history="1">
        <w:r>
          <w:rPr>
            <w:lang w:val="pl"/>
          </w:rPr>
          <w:t xml:space="preserve"> </w:t>
        </w:r>
        <w:r>
          <w:rPr>
            <w:i/>
            <w:iCs/>
            <w:color w:val="0072BC"/>
            <w:lang w:val="pl"/>
          </w:rPr>
          <w:t xml:space="preserve">Ukraina p. Rosji (dot. Krymu) </w:t>
        </w:r>
      </w:hyperlink>
      <w:r>
        <w:rPr>
          <w:lang w:val="pl"/>
        </w:rPr>
        <w:t>(dec.) [WI], §§ 315-335;</w:t>
      </w:r>
      <w:hyperlink r:id="rId1329" w:history="1">
        <w:r>
          <w:rPr>
            <w:lang w:val="pl"/>
          </w:rPr>
          <w:t xml:space="preserve"> </w:t>
        </w:r>
        <w:r>
          <w:rPr>
            <w:i/>
            <w:iCs/>
            <w:color w:val="0072BC"/>
            <w:lang w:val="pl"/>
          </w:rPr>
          <w:t xml:space="preserve">Gruzja p. Rosji (II) </w:t>
        </w:r>
      </w:hyperlink>
      <w:r>
        <w:rPr>
          <w:lang w:val="pl"/>
        </w:rPr>
        <w:t>[WI], §§ 126 i 165. Co do pojęcia skutecznej kontroli sprawowanej nie bezpośrednio lecz za pośrednictwem podległej administracji lokalnej, która istnieje tylko dzięki wsparciu tego państwa, patrz</w:t>
      </w:r>
      <w:hyperlink r:id="rId1330" w:history="1">
        <w:r>
          <w:rPr>
            <w:lang w:val="pl"/>
          </w:rPr>
          <w:t xml:space="preserve"> </w:t>
        </w:r>
        <w:r>
          <w:rPr>
            <w:i/>
            <w:iCs/>
            <w:color w:val="0072BC"/>
            <w:lang w:val="pl"/>
          </w:rPr>
          <w:t>Catan</w:t>
        </w:r>
        <w:r w:rsidR="00442B28">
          <w:rPr>
            <w:i/>
            <w:iCs/>
            <w:color w:val="0072BC"/>
            <w:lang w:val="pl"/>
          </w:rPr>
          <w:t xml:space="preserve"> i Inni p. Republice Mołdawii i </w:t>
        </w:r>
        <w:r>
          <w:rPr>
            <w:i/>
            <w:iCs/>
            <w:color w:val="0072BC"/>
            <w:lang w:val="pl"/>
          </w:rPr>
          <w:t xml:space="preserve">Rosji </w:t>
        </w:r>
      </w:hyperlink>
      <w:r>
        <w:rPr>
          <w:lang w:val="pl"/>
        </w:rPr>
        <w:t>[WI], §§ 116</w:t>
      </w:r>
      <w:r>
        <w:rPr>
          <w:lang w:val="pl"/>
        </w:rPr>
        <w:noBreakHyphen/>
        <w:t>122;</w:t>
      </w:r>
      <w:hyperlink r:id="rId1331" w:history="1">
        <w:r>
          <w:rPr>
            <w:lang w:val="pl"/>
          </w:rPr>
          <w:t xml:space="preserve"> </w:t>
        </w:r>
        <w:r>
          <w:rPr>
            <w:i/>
            <w:iCs/>
            <w:color w:val="0072BC"/>
            <w:lang w:val="pl"/>
          </w:rPr>
          <w:t>Chiragov i Inni</w:t>
        </w:r>
      </w:hyperlink>
      <w:r>
        <w:rPr>
          <w:i/>
          <w:iCs/>
          <w:color w:val="0072BC"/>
          <w:lang w:val="pl"/>
        </w:rPr>
        <w:t xml:space="preserve"> </w:t>
      </w:r>
      <w:hyperlink r:id="rId1332" w:history="1">
        <w:r>
          <w:rPr>
            <w:i/>
            <w:iCs/>
            <w:color w:val="0072BC"/>
            <w:lang w:val="pl"/>
          </w:rPr>
          <w:t xml:space="preserve">p. Armenii </w:t>
        </w:r>
      </w:hyperlink>
      <w:r>
        <w:rPr>
          <w:lang w:val="pl"/>
        </w:rPr>
        <w:t>[WI], §§ 169</w:t>
      </w:r>
      <w:r>
        <w:rPr>
          <w:lang w:val="pl"/>
        </w:rPr>
        <w:noBreakHyphen/>
        <w:t>186;</w:t>
      </w:r>
      <w:hyperlink r:id="rId1333" w:history="1">
        <w:r>
          <w:rPr>
            <w:lang w:val="pl"/>
          </w:rPr>
          <w:t xml:space="preserve"> </w:t>
        </w:r>
        <w:r>
          <w:rPr>
            <w:i/>
            <w:iCs/>
            <w:color w:val="0072BC"/>
            <w:lang w:val="pl"/>
          </w:rPr>
          <w:t xml:space="preserve">Gruzja p. Rosji (II) </w:t>
        </w:r>
      </w:hyperlink>
      <w:r>
        <w:rPr>
          <w:lang w:val="pl"/>
        </w:rPr>
        <w:t>[WI], §§ 166-174. Jako przykład skutecznej kontroli nad danym obszarem w kontekście rzekomej „aneksji” terytorium jednego układającego się państwa przez inne układające się państwo patrz</w:t>
      </w:r>
      <w:hyperlink r:id="rId1334" w:history="1">
        <w:r>
          <w:rPr>
            <w:i/>
            <w:iCs/>
            <w:lang w:val="pl"/>
          </w:rPr>
          <w:t xml:space="preserve"> </w:t>
        </w:r>
        <w:r>
          <w:rPr>
            <w:i/>
            <w:iCs/>
            <w:color w:val="0072BC"/>
            <w:lang w:val="pl"/>
          </w:rPr>
          <w:t xml:space="preserve">Ukraina p. Rosji (dot. Krymu) </w:t>
        </w:r>
      </w:hyperlink>
      <w:r>
        <w:rPr>
          <w:lang w:val="pl"/>
        </w:rPr>
        <w:t>(dec.) [WI], §§ 338-349.</w:t>
      </w:r>
    </w:p>
    <w:p w:rsidR="00B71A20" w:rsidRPr="00442B28" w:rsidRDefault="000425B4" w:rsidP="00115011">
      <w:pPr>
        <w:pStyle w:val="Teksttreci0"/>
        <w:numPr>
          <w:ilvl w:val="0"/>
          <w:numId w:val="60"/>
        </w:numPr>
        <w:tabs>
          <w:tab w:val="left" w:pos="514"/>
        </w:tabs>
        <w:jc w:val="both"/>
        <w:rPr>
          <w:lang w:val="pl-PL"/>
        </w:rPr>
      </w:pPr>
      <w:r>
        <w:rPr>
          <w:lang w:val="pl"/>
        </w:rPr>
        <w:t>Państwo może zostać pociągnięte do odpowiedzialności</w:t>
      </w:r>
      <w:r w:rsidR="00442B28">
        <w:rPr>
          <w:lang w:val="pl"/>
        </w:rPr>
        <w:t xml:space="preserve"> za naruszenie praw zawartych w </w:t>
      </w:r>
      <w:r>
        <w:rPr>
          <w:lang w:val="pl"/>
        </w:rPr>
        <w:t xml:space="preserve">Konwencji w stosunku do osób, które znajdują się na terytorium innego państwa, które z kolei znajduje się pod władzą i kontrolą tego państwa, sprawowaną za pośrednictwem jego przedstawicieli działających – prawnie bądź też bezprawnie – na obszarze tego drugiego państwa </w:t>
      </w:r>
      <w:hyperlink r:id="rId1335" w:history="1">
        <w:r>
          <w:rPr>
            <w:lang w:val="pl"/>
          </w:rPr>
          <w:t>(</w:t>
        </w:r>
        <w:r>
          <w:rPr>
            <w:i/>
            <w:iCs/>
            <w:color w:val="0072BC"/>
            <w:lang w:val="pl"/>
          </w:rPr>
          <w:t>Issa i</w:t>
        </w:r>
      </w:hyperlink>
      <w:r>
        <w:rPr>
          <w:i/>
          <w:iCs/>
          <w:color w:val="0072BC"/>
          <w:lang w:val="pl"/>
        </w:rPr>
        <w:t xml:space="preserve"> </w:t>
      </w:r>
      <w:hyperlink r:id="rId1336" w:history="1">
        <w:r>
          <w:rPr>
            <w:i/>
            <w:iCs/>
            <w:color w:val="0072BC"/>
            <w:lang w:val="pl"/>
          </w:rPr>
          <w:t>Inni p. Turcji</w:t>
        </w:r>
        <w:r>
          <w:rPr>
            <w:lang w:val="pl"/>
          </w:rPr>
          <w:t>,</w:t>
        </w:r>
      </w:hyperlink>
      <w:r>
        <w:rPr>
          <w:lang w:val="pl"/>
        </w:rPr>
        <w:t xml:space="preserve"> § 71;</w:t>
      </w:r>
      <w:hyperlink r:id="rId1337" w:history="1">
        <w:r>
          <w:rPr>
            <w:lang w:val="pl"/>
          </w:rPr>
          <w:t xml:space="preserve"> </w:t>
        </w:r>
        <w:r>
          <w:rPr>
            <w:i/>
            <w:iCs/>
            <w:color w:val="0072BC"/>
            <w:lang w:val="pl"/>
          </w:rPr>
          <w:t>Sánchez Ramirez p. Francji</w:t>
        </w:r>
        <w:r>
          <w:rPr>
            <w:lang w:val="pl"/>
          </w:rPr>
          <w:t>,</w:t>
        </w:r>
      </w:hyperlink>
      <w:r>
        <w:rPr>
          <w:lang w:val="pl"/>
        </w:rPr>
        <w:t xml:space="preserve"> decyzja Komisji;</w:t>
      </w:r>
      <w:hyperlink r:id="rId1338" w:history="1">
        <w:r>
          <w:rPr>
            <w:lang w:val="pl"/>
          </w:rPr>
          <w:t xml:space="preserve"> </w:t>
        </w:r>
        <w:r>
          <w:rPr>
            <w:i/>
            <w:iCs/>
            <w:color w:val="0072BC"/>
            <w:lang w:val="pl"/>
          </w:rPr>
          <w:t xml:space="preserve">Öcalan p. Turcji </w:t>
        </w:r>
      </w:hyperlink>
      <w:r>
        <w:rPr>
          <w:lang w:val="pl"/>
        </w:rPr>
        <w:t xml:space="preserve">[WI], § 91; </w:t>
      </w:r>
      <w:hyperlink r:id="rId1339" w:history="1">
        <w:r>
          <w:rPr>
            <w:i/>
            <w:iCs/>
            <w:color w:val="0072BC"/>
            <w:lang w:val="pl"/>
          </w:rPr>
          <w:t>Veronica Ciobanu p. Republice Mołdawii</w:t>
        </w:r>
        <w:r>
          <w:rPr>
            <w:lang w:val="pl"/>
          </w:rPr>
          <w:t>,</w:t>
        </w:r>
      </w:hyperlink>
      <w:r>
        <w:rPr>
          <w:lang w:val="pl"/>
        </w:rPr>
        <w:t xml:space="preserve"> §§ 25-26; operacje wojskowe za granicą, patrz</w:t>
      </w:r>
      <w:hyperlink r:id="rId1340" w:history="1">
        <w:r>
          <w:rPr>
            <w:lang w:val="pl"/>
          </w:rPr>
          <w:t xml:space="preserve"> </w:t>
        </w:r>
        <w:r>
          <w:rPr>
            <w:i/>
            <w:iCs/>
            <w:color w:val="0072BC"/>
            <w:lang w:val="pl"/>
          </w:rPr>
          <w:t>Al-Skeini</w:t>
        </w:r>
      </w:hyperlink>
      <w:r>
        <w:rPr>
          <w:i/>
          <w:iCs/>
          <w:color w:val="0072BC"/>
          <w:lang w:val="pl"/>
        </w:rPr>
        <w:t xml:space="preserve"> </w:t>
      </w:r>
      <w:hyperlink r:id="rId1341" w:history="1">
        <w:r>
          <w:rPr>
            <w:i/>
            <w:iCs/>
            <w:color w:val="0072BC"/>
            <w:lang w:val="pl"/>
          </w:rPr>
          <w:t xml:space="preserve">p. Wielkiej Brytanii </w:t>
        </w:r>
      </w:hyperlink>
      <w:r>
        <w:rPr>
          <w:lang w:val="pl"/>
        </w:rPr>
        <w:t>[WI], § 149;</w:t>
      </w:r>
      <w:hyperlink r:id="rId1342" w:history="1">
        <w:r>
          <w:rPr>
            <w:lang w:val="pl"/>
          </w:rPr>
          <w:t xml:space="preserve"> </w:t>
        </w:r>
        <w:r>
          <w:rPr>
            <w:i/>
            <w:iCs/>
            <w:color w:val="0072BC"/>
            <w:lang w:val="pl"/>
          </w:rPr>
          <w:t xml:space="preserve">Hassan p. Wielkiej Brytanii </w:t>
        </w:r>
      </w:hyperlink>
      <w:r>
        <w:rPr>
          <w:lang w:val="pl"/>
        </w:rPr>
        <w:t>[WI], §§ 76-80;</w:t>
      </w:r>
      <w:hyperlink r:id="rId1343" w:history="1">
        <w:r>
          <w:rPr>
            <w:lang w:val="pl"/>
          </w:rPr>
          <w:t xml:space="preserve"> </w:t>
        </w:r>
        <w:r>
          <w:rPr>
            <w:i/>
            <w:iCs/>
            <w:color w:val="0072BC"/>
            <w:lang w:val="pl"/>
          </w:rPr>
          <w:t>Jaloud p.</w:t>
        </w:r>
      </w:hyperlink>
      <w:r>
        <w:rPr>
          <w:i/>
          <w:iCs/>
          <w:color w:val="0072BC"/>
          <w:lang w:val="pl"/>
        </w:rPr>
        <w:t xml:space="preserve"> </w:t>
      </w:r>
      <w:hyperlink r:id="rId1344" w:history="1">
        <w:r>
          <w:rPr>
            <w:i/>
            <w:iCs/>
            <w:color w:val="0072BC"/>
            <w:lang w:val="pl"/>
          </w:rPr>
          <w:t xml:space="preserve">Holandii </w:t>
        </w:r>
      </w:hyperlink>
      <w:r>
        <w:rPr>
          <w:lang w:val="pl"/>
        </w:rPr>
        <w:t>[WI], §§ 140-152).</w:t>
      </w:r>
    </w:p>
    <w:p w:rsidR="00B71A20" w:rsidRPr="000625F6" w:rsidRDefault="000425B4">
      <w:pPr>
        <w:pStyle w:val="Teksttreci0"/>
        <w:jc w:val="both"/>
        <w:rPr>
          <w:lang w:val="pl-PL"/>
        </w:rPr>
      </w:pPr>
      <w:r>
        <w:rPr>
          <w:lang w:val="pl"/>
        </w:rPr>
        <w:t>Odnośnie do czynów popełnionych przez żołnierzy sił wielonarodowych działających z upoważnienia ONZ oraz przypisania odpowiedzialności za te czyny państwu w sytuacji, gdy ta międzynarodowa organizacja nie sprawuje faktycznej kontroli ani nie ma ostatecznej władzy nad tym postępowaniem, patrz</w:t>
      </w:r>
      <w:hyperlink r:id="rId1345" w:history="1">
        <w:r>
          <w:rPr>
            <w:lang w:val="pl"/>
          </w:rPr>
          <w:t xml:space="preserve"> </w:t>
        </w:r>
        <w:r>
          <w:rPr>
            <w:i/>
            <w:iCs/>
            <w:color w:val="0072BC"/>
            <w:lang w:val="pl"/>
          </w:rPr>
          <w:t>Al-Jedda p. Wielkiej Brytanii</w:t>
        </w:r>
      </w:hyperlink>
      <w:r>
        <w:rPr>
          <w:color w:val="0072BC"/>
          <w:lang w:val="pl"/>
        </w:rPr>
        <w:t xml:space="preserve"> </w:t>
      </w:r>
      <w:r>
        <w:rPr>
          <w:lang w:val="pl"/>
        </w:rPr>
        <w:t>[WI], §§ 84-86. Jeśli chodzi o działania podejmowane w ramach strefy buforowej ONZ, patrz</w:t>
      </w:r>
      <w:hyperlink r:id="rId1346" w:history="1">
        <w:r>
          <w:rPr>
            <w:lang w:val="pl"/>
          </w:rPr>
          <w:t xml:space="preserve"> </w:t>
        </w:r>
        <w:r>
          <w:rPr>
            <w:i/>
            <w:iCs/>
            <w:color w:val="0072BC"/>
            <w:lang w:val="pl"/>
          </w:rPr>
          <w:t>Isaak i</w:t>
        </w:r>
      </w:hyperlink>
      <w:r>
        <w:rPr>
          <w:i/>
          <w:iCs/>
          <w:color w:val="0072BC"/>
          <w:lang w:val="pl"/>
        </w:rPr>
        <w:t xml:space="preserve"> </w:t>
      </w:r>
      <w:hyperlink r:id="rId1347" w:history="1">
        <w:r>
          <w:rPr>
            <w:i/>
            <w:iCs/>
            <w:color w:val="0072BC"/>
            <w:lang w:val="pl"/>
          </w:rPr>
          <w:t xml:space="preserve">Inni p. Turcji </w:t>
        </w:r>
      </w:hyperlink>
      <w:r>
        <w:rPr>
          <w:lang w:val="pl"/>
        </w:rPr>
        <w:t>(dec.). Co do aktywnej fazy działań wojennych (bombardowanie i ostrzał artyleryjski) w kontekście międzynarodowego konfliktu zbrojnego między dwoma układającymi się państwami, patrz</w:t>
      </w:r>
      <w:hyperlink r:id="rId1348" w:history="1">
        <w:r>
          <w:rPr>
            <w:i/>
            <w:iCs/>
            <w:lang w:val="pl"/>
          </w:rPr>
          <w:t xml:space="preserve"> </w:t>
        </w:r>
        <w:r>
          <w:rPr>
            <w:i/>
            <w:iCs/>
            <w:color w:val="0072BC"/>
            <w:lang w:val="pl"/>
          </w:rPr>
          <w:t>Gruzja</w:t>
        </w:r>
      </w:hyperlink>
      <w:r>
        <w:rPr>
          <w:i/>
          <w:iCs/>
          <w:color w:val="0072BC"/>
          <w:lang w:val="pl"/>
        </w:rPr>
        <w:t xml:space="preserve"> </w:t>
      </w:r>
      <w:hyperlink r:id="rId1349" w:history="1">
        <w:r>
          <w:rPr>
            <w:i/>
            <w:iCs/>
            <w:color w:val="0072BC"/>
            <w:lang w:val="pl"/>
          </w:rPr>
          <w:t xml:space="preserve">p. Rosji (II) </w:t>
        </w:r>
      </w:hyperlink>
      <w:r>
        <w:rPr>
          <w:lang w:val="pl"/>
        </w:rPr>
        <w:t>[WI], §§ 125-144.</w:t>
      </w:r>
    </w:p>
    <w:p w:rsidR="00B71A20" w:rsidRPr="000625F6" w:rsidRDefault="000425B4" w:rsidP="00115011">
      <w:pPr>
        <w:pStyle w:val="Teksttreci0"/>
        <w:numPr>
          <w:ilvl w:val="0"/>
          <w:numId w:val="60"/>
        </w:numPr>
        <w:tabs>
          <w:tab w:val="left" w:pos="505"/>
        </w:tabs>
        <w:jc w:val="both"/>
        <w:rPr>
          <w:lang w:val="pl-PL"/>
        </w:rPr>
      </w:pPr>
      <w:r>
        <w:rPr>
          <w:lang w:val="pl"/>
        </w:rPr>
        <w:t xml:space="preserve">W przypadku terytoriów, które zgodnie z prawem podlegają jurysdykcji układającego się państwa, a mimo to nie znajdują się pod skuteczną władzą/kontrolą tego państwa, skargi mogą zostać uznane za niezgodne z postanowieniami Konwencji </w:t>
      </w:r>
      <w:hyperlink r:id="rId1350" w:history="1">
        <w:r>
          <w:rPr>
            <w:lang w:val="pl"/>
          </w:rPr>
          <w:t>(</w:t>
        </w:r>
        <w:r>
          <w:rPr>
            <w:i/>
            <w:iCs/>
            <w:color w:val="0072BC"/>
            <w:lang w:val="pl"/>
          </w:rPr>
          <w:t>An i Inni p. Cyprowi</w:t>
        </w:r>
        <w:r>
          <w:rPr>
            <w:lang w:val="pl"/>
          </w:rPr>
          <w:t>,</w:t>
        </w:r>
      </w:hyperlink>
      <w:r>
        <w:rPr>
          <w:lang w:val="pl"/>
        </w:rPr>
        <w:t xml:space="preserve"> decyzja Komisji), jednakże należy uwzględnić zobowiązania pozytywne państwa na mocy Konwencji </w:t>
      </w:r>
      <w:hyperlink r:id="rId1351" w:history="1">
        <w:r>
          <w:rPr>
            <w:lang w:val="pl"/>
          </w:rPr>
          <w:t>(</w:t>
        </w:r>
        <w:r>
          <w:rPr>
            <w:i/>
            <w:iCs/>
            <w:color w:val="0072BC"/>
            <w:lang w:val="pl"/>
          </w:rPr>
          <w:t>Ilaşcu i Inni p. Mołdawii i</w:t>
        </w:r>
      </w:hyperlink>
      <w:r>
        <w:rPr>
          <w:i/>
          <w:iCs/>
          <w:color w:val="0072BC"/>
          <w:lang w:val="pl"/>
        </w:rPr>
        <w:t xml:space="preserve"> </w:t>
      </w:r>
      <w:hyperlink r:id="rId1352" w:history="1">
        <w:r>
          <w:rPr>
            <w:i/>
            <w:iCs/>
            <w:color w:val="0072BC"/>
            <w:lang w:val="pl"/>
          </w:rPr>
          <w:t xml:space="preserve">Rosji </w:t>
        </w:r>
      </w:hyperlink>
      <w:r>
        <w:rPr>
          <w:lang w:val="pl"/>
        </w:rPr>
        <w:t>[WI], §§ 312-313 oraz 333 i nast.; patrz też</w:t>
      </w:r>
      <w:hyperlink r:id="rId1353" w:history="1">
        <w:r>
          <w:rPr>
            <w:lang w:val="pl"/>
          </w:rPr>
          <w:t xml:space="preserve"> </w:t>
        </w:r>
        <w:r>
          <w:rPr>
            <w:i/>
            <w:iCs/>
            <w:color w:val="0072BC"/>
            <w:lang w:val="pl"/>
          </w:rPr>
          <w:t>Stephens p. Cyprowi, Turcji i ONZ</w:t>
        </w:r>
      </w:hyperlink>
      <w:r>
        <w:rPr>
          <w:color w:val="0072BC"/>
          <w:lang w:val="pl"/>
        </w:rPr>
        <w:t xml:space="preserve"> </w:t>
      </w:r>
      <w:r>
        <w:rPr>
          <w:lang w:val="pl"/>
        </w:rPr>
        <w:t>(dec.);</w:t>
      </w:r>
      <w:hyperlink r:id="rId1354" w:history="1">
        <w:r>
          <w:rPr>
            <w:lang w:val="pl"/>
          </w:rPr>
          <w:t xml:space="preserve"> </w:t>
        </w:r>
        <w:r>
          <w:rPr>
            <w:i/>
            <w:iCs/>
            <w:color w:val="0072BC"/>
            <w:lang w:val="pl"/>
          </w:rPr>
          <w:t xml:space="preserve">Azemi p. Serbii </w:t>
        </w:r>
      </w:hyperlink>
      <w:r>
        <w:rPr>
          <w:lang w:val="pl"/>
        </w:rPr>
        <w:t>(dec.);</w:t>
      </w:r>
      <w:hyperlink r:id="rId1355" w:history="1">
        <w:r>
          <w:rPr>
            <w:lang w:val="pl"/>
          </w:rPr>
          <w:t xml:space="preserve"> </w:t>
        </w:r>
        <w:r>
          <w:rPr>
            <w:i/>
            <w:iCs/>
            <w:color w:val="0072BC"/>
            <w:lang w:val="pl"/>
          </w:rPr>
          <w:t>Ivanţoc i Inni p. Mołdawii i Rosji</w:t>
        </w:r>
        <w:r>
          <w:rPr>
            <w:lang w:val="pl"/>
          </w:rPr>
          <w:t>,</w:t>
        </w:r>
      </w:hyperlink>
      <w:r>
        <w:rPr>
          <w:lang w:val="pl"/>
        </w:rPr>
        <w:t xml:space="preserve"> §§ 105-106;</w:t>
      </w:r>
      <w:hyperlink r:id="rId1356" w:history="1">
        <w:r>
          <w:rPr>
            <w:lang w:val="pl"/>
          </w:rPr>
          <w:t xml:space="preserve"> </w:t>
        </w:r>
        <w:r>
          <w:rPr>
            <w:i/>
            <w:iCs/>
            <w:color w:val="0072BC"/>
            <w:lang w:val="pl"/>
          </w:rPr>
          <w:t>Catan i</w:t>
        </w:r>
      </w:hyperlink>
      <w:r>
        <w:rPr>
          <w:i/>
          <w:iCs/>
          <w:color w:val="0072BC"/>
          <w:lang w:val="pl"/>
        </w:rPr>
        <w:t xml:space="preserve"> </w:t>
      </w:r>
      <w:hyperlink r:id="rId1357" w:history="1">
        <w:r>
          <w:rPr>
            <w:i/>
            <w:iCs/>
            <w:color w:val="0072BC"/>
            <w:lang w:val="pl"/>
          </w:rPr>
          <w:t xml:space="preserve">Inni p. Republice Mołdawii i Rosji </w:t>
        </w:r>
      </w:hyperlink>
      <w:r>
        <w:rPr>
          <w:lang w:val="pl"/>
        </w:rPr>
        <w:t>[WI], §§ 109-110;</w:t>
      </w:r>
      <w:hyperlink r:id="rId1358" w:history="1">
        <w:r>
          <w:rPr>
            <w:lang w:val="pl"/>
          </w:rPr>
          <w:t xml:space="preserve"> </w:t>
        </w:r>
        <w:r>
          <w:rPr>
            <w:i/>
            <w:iCs/>
            <w:color w:val="0072BC"/>
            <w:lang w:val="pl"/>
          </w:rPr>
          <w:t>Mozer p. Republice Mołdawii i</w:t>
        </w:r>
      </w:hyperlink>
      <w:r>
        <w:rPr>
          <w:i/>
          <w:iCs/>
          <w:color w:val="0072BC"/>
          <w:lang w:val="pl"/>
        </w:rPr>
        <w:t xml:space="preserve"> </w:t>
      </w:r>
      <w:hyperlink r:id="rId1359" w:history="1">
        <w:r>
          <w:rPr>
            <w:i/>
            <w:iCs/>
            <w:color w:val="0072BC"/>
            <w:lang w:val="pl"/>
          </w:rPr>
          <w:t xml:space="preserve">Rosji </w:t>
        </w:r>
      </w:hyperlink>
      <w:r>
        <w:rPr>
          <w:lang w:val="pl"/>
        </w:rPr>
        <w:t>[WI], §§ 99-100). Odnośnie do obszarów spornych na uznanym międzynarodowo terytorium układającego się państwa, nad którymi żadne inne państwo nie sprawuje skutecznej kontroli, patrz</w:t>
      </w:r>
      <w:hyperlink r:id="rId1360" w:history="1">
        <w:r>
          <w:rPr>
            <w:i/>
            <w:iCs/>
            <w:lang w:val="pl"/>
          </w:rPr>
          <w:t xml:space="preserve"> </w:t>
        </w:r>
        <w:r>
          <w:rPr>
            <w:i/>
            <w:iCs/>
            <w:color w:val="0072BC"/>
            <w:lang w:val="pl"/>
          </w:rPr>
          <w:t>Sargsyan p. Azerbejdżanowi</w:t>
        </w:r>
      </w:hyperlink>
      <w:r>
        <w:rPr>
          <w:color w:val="0072BC"/>
          <w:lang w:val="pl"/>
        </w:rPr>
        <w:t xml:space="preserve"> </w:t>
      </w:r>
      <w:r>
        <w:rPr>
          <w:lang w:val="pl"/>
        </w:rPr>
        <w:t xml:space="preserve">[WI], §§ 139-151. Odnośnie do zakładu karnego kontrolowanego w pełni przez układające się państwo, który jednak został odcięty od energii </w:t>
      </w:r>
      <w:r>
        <w:rPr>
          <w:lang w:val="pl"/>
        </w:rPr>
        <w:lastRenderedPageBreak/>
        <w:t xml:space="preserve">elektrycznej i wody przez władze gminne podmiotu znajdującego się </w:t>
      </w:r>
      <w:r>
        <w:rPr>
          <w:i/>
          <w:iCs/>
          <w:lang w:val="pl"/>
        </w:rPr>
        <w:t xml:space="preserve">de facto </w:t>
      </w:r>
      <w:r>
        <w:rPr>
          <w:lang w:val="pl"/>
        </w:rPr>
        <w:t>poza kontrolą tego państwa, patrz</w:t>
      </w:r>
      <w:hyperlink r:id="rId1361" w:history="1">
        <w:r>
          <w:rPr>
            <w:i/>
            <w:iCs/>
            <w:lang w:val="pl"/>
          </w:rPr>
          <w:t xml:space="preserve"> </w:t>
        </w:r>
        <w:r>
          <w:rPr>
            <w:i/>
            <w:iCs/>
            <w:color w:val="0072BC"/>
            <w:lang w:val="pl"/>
          </w:rPr>
          <w:t>Pocasovschi</w:t>
        </w:r>
      </w:hyperlink>
      <w:r>
        <w:rPr>
          <w:i/>
          <w:iCs/>
          <w:color w:val="0072BC"/>
          <w:lang w:val="pl"/>
        </w:rPr>
        <w:t xml:space="preserve"> </w:t>
      </w:r>
      <w:hyperlink r:id="rId1362" w:history="1">
        <w:r>
          <w:rPr>
            <w:i/>
            <w:iCs/>
            <w:color w:val="0072BC"/>
            <w:lang w:val="pl"/>
          </w:rPr>
          <w:t>i Mihaila p. Republice Mołdawii i Rosji</w:t>
        </w:r>
        <w:r>
          <w:rPr>
            <w:lang w:val="pl"/>
          </w:rPr>
          <w:t>,</w:t>
        </w:r>
      </w:hyperlink>
      <w:r>
        <w:rPr>
          <w:lang w:val="pl"/>
        </w:rPr>
        <w:t xml:space="preserve"> §§ 43-46. Nie dopuszczono roszczenia o wyjątek od zasad jurysdykcji ze strony państwa, które wybudowało trzy ogrodzenia na swoim terytorium, aby zapobiec nieuprawnionemu napływowi cudzoziemców, i twierdziło, że jego jurysdykcja rozciągała się tylko na osoby, które przekroczyły wszystkie trzy ogrodzenia: Trybunał uznał, że to państwo mimo wszystko sprawowało skuteczną władzę nad swoim terytorium przy granicy </w:t>
      </w:r>
      <w:hyperlink r:id="rId1363" w:history="1">
        <w:r>
          <w:rPr>
            <w:lang w:val="pl"/>
          </w:rPr>
          <w:t>(</w:t>
        </w:r>
        <w:r>
          <w:rPr>
            <w:i/>
            <w:iCs/>
            <w:color w:val="0072BC"/>
            <w:lang w:val="pl"/>
          </w:rPr>
          <w:t xml:space="preserve">N.D. i N.T. p. Hiszpanii </w:t>
        </w:r>
      </w:hyperlink>
      <w:r>
        <w:rPr>
          <w:lang w:val="pl"/>
        </w:rPr>
        <w:t>[WI], §§ 104-111).</w:t>
      </w:r>
    </w:p>
    <w:p w:rsidR="00B71A20" w:rsidRPr="000625F6" w:rsidRDefault="000425B4" w:rsidP="00115011">
      <w:pPr>
        <w:pStyle w:val="Teksttreci0"/>
        <w:numPr>
          <w:ilvl w:val="0"/>
          <w:numId w:val="60"/>
        </w:numPr>
        <w:tabs>
          <w:tab w:val="left" w:pos="505"/>
        </w:tabs>
        <w:jc w:val="both"/>
        <w:rPr>
          <w:lang w:val="pl-PL"/>
        </w:rPr>
      </w:pPr>
      <w:r>
        <w:rPr>
          <w:lang w:val="pl"/>
        </w:rPr>
        <w:t>Istnieją wyjątki od zasady, zgodnie z którą fizyczna obecność osoby na terytor</w:t>
      </w:r>
      <w:r w:rsidR="00442B28">
        <w:rPr>
          <w:lang w:val="pl"/>
        </w:rPr>
        <w:t>ium jednego z </w:t>
      </w:r>
      <w:r>
        <w:rPr>
          <w:lang w:val="pl"/>
        </w:rPr>
        <w:t xml:space="preserve">układających się państw powoduje objęcie jej jurysdykcją tego państwa, np. jeśli w państwie tym mieści się siedziba organizacji międzynarodowej, przeciw której skierowane są zarzuty skarżącego. Sam fakt, że międzynarodowy trybunał karny ma swoją siedzibę i mieści się w Holandii, nie jest wystarczającym powodem do przypisania temu państwu domniemanego działania lub zaniechania ze strony tego organu w związku ze skazaniem skarżącego </w:t>
      </w:r>
      <w:hyperlink r:id="rId1364" w:history="1">
        <w:r>
          <w:rPr>
            <w:lang w:val="pl"/>
          </w:rPr>
          <w:t>(</w:t>
        </w:r>
        <w:r>
          <w:rPr>
            <w:i/>
            <w:iCs/>
            <w:color w:val="0072BC"/>
            <w:lang w:val="pl"/>
          </w:rPr>
          <w:t xml:space="preserve">Galić p. Holandii </w:t>
        </w:r>
      </w:hyperlink>
      <w:r>
        <w:rPr>
          <w:lang w:val="pl"/>
        </w:rPr>
        <w:t>(dec.);</w:t>
      </w:r>
      <w:hyperlink r:id="rId1365" w:history="1">
        <w:r>
          <w:rPr>
            <w:lang w:val="pl"/>
          </w:rPr>
          <w:t xml:space="preserve"> </w:t>
        </w:r>
        <w:r>
          <w:rPr>
            <w:i/>
            <w:iCs/>
            <w:color w:val="0072BC"/>
            <w:lang w:val="pl"/>
          </w:rPr>
          <w:t xml:space="preserve">Blagojević p. Holandii </w:t>
        </w:r>
      </w:hyperlink>
      <w:r>
        <w:rPr>
          <w:lang w:val="pl"/>
        </w:rPr>
        <w:t>(dec.);</w:t>
      </w:r>
      <w:hyperlink r:id="rId1366" w:history="1">
        <w:r>
          <w:rPr>
            <w:lang w:val="pl"/>
          </w:rPr>
          <w:t xml:space="preserve"> </w:t>
        </w:r>
        <w:r>
          <w:rPr>
            <w:i/>
            <w:iCs/>
            <w:color w:val="0072BC"/>
            <w:lang w:val="pl"/>
          </w:rPr>
          <w:t>Djokaba</w:t>
        </w:r>
      </w:hyperlink>
      <w:r>
        <w:rPr>
          <w:i/>
          <w:iCs/>
          <w:color w:val="0072BC"/>
          <w:lang w:val="pl"/>
        </w:rPr>
        <w:t xml:space="preserve"> </w:t>
      </w:r>
      <w:hyperlink r:id="rId1367" w:history="1">
        <w:r>
          <w:rPr>
            <w:i/>
            <w:iCs/>
            <w:color w:val="0072BC"/>
            <w:lang w:val="pl"/>
          </w:rPr>
          <w:t xml:space="preserve">Lambi Longa p. Holandii </w:t>
        </w:r>
      </w:hyperlink>
      <w:r>
        <w:rPr>
          <w:lang w:val="pl"/>
        </w:rPr>
        <w:t>(dec.)). Jeśli chodzi o skargę przeciwko pozwanemu państwu, na terenie którego mieści się stała siedziba organizacji międzynarodowej, patrz</w:t>
      </w:r>
      <w:hyperlink r:id="rId1368" w:history="1">
        <w:r>
          <w:rPr>
            <w:i/>
            <w:iCs/>
            <w:lang w:val="pl"/>
          </w:rPr>
          <w:t xml:space="preserve"> </w:t>
        </w:r>
        <w:r>
          <w:rPr>
            <w:i/>
            <w:iCs/>
            <w:color w:val="0072BC"/>
            <w:lang w:val="pl"/>
          </w:rPr>
          <w:t xml:space="preserve">Lopez Cifuentes p. Hiszpanii </w:t>
        </w:r>
      </w:hyperlink>
      <w:r>
        <w:rPr>
          <w:lang w:val="pl"/>
        </w:rPr>
        <w:t xml:space="preserve">(dec.), §§ 25-26; </w:t>
      </w:r>
      <w:hyperlink r:id="rId1369" w:history="1">
        <w:r>
          <w:rPr>
            <w:i/>
            <w:iCs/>
            <w:color w:val="0072BC"/>
            <w:lang w:val="pl"/>
          </w:rPr>
          <w:t xml:space="preserve">Klausecker p. Niemcom </w:t>
        </w:r>
      </w:hyperlink>
      <w:r>
        <w:rPr>
          <w:lang w:val="pl"/>
        </w:rPr>
        <w:t>(dec.), §§ 80-81. Odnośnie do akceptacji międzynarodowej administracji cywilnej na terytorium pozwanego państwa patrz</w:t>
      </w:r>
      <w:hyperlink r:id="rId1370" w:history="1">
        <w:r>
          <w:rPr>
            <w:lang w:val="pl"/>
          </w:rPr>
          <w:t xml:space="preserve"> </w:t>
        </w:r>
        <w:r>
          <w:rPr>
            <w:i/>
            <w:iCs/>
            <w:color w:val="0072BC"/>
            <w:lang w:val="pl"/>
          </w:rPr>
          <w:t xml:space="preserve">Berić </w:t>
        </w:r>
        <w:r w:rsidR="00442B28">
          <w:rPr>
            <w:i/>
            <w:iCs/>
            <w:color w:val="0072BC"/>
            <w:lang w:val="pl"/>
          </w:rPr>
          <w:t>i Inni p. Bośni i </w:t>
        </w:r>
        <w:r>
          <w:rPr>
            <w:i/>
            <w:iCs/>
            <w:color w:val="0072BC"/>
            <w:lang w:val="pl"/>
          </w:rPr>
          <w:t xml:space="preserve">Hercegowinie </w:t>
        </w:r>
      </w:hyperlink>
      <w:r>
        <w:rPr>
          <w:lang w:val="pl"/>
        </w:rPr>
        <w:t>(dec.), § 30.</w:t>
      </w:r>
    </w:p>
    <w:p w:rsidR="00B71A20" w:rsidRPr="000625F6" w:rsidRDefault="000425B4" w:rsidP="00115011">
      <w:pPr>
        <w:pStyle w:val="Teksttreci0"/>
        <w:numPr>
          <w:ilvl w:val="0"/>
          <w:numId w:val="60"/>
        </w:numPr>
        <w:tabs>
          <w:tab w:val="left" w:pos="514"/>
        </w:tabs>
        <w:jc w:val="both"/>
        <w:rPr>
          <w:lang w:val="pl-PL"/>
        </w:rPr>
      </w:pPr>
      <w:r>
        <w:rPr>
          <w:lang w:val="pl"/>
        </w:rPr>
        <w:t xml:space="preserve">Sam udział państwa w postępowaniu wniesionym przeciwko innemu państwu nie stanowi jeszcze eksterytorialnego wykonywania jurysdykcji </w:t>
      </w:r>
      <w:hyperlink r:id="rId1371" w:history="1">
        <w:r>
          <w:rPr>
            <w:lang w:val="pl"/>
          </w:rPr>
          <w:t>(</w:t>
        </w:r>
        <w:r>
          <w:rPr>
            <w:i/>
            <w:iCs/>
            <w:color w:val="0072BC"/>
            <w:lang w:val="pl"/>
          </w:rPr>
          <w:t>McElhinney p. Irlandii i Wielkiej</w:t>
        </w:r>
      </w:hyperlink>
      <w:r>
        <w:rPr>
          <w:i/>
          <w:iCs/>
          <w:color w:val="0072BC"/>
          <w:lang w:val="pl"/>
        </w:rPr>
        <w:t xml:space="preserve"> </w:t>
      </w:r>
      <w:hyperlink r:id="rId1372" w:history="1">
        <w:r>
          <w:rPr>
            <w:i/>
            <w:iCs/>
            <w:color w:val="0072BC"/>
            <w:lang w:val="pl"/>
          </w:rPr>
          <w:t xml:space="preserve">Brytanii </w:t>
        </w:r>
      </w:hyperlink>
      <w:r>
        <w:rPr>
          <w:lang w:val="pl"/>
        </w:rPr>
        <w:t>(dec.) [WI];</w:t>
      </w:r>
      <w:hyperlink r:id="rId1373" w:history="1">
        <w:r>
          <w:rPr>
            <w:lang w:val="pl"/>
          </w:rPr>
          <w:t xml:space="preserve"> </w:t>
        </w:r>
        <w:r>
          <w:rPr>
            <w:i/>
            <w:iCs/>
            <w:color w:val="0072BC"/>
            <w:lang w:val="pl"/>
          </w:rPr>
          <w:t xml:space="preserve">Treska p. Albanii i Włochom </w:t>
        </w:r>
      </w:hyperlink>
      <w:r>
        <w:rPr>
          <w:lang w:val="pl"/>
        </w:rPr>
        <w:t>(dec.);</w:t>
      </w:r>
      <w:hyperlink r:id="rId1374" w:history="1">
        <w:r>
          <w:rPr>
            <w:lang w:val="pl"/>
          </w:rPr>
          <w:t xml:space="preserve"> </w:t>
        </w:r>
        <w:r>
          <w:rPr>
            <w:i/>
            <w:iCs/>
            <w:color w:val="0072BC"/>
            <w:lang w:val="pl"/>
          </w:rPr>
          <w:t>Manoilescu i Dobrescu p. Rumunii i</w:t>
        </w:r>
      </w:hyperlink>
      <w:r>
        <w:rPr>
          <w:i/>
          <w:iCs/>
          <w:color w:val="0072BC"/>
          <w:lang w:val="pl"/>
        </w:rPr>
        <w:t xml:space="preserve"> </w:t>
      </w:r>
      <w:hyperlink r:id="rId1375" w:history="1">
        <w:r>
          <w:rPr>
            <w:i/>
            <w:iCs/>
            <w:color w:val="0072BC"/>
            <w:lang w:val="pl"/>
          </w:rPr>
          <w:t xml:space="preserve">Rosji </w:t>
        </w:r>
      </w:hyperlink>
      <w:r>
        <w:rPr>
          <w:lang w:val="pl"/>
        </w:rPr>
        <w:t xml:space="preserve">(dec.), §§ 99-111). Jeśli jednak osoba występuje do sądów lub trybunałów danego państwa z pozwem cywilnym, bez wątpienia tworzy się „więź jurysdykcyjna” między tą osobą a tym państwem, bez względu na eksterytorialny charakter zdarzeń rzekomo leżących u podstaw pozwu </w:t>
      </w:r>
      <w:hyperlink r:id="rId1376" w:history="1">
        <w:r>
          <w:rPr>
            <w:lang w:val="pl"/>
          </w:rPr>
          <w:t>(</w:t>
        </w:r>
        <w:r>
          <w:rPr>
            <w:i/>
            <w:iCs/>
            <w:color w:val="0072BC"/>
            <w:lang w:val="pl"/>
          </w:rPr>
          <w:t>Markovic</w:t>
        </w:r>
      </w:hyperlink>
      <w:r>
        <w:rPr>
          <w:i/>
          <w:iCs/>
          <w:color w:val="0072BC"/>
          <w:lang w:val="pl"/>
        </w:rPr>
        <w:t xml:space="preserve"> </w:t>
      </w:r>
      <w:hyperlink r:id="rId1377" w:history="1">
        <w:r>
          <w:rPr>
            <w:i/>
            <w:iCs/>
            <w:color w:val="0072BC"/>
            <w:lang w:val="pl"/>
          </w:rPr>
          <w:t xml:space="preserve">i Inni p. Włochom </w:t>
        </w:r>
      </w:hyperlink>
      <w:r>
        <w:rPr>
          <w:lang w:val="pl"/>
        </w:rPr>
        <w:t>[WI], §§ 49-55, sprawa dotycząca art. 6 Konwencji; patrz też podobna sprawa</w:t>
      </w:r>
      <w:hyperlink r:id="rId1378" w:history="1">
        <w:r>
          <w:rPr>
            <w:i/>
            <w:iCs/>
            <w:lang w:val="pl"/>
          </w:rPr>
          <w:t xml:space="preserve"> </w:t>
        </w:r>
        <w:r>
          <w:rPr>
            <w:i/>
            <w:iCs/>
            <w:color w:val="0072BC"/>
            <w:lang w:val="pl"/>
          </w:rPr>
          <w:t>Arlewin</w:t>
        </w:r>
      </w:hyperlink>
      <w:r>
        <w:rPr>
          <w:i/>
          <w:iCs/>
          <w:color w:val="0072BC"/>
          <w:lang w:val="pl"/>
        </w:rPr>
        <w:t xml:space="preserve"> </w:t>
      </w:r>
      <w:hyperlink r:id="rId1379" w:history="1">
        <w:r>
          <w:rPr>
            <w:i/>
            <w:iCs/>
            <w:color w:val="0072BC"/>
            <w:lang w:val="pl"/>
          </w:rPr>
          <w:t>p. Szwecji</w:t>
        </w:r>
        <w:r>
          <w:rPr>
            <w:lang w:val="pl"/>
          </w:rPr>
          <w:t>,</w:t>
        </w:r>
      </w:hyperlink>
      <w:r>
        <w:rPr>
          <w:lang w:val="pl"/>
        </w:rPr>
        <w:t xml:space="preserve"> §§ 65-74, dotycząca jurysdykcji układającego się państwa w przypadku pozwu o zniesławienie dotyczącego programu telewizyjnego nadawanego z zagranicy; patrz z kolei</w:t>
      </w:r>
      <w:hyperlink r:id="rId1380" w:history="1">
        <w:r>
          <w:rPr>
            <w:i/>
            <w:iCs/>
            <w:lang w:val="pl"/>
          </w:rPr>
          <w:t xml:space="preserve"> </w:t>
        </w:r>
        <w:r>
          <w:rPr>
            <w:i/>
            <w:iCs/>
            <w:color w:val="0072BC"/>
            <w:lang w:val="pl"/>
          </w:rPr>
          <w:t xml:space="preserve">M. N. i Inni p. Belgii </w:t>
        </w:r>
      </w:hyperlink>
      <w:r>
        <w:rPr>
          <w:lang w:val="pl"/>
        </w:rPr>
        <w:t xml:space="preserve">(dec.) [WI], §§ 121-125, odnośnie do postępowania zainicjowanego w Belgii w celu uzyskania zgody na wjazd do tego kraju umożliwiającej wystąpienie o azyl i uniknięcie traktowania stanowiącego naruszenie art. 3 Konwencji). Podobnie jeśli organy dochodzeniowo-śledcze lub sądowe układającego się państwa wszczynają postępowanie przygotowawcze lub sądowe w sprawie karnej dotyczącej śmierci, nawet jeśli ta śmierć nastąpiła w miejscu znajdującym się poza jurysdykcją tego państwa, wszczęcie takiego postępowania przygotowawczego lub sądowego wystarczy, aby powstała „więź jurysdykcyjna” do celów art. 1 Konwencji między tym państwem a bliskimi ofiary, którzy następnie podnoszą zarzuty przed Trybunałem na podstawie aspektu proceduralnego art. 2 </w:t>
      </w:r>
      <w:hyperlink r:id="rId1381" w:history="1">
        <w:r>
          <w:rPr>
            <w:lang w:val="pl"/>
          </w:rPr>
          <w:t>(</w:t>
        </w:r>
        <w:r>
          <w:rPr>
            <w:i/>
            <w:iCs/>
            <w:color w:val="0072BC"/>
            <w:lang w:val="pl"/>
          </w:rPr>
          <w:t>Güzelyurtlu i Inni p. Cyprowi i Turcji</w:t>
        </w:r>
      </w:hyperlink>
      <w:r>
        <w:rPr>
          <w:color w:val="0072BC"/>
          <w:lang w:val="pl"/>
        </w:rPr>
        <w:t xml:space="preserve"> </w:t>
      </w:r>
      <w:r>
        <w:rPr>
          <w:lang w:val="pl"/>
        </w:rPr>
        <w:t>[WI], §§ 188</w:t>
      </w:r>
      <w:r>
        <w:rPr>
          <w:lang w:val="pl"/>
        </w:rPr>
        <w:noBreakHyphen/>
        <w:t>189 i 191;</w:t>
      </w:r>
      <w:hyperlink r:id="rId1382" w:history="1">
        <w:r>
          <w:rPr>
            <w:i/>
            <w:iCs/>
            <w:lang w:val="pl"/>
          </w:rPr>
          <w:t xml:space="preserve"> </w:t>
        </w:r>
        <w:r>
          <w:rPr>
            <w:i/>
            <w:iCs/>
            <w:color w:val="0072BC"/>
            <w:lang w:val="pl"/>
          </w:rPr>
          <w:t>Aliyeva i Aliyev p. Azerbejdżanowi</w:t>
        </w:r>
        <w:r>
          <w:rPr>
            <w:lang w:val="pl"/>
          </w:rPr>
          <w:t xml:space="preserve">, </w:t>
        </w:r>
      </w:hyperlink>
      <w:r>
        <w:rPr>
          <w:lang w:val="pl"/>
        </w:rPr>
        <w:t>§ 57; patrz dla porównania</w:t>
      </w:r>
      <w:hyperlink r:id="rId1383" w:history="1">
        <w:r>
          <w:rPr>
            <w:i/>
            <w:iCs/>
            <w:lang w:val="pl"/>
          </w:rPr>
          <w:t xml:space="preserve"> </w:t>
        </w:r>
        <w:r>
          <w:rPr>
            <w:i/>
            <w:iCs/>
            <w:color w:val="0072BC"/>
            <w:lang w:val="pl"/>
          </w:rPr>
          <w:t>Hanan p. Niemcom</w:t>
        </w:r>
      </w:hyperlink>
      <w:r>
        <w:rPr>
          <w:i/>
          <w:iCs/>
          <w:color w:val="0072BC"/>
          <w:lang w:val="pl"/>
        </w:rPr>
        <w:t xml:space="preserve"> </w:t>
      </w:r>
      <w:r>
        <w:rPr>
          <w:lang w:val="pl"/>
        </w:rPr>
        <w:t>[WI], §§ 134-135, sprawa dotycząca zgonów, do których doszło w kontekście eksterytorialnej operacji wojskowej poza terytorium układających się stron Konwencji). Wobec braku postępowania przygotowawczego lub sądowego w układającym się państwie o ist</w:t>
      </w:r>
      <w:r w:rsidR="00442B28">
        <w:rPr>
          <w:lang w:val="pl"/>
        </w:rPr>
        <w:t>nieniu „więzi jurysdykcyjnej” w </w:t>
      </w:r>
      <w:r>
        <w:rPr>
          <w:lang w:val="pl"/>
        </w:rPr>
        <w:t xml:space="preserve">odniesieniu do obowiązku proceduralnego na podstawie art. 2 mogą decydować „cechy szczególne” danej sprawy, z których wynika taki obowiązek zbadania sprawy śmierci zaistniałej na obszarze objętym inną jurysdykcją lub takim, który niekoniecznie znajdował się pod jurysdykcją tego państwa </w:t>
      </w:r>
      <w:hyperlink r:id="rId1384" w:history="1">
        <w:r>
          <w:rPr>
            <w:lang w:val="pl"/>
          </w:rPr>
          <w:t>(</w:t>
        </w:r>
        <w:r>
          <w:rPr>
            <w:i/>
            <w:iCs/>
            <w:color w:val="0072BC"/>
            <w:lang w:val="pl"/>
          </w:rPr>
          <w:t xml:space="preserve">Güzelyurtlu i Inni p. Cyprowi i Turcji </w:t>
        </w:r>
      </w:hyperlink>
      <w:r>
        <w:rPr>
          <w:lang w:val="pl"/>
        </w:rPr>
        <w:t>[WI], §§ 190 i 192-196, w które</w:t>
      </w:r>
      <w:r w:rsidR="00442B28">
        <w:rPr>
          <w:lang w:val="pl"/>
        </w:rPr>
        <w:t>j to sprawie osoby podejrzane o </w:t>
      </w:r>
      <w:r>
        <w:rPr>
          <w:lang w:val="pl"/>
        </w:rPr>
        <w:t>popełnienie morderstwa zbiegły na część terytorium Cypru skutecznie kontrolowaną przez Turcję, uniemożliwiając Cyprowi kontynuowanie własnego śledztwa w sprawie karnej wobec tych podejrzanych;</w:t>
      </w:r>
      <w:hyperlink r:id="rId1385" w:history="1">
        <w:r>
          <w:rPr>
            <w:i/>
            <w:iCs/>
            <w:lang w:val="pl"/>
          </w:rPr>
          <w:t xml:space="preserve"> </w:t>
        </w:r>
        <w:r>
          <w:rPr>
            <w:i/>
            <w:iCs/>
            <w:color w:val="0072BC"/>
            <w:lang w:val="pl"/>
          </w:rPr>
          <w:t xml:space="preserve">Gruzja p. Rosji (II) </w:t>
        </w:r>
      </w:hyperlink>
      <w:r>
        <w:rPr>
          <w:lang w:val="pl"/>
        </w:rPr>
        <w:t xml:space="preserve">[WI], §§ 331-332, sprawa dotycząca zarzucanych zbrodni wojennych popełnionych podczas aktywnej fazy działań wojennych, które miały zostać objęte śledztwem przez Federację Rosyjską na podstawie ciążących na tym </w:t>
      </w:r>
      <w:r w:rsidR="00442B28">
        <w:rPr>
          <w:lang w:val="pl"/>
        </w:rPr>
        <w:t>kraju obowiązków wynikających z </w:t>
      </w:r>
      <w:r>
        <w:rPr>
          <w:lang w:val="pl"/>
        </w:rPr>
        <w:t>międzynarodowego prawa humanitarnego i prawa krajowego;</w:t>
      </w:r>
      <w:hyperlink r:id="rId1386" w:history="1">
        <w:r>
          <w:rPr>
            <w:i/>
            <w:iCs/>
            <w:lang w:val="pl"/>
          </w:rPr>
          <w:t xml:space="preserve"> </w:t>
        </w:r>
        <w:r>
          <w:rPr>
            <w:i/>
            <w:iCs/>
            <w:color w:val="0072BC"/>
            <w:lang w:val="pl"/>
          </w:rPr>
          <w:t>Hanan p. Niemcom</w:t>
        </w:r>
      </w:hyperlink>
      <w:r>
        <w:rPr>
          <w:color w:val="0072BC"/>
          <w:lang w:val="pl"/>
        </w:rPr>
        <w:t xml:space="preserve"> </w:t>
      </w:r>
      <w:r>
        <w:rPr>
          <w:lang w:val="pl"/>
        </w:rPr>
        <w:t xml:space="preserve">[WI], §§ 136-142, w której to sprawie Niemcy zachowały wyłączną jurysdykcję nad swoimi żołnierzami w odniesieniu do poważnych przestępstw, które miały zostać objęte śledztwem przez ten kraj na podstawie prawa </w:t>
      </w:r>
      <w:r>
        <w:rPr>
          <w:lang w:val="pl"/>
        </w:rPr>
        <w:lastRenderedPageBreak/>
        <w:t xml:space="preserve">międzynarodowego i krajowego). Trybunał zastosował też podejście oparte na „cechach szczególnych” i uznał, że istnieje „więź jurysdykcyjna”, także w odniesieniu do obowiązku proceduralnego, aby kontynuować wykonywanie kary pozbawienia wolności orzeczonej w innym układającym się państwie </w:t>
      </w:r>
      <w:hyperlink r:id="rId1387" w:history="1">
        <w:r>
          <w:rPr>
            <w:lang w:val="pl"/>
          </w:rPr>
          <w:t>(</w:t>
        </w:r>
        <w:r>
          <w:rPr>
            <w:i/>
            <w:iCs/>
            <w:color w:val="0072BC"/>
            <w:lang w:val="pl"/>
          </w:rPr>
          <w:t>Makuchyan i Minasyan p. Azerbejdżanowi i Węgrom</w:t>
        </w:r>
        <w:r>
          <w:rPr>
            <w:lang w:val="pl"/>
          </w:rPr>
          <w:t>,</w:t>
        </w:r>
      </w:hyperlink>
      <w:r>
        <w:rPr>
          <w:lang w:val="pl"/>
        </w:rPr>
        <w:t xml:space="preserve"> §§ 49-51, sprawa dotycząca morderstwa popełnionego na Węgrzech przez azerskiego oficera, który został skazany, a następnie przewieziony do ojczyzny).</w:t>
      </w:r>
    </w:p>
    <w:p w:rsidR="00B71A20" w:rsidRPr="000625F6" w:rsidRDefault="000425B4" w:rsidP="00115011">
      <w:pPr>
        <w:pStyle w:val="Teksttreci0"/>
        <w:numPr>
          <w:ilvl w:val="0"/>
          <w:numId w:val="60"/>
        </w:numPr>
        <w:tabs>
          <w:tab w:val="left" w:pos="505"/>
        </w:tabs>
        <w:jc w:val="both"/>
        <w:rPr>
          <w:lang w:val="pl-PL"/>
        </w:rPr>
      </w:pPr>
      <w:r>
        <w:rPr>
          <w:lang w:val="pl"/>
        </w:rPr>
        <w:t>Trybunał określił również zasady regulujące eksterytorialną odp</w:t>
      </w:r>
      <w:r w:rsidR="00442B28">
        <w:rPr>
          <w:lang w:val="pl"/>
        </w:rPr>
        <w:t>owiedzialność za aresztowanie i </w:t>
      </w:r>
      <w:r>
        <w:rPr>
          <w:lang w:val="pl"/>
        </w:rPr>
        <w:t xml:space="preserve">pozbawienie wolności w państwie trzecim w ramach procedury ekstradycyjnej wszczętej przez pozwane państwo </w:t>
      </w:r>
      <w:hyperlink r:id="rId1388" w:history="1">
        <w:r>
          <w:rPr>
            <w:lang w:val="pl"/>
          </w:rPr>
          <w:t>(</w:t>
        </w:r>
        <w:r>
          <w:rPr>
            <w:i/>
            <w:iCs/>
            <w:color w:val="0072BC"/>
            <w:lang w:val="pl"/>
          </w:rPr>
          <w:t>Stephens p. Malcie (nr 1)</w:t>
        </w:r>
        <w:r>
          <w:rPr>
            <w:lang w:val="pl"/>
          </w:rPr>
          <w:t>,</w:t>
        </w:r>
      </w:hyperlink>
      <w:r>
        <w:rPr>
          <w:lang w:val="pl"/>
        </w:rPr>
        <w:t xml:space="preserve"> § 52;</w:t>
      </w:r>
      <w:hyperlink r:id="rId1389" w:history="1">
        <w:r>
          <w:rPr>
            <w:lang w:val="pl"/>
          </w:rPr>
          <w:t xml:space="preserve"> </w:t>
        </w:r>
        <w:r>
          <w:rPr>
            <w:i/>
            <w:iCs/>
            <w:color w:val="0072BC"/>
            <w:lang w:val="pl"/>
          </w:rPr>
          <w:t>Vasiliciuc p. Mołdawii</w:t>
        </w:r>
        <w:r>
          <w:rPr>
            <w:lang w:val="pl"/>
          </w:rPr>
          <w:t>,</w:t>
        </w:r>
      </w:hyperlink>
      <w:r>
        <w:rPr>
          <w:lang w:val="pl"/>
        </w:rPr>
        <w:t xml:space="preserve"> §§ 22-25).</w:t>
      </w:r>
    </w:p>
    <w:p w:rsidR="00B71A20" w:rsidRPr="000625F6" w:rsidRDefault="000425B4" w:rsidP="00115011">
      <w:pPr>
        <w:pStyle w:val="Teksttreci0"/>
        <w:numPr>
          <w:ilvl w:val="0"/>
          <w:numId w:val="60"/>
        </w:numPr>
        <w:tabs>
          <w:tab w:val="left" w:pos="505"/>
        </w:tabs>
        <w:spacing w:after="220"/>
        <w:jc w:val="both"/>
        <w:rPr>
          <w:lang w:val="pl-PL"/>
        </w:rPr>
      </w:pPr>
      <w:r>
        <w:rPr>
          <w:lang w:val="pl"/>
        </w:rPr>
        <w:t xml:space="preserve">Inne uznawane przykłady eksterytorialnego wykonywania jurysdykcji przez państwo obejmują sprawy związane z działaniami podejmowanymi za granicą przez przedstawicieli dyplomatycznych lub konsularnych </w:t>
      </w:r>
      <w:hyperlink r:id="rId1390" w:history="1">
        <w:r>
          <w:rPr>
            <w:lang w:val="pl"/>
          </w:rPr>
          <w:t>(</w:t>
        </w:r>
        <w:r>
          <w:rPr>
            <w:i/>
            <w:iCs/>
            <w:color w:val="0072BC"/>
            <w:lang w:val="pl"/>
          </w:rPr>
          <w:t>M. p. Danii</w:t>
        </w:r>
        <w:r>
          <w:rPr>
            <w:lang w:val="pl"/>
          </w:rPr>
          <w:t>,</w:t>
        </w:r>
      </w:hyperlink>
      <w:r>
        <w:rPr>
          <w:lang w:val="pl"/>
        </w:rPr>
        <w:t xml:space="preserve"> decyzja Komisji; patrz z kolei</w:t>
      </w:r>
      <w:hyperlink r:id="rId1391" w:history="1">
        <w:r>
          <w:rPr>
            <w:i/>
            <w:iCs/>
            <w:lang w:val="pl"/>
          </w:rPr>
          <w:t xml:space="preserve"> </w:t>
        </w:r>
        <w:r>
          <w:rPr>
            <w:i/>
            <w:iCs/>
            <w:color w:val="0072BC"/>
            <w:lang w:val="pl"/>
          </w:rPr>
          <w:t xml:space="preserve">M. N. i Inni p. Belgii </w:t>
        </w:r>
      </w:hyperlink>
      <w:r>
        <w:rPr>
          <w:lang w:val="pl"/>
        </w:rPr>
        <w:t xml:space="preserve">(dec.) [WI], §§ 106 i 117-119) oraz takie, </w:t>
      </w:r>
      <w:bookmarkStart w:id="232" w:name="bookmark236"/>
      <w:r>
        <w:rPr>
          <w:lang w:val="pl"/>
        </w:rPr>
        <w:t xml:space="preserve">które wiążą się z działaniami na pokładzie statku powietrznego lub morskiego zarejestrowanego w tym państwie albo pływającego pod jego banderą </w:t>
      </w:r>
      <w:hyperlink r:id="rId1392" w:history="1">
        <w:r>
          <w:rPr>
            <w:lang w:val="pl"/>
          </w:rPr>
          <w:t>(</w:t>
        </w:r>
        <w:r>
          <w:rPr>
            <w:i/>
            <w:iCs/>
            <w:color w:val="0072BC"/>
            <w:lang w:val="pl"/>
          </w:rPr>
          <w:t>Hirsi</w:t>
        </w:r>
      </w:hyperlink>
      <w:r>
        <w:rPr>
          <w:i/>
          <w:iCs/>
          <w:color w:val="0072BC"/>
          <w:lang w:val="pl"/>
        </w:rPr>
        <w:t xml:space="preserve"> </w:t>
      </w:r>
      <w:hyperlink r:id="rId1393" w:history="1">
        <w:r>
          <w:rPr>
            <w:i/>
            <w:iCs/>
            <w:color w:val="0072BC"/>
            <w:lang w:val="pl"/>
          </w:rPr>
          <w:t xml:space="preserve">Jamaa i Inni p. Włochom </w:t>
        </w:r>
      </w:hyperlink>
      <w:r>
        <w:rPr>
          <w:lang w:val="pl"/>
        </w:rPr>
        <w:t>[WI], §§ 70-75 i 79-81;</w:t>
      </w:r>
      <w:hyperlink r:id="rId1394" w:history="1">
        <w:r>
          <w:rPr>
            <w:i/>
            <w:iCs/>
            <w:lang w:val="pl"/>
          </w:rPr>
          <w:t xml:space="preserve"> </w:t>
        </w:r>
        <w:r>
          <w:rPr>
            <w:i/>
            <w:iCs/>
            <w:color w:val="0072BC"/>
            <w:lang w:val="pl"/>
          </w:rPr>
          <w:t xml:space="preserve">Medvedyev i Inni p. Francji </w:t>
        </w:r>
      </w:hyperlink>
      <w:r>
        <w:rPr>
          <w:lang w:val="pl"/>
        </w:rPr>
        <w:t xml:space="preserve">[WI], § 65; </w:t>
      </w:r>
      <w:hyperlink r:id="rId1395" w:history="1">
        <w:r>
          <w:rPr>
            <w:i/>
            <w:iCs/>
            <w:color w:val="0072BC"/>
            <w:lang w:val="pl"/>
          </w:rPr>
          <w:t>Bakanova p. Litwie</w:t>
        </w:r>
        <w:r>
          <w:rPr>
            <w:lang w:val="pl"/>
          </w:rPr>
          <w:t>,</w:t>
        </w:r>
      </w:hyperlink>
      <w:r>
        <w:rPr>
          <w:lang w:val="pl"/>
        </w:rPr>
        <w:t xml:space="preserve"> § 63).</w:t>
      </w:r>
      <w:bookmarkEnd w:id="232"/>
    </w:p>
    <w:p w:rsidR="00B71A20" w:rsidRDefault="00EB2DEB" w:rsidP="00EB2DEB">
      <w:pPr>
        <w:pStyle w:val="Nagwek31"/>
        <w:keepNext/>
        <w:keepLines/>
        <w:tabs>
          <w:tab w:val="left" w:pos="426"/>
        </w:tabs>
        <w:spacing w:after="280"/>
        <w:jc w:val="both"/>
      </w:pPr>
      <w:bookmarkStart w:id="233" w:name="_Toc126335672"/>
      <w:bookmarkStart w:id="234" w:name="_Toc126660631"/>
      <w:r>
        <w:rPr>
          <w:lang w:val="pl"/>
        </w:rPr>
        <w:t xml:space="preserve">3. </w:t>
      </w:r>
      <w:r w:rsidR="008422EB">
        <w:rPr>
          <w:lang w:val="pl"/>
        </w:rPr>
        <w:t xml:space="preserve"> </w:t>
      </w:r>
      <w:r w:rsidR="000425B4">
        <w:rPr>
          <w:lang w:val="pl"/>
        </w:rPr>
        <w:t>Odpowiedzialność i przyczynowość</w:t>
      </w:r>
      <w:bookmarkEnd w:id="233"/>
      <w:bookmarkEnd w:id="234"/>
    </w:p>
    <w:p w:rsidR="00B71A20" w:rsidRPr="000625F6" w:rsidRDefault="000425B4" w:rsidP="00115011">
      <w:pPr>
        <w:pStyle w:val="Teksttreci0"/>
        <w:numPr>
          <w:ilvl w:val="0"/>
          <w:numId w:val="60"/>
        </w:numPr>
        <w:tabs>
          <w:tab w:val="left" w:pos="510"/>
        </w:tabs>
        <w:jc w:val="both"/>
        <w:rPr>
          <w:lang w:val="pl-PL"/>
        </w:rPr>
      </w:pPr>
      <w:r>
        <w:rPr>
          <w:lang w:val="pl"/>
        </w:rPr>
        <w:t xml:space="preserve">Zgodność </w:t>
      </w:r>
      <w:r>
        <w:rPr>
          <w:i/>
          <w:iCs/>
          <w:lang w:val="pl"/>
        </w:rPr>
        <w:t>ratione personae</w:t>
      </w:r>
      <w:r>
        <w:rPr>
          <w:lang w:val="pl"/>
        </w:rPr>
        <w:t xml:space="preserve"> z Konwencją wymaga dodatkowo możliwości przypisania naruszenia układającemu się państwu </w:t>
      </w:r>
      <w:hyperlink r:id="rId1396" w:history="1">
        <w:r>
          <w:rPr>
            <w:lang w:val="pl"/>
          </w:rPr>
          <w:t>(</w:t>
        </w:r>
        <w:r>
          <w:rPr>
            <w:i/>
            <w:iCs/>
            <w:color w:val="0072BC"/>
            <w:lang w:val="pl"/>
          </w:rPr>
          <w:t>Gentilhomme, Schaff-Benhadji i Zerouki p. Francji</w:t>
        </w:r>
        <w:r>
          <w:rPr>
            <w:lang w:val="pl"/>
          </w:rPr>
          <w:t>,</w:t>
        </w:r>
      </w:hyperlink>
      <w:r>
        <w:rPr>
          <w:i/>
          <w:iCs/>
          <w:lang w:val="pl"/>
        </w:rPr>
        <w:t xml:space="preserve"> </w:t>
      </w:r>
      <w:r>
        <w:rPr>
          <w:lang w:val="pl"/>
        </w:rPr>
        <w:t xml:space="preserve">§ 20; </w:t>
      </w:r>
      <w:hyperlink r:id="rId1397" w:history="1">
        <w:r>
          <w:rPr>
            <w:i/>
            <w:iCs/>
            <w:color w:val="0072BC"/>
            <w:lang w:val="pl"/>
          </w:rPr>
          <w:t>M.A. i Inni p. Litwie</w:t>
        </w:r>
        <w:r>
          <w:rPr>
            <w:lang w:val="pl"/>
          </w:rPr>
          <w:t>,</w:t>
        </w:r>
      </w:hyperlink>
      <w:r>
        <w:rPr>
          <w:lang w:val="pl"/>
        </w:rPr>
        <w:t xml:space="preserve"> § 70). Jednak sprawy rozpatrywane w ostatnim czasie dotyczyły kwestii przyczynowości/odpowiedzialności/przypisania bez odnoszenia się wprost do zgodności </w:t>
      </w:r>
      <w:r>
        <w:rPr>
          <w:i/>
          <w:iCs/>
          <w:lang w:val="pl"/>
        </w:rPr>
        <w:t xml:space="preserve">ratione personae </w:t>
      </w:r>
      <w:hyperlink r:id="rId1398" w:history="1">
        <w:r>
          <w:rPr>
            <w:lang w:val="pl"/>
          </w:rPr>
          <w:t>(</w:t>
        </w:r>
        <w:r>
          <w:rPr>
            <w:i/>
            <w:iCs/>
            <w:color w:val="0072BC"/>
            <w:lang w:val="pl"/>
          </w:rPr>
          <w:t xml:space="preserve">Assanidze p. Gruzji </w:t>
        </w:r>
      </w:hyperlink>
      <w:r>
        <w:rPr>
          <w:lang w:val="pl"/>
        </w:rPr>
        <w:t>[WI], §§ 144 i nast.;</w:t>
      </w:r>
      <w:hyperlink r:id="rId1399" w:history="1">
        <w:r>
          <w:rPr>
            <w:i/>
            <w:iCs/>
            <w:lang w:val="pl"/>
          </w:rPr>
          <w:t xml:space="preserve"> </w:t>
        </w:r>
        <w:r>
          <w:rPr>
            <w:i/>
            <w:iCs/>
            <w:color w:val="0072BC"/>
            <w:lang w:val="pl"/>
          </w:rPr>
          <w:t xml:space="preserve">Hussein p. Albanii oraz 20 innym układającym się państwom </w:t>
        </w:r>
      </w:hyperlink>
      <w:r>
        <w:rPr>
          <w:lang w:val="pl"/>
        </w:rPr>
        <w:t xml:space="preserve">(dec.); </w:t>
      </w:r>
      <w:hyperlink r:id="rId1400" w:history="1">
        <w:r>
          <w:rPr>
            <w:i/>
            <w:iCs/>
            <w:color w:val="0072BC"/>
            <w:lang w:val="pl"/>
          </w:rPr>
          <w:t xml:space="preserve">Isaak i Inni p. Turcji </w:t>
        </w:r>
      </w:hyperlink>
      <w:r>
        <w:rPr>
          <w:lang w:val="pl"/>
        </w:rPr>
        <w:t>(dec.);</w:t>
      </w:r>
      <w:hyperlink r:id="rId1401" w:history="1">
        <w:r>
          <w:rPr>
            <w:i/>
            <w:iCs/>
            <w:lang w:val="pl"/>
          </w:rPr>
          <w:t xml:space="preserve"> </w:t>
        </w:r>
        <w:r>
          <w:rPr>
            <w:i/>
            <w:iCs/>
            <w:color w:val="0072BC"/>
            <w:lang w:val="pl"/>
          </w:rPr>
          <w:t>Stephens p. Malcie (nr 1)</w:t>
        </w:r>
        <w:r>
          <w:rPr>
            <w:lang w:val="pl"/>
          </w:rPr>
          <w:t>,</w:t>
        </w:r>
      </w:hyperlink>
      <w:r>
        <w:rPr>
          <w:lang w:val="pl"/>
        </w:rPr>
        <w:t xml:space="preserve"> § 45;</w:t>
      </w:r>
      <w:hyperlink r:id="rId1402" w:history="1">
        <w:r>
          <w:rPr>
            <w:i/>
            <w:iCs/>
            <w:lang w:val="pl"/>
          </w:rPr>
          <w:t xml:space="preserve"> </w:t>
        </w:r>
        <w:r>
          <w:rPr>
            <w:i/>
            <w:iCs/>
            <w:color w:val="0072BC"/>
            <w:lang w:val="pl"/>
          </w:rPr>
          <w:t xml:space="preserve">Jaloud p. Holandii </w:t>
        </w:r>
      </w:hyperlink>
      <w:r w:rsidR="00442B28">
        <w:rPr>
          <w:lang w:val="pl"/>
        </w:rPr>
        <w:t>[WI], §§ </w:t>
      </w:r>
      <w:r>
        <w:rPr>
          <w:lang w:val="pl"/>
        </w:rPr>
        <w:t>154-155). W sprawie</w:t>
      </w:r>
      <w:hyperlink r:id="rId1403" w:history="1">
        <w:r>
          <w:rPr>
            <w:i/>
            <w:iCs/>
            <w:lang w:val="pl"/>
          </w:rPr>
          <w:t xml:space="preserve"> </w:t>
        </w:r>
        <w:r>
          <w:rPr>
            <w:i/>
            <w:iCs/>
            <w:color w:val="0072BC"/>
            <w:lang w:val="pl"/>
          </w:rPr>
          <w:t xml:space="preserve">Gruzja p. Rosji (II) </w:t>
        </w:r>
      </w:hyperlink>
      <w:r>
        <w:rPr>
          <w:lang w:val="pl"/>
        </w:rPr>
        <w:t>[WI], § 162, Trybunał zwrócił uwagę, że to, czy zarzucane fakty podlegają jurysdykcji pozwanego państwa oraz czy mog</w:t>
      </w:r>
      <w:r w:rsidR="00F22418">
        <w:rPr>
          <w:lang w:val="pl"/>
        </w:rPr>
        <w:t>ą być przypisane temu państwu i </w:t>
      </w:r>
      <w:r>
        <w:rPr>
          <w:lang w:val="pl"/>
        </w:rPr>
        <w:t>powodują pociągnięcie go do odpowiedzialności, jest odrębną kwestią, przy czym rozstrzygnięcie ostatnich dwóch zagadnień musi nastąpić poprzez badanie przedmiotu skargi.</w:t>
      </w:r>
    </w:p>
    <w:p w:rsidR="00B71A20" w:rsidRPr="000625F6" w:rsidRDefault="000425B4" w:rsidP="00115011">
      <w:pPr>
        <w:pStyle w:val="Teksttreci0"/>
        <w:numPr>
          <w:ilvl w:val="0"/>
          <w:numId w:val="60"/>
        </w:numPr>
        <w:jc w:val="both"/>
        <w:rPr>
          <w:lang w:val="pl-PL"/>
        </w:rPr>
      </w:pPr>
      <w:r>
        <w:rPr>
          <w:lang w:val="pl"/>
        </w:rPr>
        <w:t xml:space="preserve">Odpowiedzialność układających się państw za czyny osób prywatnych, choć tradycyjnie rozpatrywana w aspekcie zgodności </w:t>
      </w:r>
      <w:r>
        <w:rPr>
          <w:i/>
          <w:iCs/>
          <w:lang w:val="pl"/>
        </w:rPr>
        <w:t>ratione personae</w:t>
      </w:r>
      <w:r>
        <w:rPr>
          <w:lang w:val="pl"/>
        </w:rPr>
        <w:t>, może również zależeć od uwarunkowań poszczególnych praw zawartych w Konwencji oraz zakresu pozytywnych obowiązków z nimi związanych (patrz na przykład</w:t>
      </w:r>
      <w:hyperlink r:id="rId1404" w:history="1">
        <w:r>
          <w:rPr>
            <w:lang w:val="pl"/>
          </w:rPr>
          <w:t xml:space="preserve"> </w:t>
        </w:r>
        <w:r>
          <w:rPr>
            <w:i/>
            <w:iCs/>
            <w:color w:val="0072BC"/>
            <w:lang w:val="pl"/>
          </w:rPr>
          <w:t xml:space="preserve">Söderman p. Szwecji </w:t>
        </w:r>
      </w:hyperlink>
      <w:r>
        <w:rPr>
          <w:lang w:val="pl"/>
        </w:rPr>
        <w:t>[WI], § 78;</w:t>
      </w:r>
      <w:hyperlink r:id="rId1405" w:history="1">
        <w:r>
          <w:rPr>
            <w:lang w:val="pl"/>
          </w:rPr>
          <w:t xml:space="preserve"> </w:t>
        </w:r>
        <w:r>
          <w:rPr>
            <w:i/>
            <w:iCs/>
            <w:color w:val="0072BC"/>
            <w:lang w:val="pl"/>
          </w:rPr>
          <w:t xml:space="preserve">Aksu p. Turcji </w:t>
        </w:r>
      </w:hyperlink>
      <w:r>
        <w:rPr>
          <w:lang w:val="pl"/>
        </w:rPr>
        <w:t>[WI], § 59;</w:t>
      </w:r>
      <w:hyperlink r:id="rId1406" w:history="1">
        <w:r>
          <w:rPr>
            <w:lang w:val="pl"/>
          </w:rPr>
          <w:t xml:space="preserve"> </w:t>
        </w:r>
        <w:r>
          <w:rPr>
            <w:i/>
            <w:iCs/>
            <w:color w:val="0072BC"/>
            <w:lang w:val="pl"/>
          </w:rPr>
          <w:t>Siliadin p. Francji</w:t>
        </w:r>
        <w:r>
          <w:rPr>
            <w:lang w:val="pl"/>
          </w:rPr>
          <w:t>,</w:t>
        </w:r>
      </w:hyperlink>
      <w:r>
        <w:rPr>
          <w:lang w:val="pl"/>
        </w:rPr>
        <w:t xml:space="preserve"> §§ 77-81; </w:t>
      </w:r>
      <w:hyperlink r:id="rId1407" w:history="1">
        <w:r>
          <w:rPr>
            <w:i/>
            <w:iCs/>
            <w:color w:val="0072BC"/>
            <w:lang w:val="pl"/>
          </w:rPr>
          <w:t>Beganović p. Chorwacji</w:t>
        </w:r>
        <w:r>
          <w:rPr>
            <w:lang w:val="pl"/>
          </w:rPr>
          <w:t>,</w:t>
        </w:r>
      </w:hyperlink>
      <w:r>
        <w:rPr>
          <w:lang w:val="pl"/>
        </w:rPr>
        <w:t xml:space="preserve"> §§ 69-71). Odpowiedzialność państwa w ra</w:t>
      </w:r>
      <w:r w:rsidR="00442B28">
        <w:rPr>
          <w:lang w:val="pl"/>
        </w:rPr>
        <w:t>mach Konwencji może zaistnieć w </w:t>
      </w:r>
      <w:r>
        <w:rPr>
          <w:lang w:val="pl"/>
        </w:rPr>
        <w:t xml:space="preserve">wyniku przyzwolenia ze strony jego organów lub ich współudziału w czynach osób prywatnych naruszających określone w Konwencji prawa innych osób podlegających jego jurysdykcji </w:t>
      </w:r>
      <w:hyperlink r:id="rId1408" w:history="1">
        <w:r>
          <w:rPr>
            <w:lang w:val="pl"/>
          </w:rPr>
          <w:t>(</w:t>
        </w:r>
        <w:r w:rsidR="00442B28">
          <w:rPr>
            <w:i/>
            <w:iCs/>
            <w:color w:val="0072BC"/>
            <w:lang w:val="pl"/>
          </w:rPr>
          <w:t>Ilaşcu i Inni p. </w:t>
        </w:r>
        <w:r>
          <w:rPr>
            <w:i/>
            <w:iCs/>
            <w:color w:val="0072BC"/>
            <w:lang w:val="pl"/>
          </w:rPr>
          <w:t>Mołdawii i</w:t>
        </w:r>
      </w:hyperlink>
      <w:r>
        <w:rPr>
          <w:i/>
          <w:iCs/>
          <w:color w:val="0072BC"/>
          <w:lang w:val="pl"/>
        </w:rPr>
        <w:t xml:space="preserve"> </w:t>
      </w:r>
      <w:hyperlink r:id="rId1409" w:history="1">
        <w:r>
          <w:rPr>
            <w:i/>
            <w:iCs/>
            <w:color w:val="0072BC"/>
            <w:lang w:val="pl"/>
          </w:rPr>
          <w:t xml:space="preserve">Rosji </w:t>
        </w:r>
      </w:hyperlink>
      <w:r>
        <w:rPr>
          <w:lang w:val="pl"/>
        </w:rPr>
        <w:t>[WI], § 318; patrz z kolei</w:t>
      </w:r>
      <w:hyperlink r:id="rId1410" w:history="1">
        <w:r>
          <w:rPr>
            <w:i/>
            <w:iCs/>
            <w:lang w:val="pl"/>
          </w:rPr>
          <w:t xml:space="preserve"> </w:t>
        </w:r>
        <w:r>
          <w:rPr>
            <w:i/>
            <w:iCs/>
            <w:color w:val="0072BC"/>
            <w:lang w:val="pl"/>
          </w:rPr>
          <w:t>Makuchyan i Minasyan p. Azerbejdżanowi i Węgrom</w:t>
        </w:r>
        <w:r>
          <w:rPr>
            <w:lang w:val="pl"/>
          </w:rPr>
          <w:t xml:space="preserve">, </w:t>
        </w:r>
      </w:hyperlink>
      <w:r w:rsidR="00442B28">
        <w:rPr>
          <w:lang w:val="pl"/>
        </w:rPr>
        <w:t>§§ </w:t>
      </w:r>
      <w:r>
        <w:rPr>
          <w:lang w:val="pl"/>
        </w:rPr>
        <w:t xml:space="preserve">111-120, sprawa dotycząca przestępstw popełnionych przez oficera jako osobę prywatną, bez wyraźnego i jednoznacznego „uznania” lub „przyjęcia” przez państwo), lub nawet wtedy gdy czyny te są popełniane przez funkcjonariuszy obcego państwa na jego terytorium </w:t>
      </w:r>
      <w:hyperlink r:id="rId1411" w:history="1">
        <w:r>
          <w:rPr>
            <w:lang w:val="pl"/>
          </w:rPr>
          <w:t>(</w:t>
        </w:r>
        <w:r>
          <w:rPr>
            <w:i/>
            <w:iCs/>
            <w:color w:val="0072BC"/>
            <w:lang w:val="pl"/>
          </w:rPr>
          <w:t>El-Masri p. Byłej Jugosłowiańskiej Republice Macedonii</w:t>
        </w:r>
      </w:hyperlink>
      <w:r>
        <w:rPr>
          <w:color w:val="0072BC"/>
          <w:lang w:val="pl"/>
        </w:rPr>
        <w:t xml:space="preserve"> </w:t>
      </w:r>
      <w:r>
        <w:rPr>
          <w:lang w:val="pl"/>
        </w:rPr>
        <w:t>[WI], § 206;</w:t>
      </w:r>
      <w:hyperlink r:id="rId1412" w:history="1">
        <w:r>
          <w:rPr>
            <w:i/>
            <w:iCs/>
            <w:lang w:val="pl"/>
          </w:rPr>
          <w:t xml:space="preserve"> </w:t>
        </w:r>
        <w:r>
          <w:rPr>
            <w:i/>
            <w:iCs/>
            <w:color w:val="0072BC"/>
            <w:lang w:val="pl"/>
          </w:rPr>
          <w:t>Al Nashiri p. Polsce</w:t>
        </w:r>
        <w:r>
          <w:rPr>
            <w:lang w:val="pl"/>
          </w:rPr>
          <w:t>,</w:t>
        </w:r>
      </w:hyperlink>
      <w:r>
        <w:rPr>
          <w:lang w:val="pl"/>
        </w:rPr>
        <w:t xml:space="preserve"> § 452;</w:t>
      </w:r>
      <w:hyperlink r:id="rId1413" w:history="1">
        <w:r>
          <w:rPr>
            <w:i/>
            <w:iCs/>
            <w:lang w:val="pl"/>
          </w:rPr>
          <w:t xml:space="preserve"> </w:t>
        </w:r>
        <w:r>
          <w:rPr>
            <w:i/>
            <w:iCs/>
            <w:color w:val="0072BC"/>
            <w:lang w:val="pl"/>
          </w:rPr>
          <w:t>Nasr i Ghali p. Włochom</w:t>
        </w:r>
        <w:r>
          <w:rPr>
            <w:lang w:val="pl"/>
          </w:rPr>
          <w:t>,</w:t>
        </w:r>
      </w:hyperlink>
      <w:r>
        <w:rPr>
          <w:lang w:val="pl"/>
        </w:rPr>
        <w:t xml:space="preserve"> § 241;</w:t>
      </w:r>
      <w:hyperlink r:id="rId1414" w:history="1">
        <w:r>
          <w:rPr>
            <w:i/>
            <w:iCs/>
            <w:lang w:val="pl"/>
          </w:rPr>
          <w:t xml:space="preserve"> </w:t>
        </w:r>
        <w:r>
          <w:rPr>
            <w:i/>
            <w:iCs/>
            <w:color w:val="0072BC"/>
            <w:lang w:val="pl"/>
          </w:rPr>
          <w:t>Al Nashiri p. Rumunii</w:t>
        </w:r>
        <w:r>
          <w:rPr>
            <w:lang w:val="pl"/>
          </w:rPr>
          <w:t>,</w:t>
        </w:r>
      </w:hyperlink>
      <w:r>
        <w:rPr>
          <w:lang w:val="pl"/>
        </w:rPr>
        <w:t xml:space="preserve"> §§ 594 i 600-602).</w:t>
      </w:r>
    </w:p>
    <w:p w:rsidR="00B71A20" w:rsidRPr="000625F6" w:rsidRDefault="000425B4" w:rsidP="00115011">
      <w:pPr>
        <w:pStyle w:val="Teksttreci0"/>
        <w:numPr>
          <w:ilvl w:val="0"/>
          <w:numId w:val="60"/>
        </w:numPr>
        <w:tabs>
          <w:tab w:val="left" w:pos="514"/>
        </w:tabs>
        <w:spacing w:after="220"/>
        <w:jc w:val="both"/>
        <w:rPr>
          <w:lang w:val="pl-PL"/>
        </w:rPr>
      </w:pPr>
      <w:bookmarkStart w:id="235" w:name="bookmark239"/>
      <w:r>
        <w:rPr>
          <w:lang w:val="pl"/>
        </w:rPr>
        <w:t xml:space="preserve">Odpowiedzialność państw za orzeczenia sądowe dotyczące sporów między osobami prywatnymi może zaistnieć na podstawie wystąpienia ingerencji w prawo przewidziane w Konwencji </w:t>
      </w:r>
      <w:hyperlink r:id="rId1415" w:history="1">
        <w:r>
          <w:rPr>
            <w:lang w:val="pl"/>
          </w:rPr>
          <w:t>(</w:t>
        </w:r>
        <w:r>
          <w:rPr>
            <w:i/>
            <w:iCs/>
            <w:color w:val="0072BC"/>
            <w:lang w:val="pl"/>
          </w:rPr>
          <w:t>Zhidov</w:t>
        </w:r>
      </w:hyperlink>
      <w:r>
        <w:rPr>
          <w:i/>
          <w:iCs/>
          <w:color w:val="0072BC"/>
          <w:lang w:val="pl"/>
        </w:rPr>
        <w:t xml:space="preserve"> </w:t>
      </w:r>
      <w:hyperlink r:id="rId1416" w:history="1">
        <w:r w:rsidR="00442B28">
          <w:rPr>
            <w:i/>
            <w:iCs/>
            <w:color w:val="0072BC"/>
            <w:lang w:val="pl"/>
          </w:rPr>
          <w:t>p. </w:t>
        </w:r>
        <w:r>
          <w:rPr>
            <w:i/>
            <w:iCs/>
            <w:color w:val="0072BC"/>
            <w:lang w:val="pl"/>
          </w:rPr>
          <w:t>Rosji</w:t>
        </w:r>
        <w:r>
          <w:rPr>
            <w:lang w:val="pl"/>
          </w:rPr>
          <w:t>,</w:t>
        </w:r>
      </w:hyperlink>
      <w:r>
        <w:rPr>
          <w:lang w:val="pl"/>
        </w:rPr>
        <w:t xml:space="preserve"> §§ 71 i 95, sprawa dotycząca sądowych nakazów rozbiórki nielegalnie wzniesionych budynków wydanych na podstawie wniosków przedsiębiorstw prywatnych zajmujących się eksploatacją gazociągów i ropociągów, w której Trybunał uznał, że te nakazy stanowiły ingerencję władz w prawo skarżących do poszanowania ich mienia, tym samym oddalając zastrzeżenie wstępne rządu dotyczące niezgodności </w:t>
      </w:r>
      <w:r>
        <w:rPr>
          <w:i/>
          <w:iCs/>
          <w:lang w:val="pl"/>
        </w:rPr>
        <w:t>ratione personae</w:t>
      </w:r>
      <w:r>
        <w:rPr>
          <w:lang w:val="pl"/>
        </w:rPr>
        <w:t>).</w:t>
      </w:r>
      <w:bookmarkEnd w:id="235"/>
    </w:p>
    <w:p w:rsidR="00B71A20" w:rsidRPr="000625F6" w:rsidRDefault="00180FE3" w:rsidP="00180FE3">
      <w:pPr>
        <w:pStyle w:val="Nagwek31"/>
        <w:keepNext/>
        <w:keepLines/>
        <w:spacing w:after="100"/>
        <w:ind w:left="340" w:hanging="340"/>
        <w:rPr>
          <w:lang w:val="pl-PL"/>
        </w:rPr>
      </w:pPr>
      <w:bookmarkStart w:id="236" w:name="_Toc126335673"/>
      <w:bookmarkStart w:id="237" w:name="_Toc126660632"/>
      <w:r>
        <w:rPr>
          <w:lang w:val="pl"/>
        </w:rPr>
        <w:lastRenderedPageBreak/>
        <w:t xml:space="preserve">4.  </w:t>
      </w:r>
      <w:r w:rsidR="000425B4">
        <w:rPr>
          <w:lang w:val="pl"/>
        </w:rPr>
        <w:t>Kwestie dotyczące możliwej odpowiedzia</w:t>
      </w:r>
      <w:r w:rsidR="00442B28">
        <w:rPr>
          <w:lang w:val="pl"/>
        </w:rPr>
        <w:t>lności państw-stron Konwencji z </w:t>
      </w:r>
      <w:r w:rsidR="000425B4">
        <w:rPr>
          <w:lang w:val="pl"/>
        </w:rPr>
        <w:t>tytułu działań lub zaniechań związanych z ich członkostwem w organizacji międzynarodowej</w:t>
      </w:r>
      <w:bookmarkEnd w:id="236"/>
      <w:bookmarkEnd w:id="237"/>
    </w:p>
    <w:p w:rsidR="00B71A20" w:rsidRPr="000625F6" w:rsidRDefault="000425B4" w:rsidP="00115011">
      <w:pPr>
        <w:pStyle w:val="Teksttreci0"/>
        <w:numPr>
          <w:ilvl w:val="0"/>
          <w:numId w:val="60"/>
        </w:numPr>
        <w:tabs>
          <w:tab w:val="left" w:pos="510"/>
        </w:tabs>
        <w:spacing w:after="120"/>
        <w:jc w:val="both"/>
        <w:rPr>
          <w:lang w:val="pl-PL"/>
        </w:rPr>
      </w:pPr>
      <w:r>
        <w:rPr>
          <w:lang w:val="pl"/>
        </w:rPr>
        <w:t xml:space="preserve">Konwencja nie może być interpretowana w sposób, który poddawałby kontroli Trybunału działania i zaniechania układających się stron objęte rezolucjami Rady Bezpieczeństwa Organizacji Narodów Zjednoczonych i które zaistniały przed lub w trakcie misji ONZ mających na celu zapewnienie pokoju i bezpieczeństwa międzynarodowego. Takie postępowanie stanowiłoby ingerencję w realizację kluczowej misji ONZ </w:t>
      </w:r>
      <w:hyperlink r:id="rId1417" w:history="1">
        <w:r>
          <w:rPr>
            <w:lang w:val="pl"/>
          </w:rPr>
          <w:t>(</w:t>
        </w:r>
        <w:r>
          <w:rPr>
            <w:i/>
            <w:iCs/>
            <w:color w:val="0072BC"/>
            <w:lang w:val="pl"/>
          </w:rPr>
          <w:t xml:space="preserve">Behrami p. Francji </w:t>
        </w:r>
        <w:r>
          <w:rPr>
            <w:color w:val="0072BC"/>
            <w:lang w:val="pl"/>
          </w:rPr>
          <w:t xml:space="preserve">oraz </w:t>
        </w:r>
        <w:r>
          <w:rPr>
            <w:i/>
            <w:iCs/>
            <w:color w:val="0072BC"/>
            <w:lang w:val="pl"/>
          </w:rPr>
          <w:t xml:space="preserve">Saramati p. Francji, Niemcom i Norwegii </w:t>
        </w:r>
      </w:hyperlink>
      <w:r w:rsidR="00785CAC">
        <w:rPr>
          <w:lang w:val="pl"/>
        </w:rPr>
        <w:t>(dec.) [WI], §§ </w:t>
      </w:r>
      <w:r>
        <w:rPr>
          <w:lang w:val="pl"/>
        </w:rPr>
        <w:t>146-152; por. z kolei</w:t>
      </w:r>
      <w:hyperlink r:id="rId1418" w:history="1">
        <w:r>
          <w:rPr>
            <w:i/>
            <w:iCs/>
            <w:lang w:val="pl"/>
          </w:rPr>
          <w:t xml:space="preserve"> </w:t>
        </w:r>
        <w:r>
          <w:rPr>
            <w:i/>
            <w:iCs/>
            <w:color w:val="0072BC"/>
            <w:lang w:val="pl"/>
          </w:rPr>
          <w:t xml:space="preserve">Al-Jedda p. Wielkiej Brytanii </w:t>
        </w:r>
      </w:hyperlink>
      <w:r>
        <w:rPr>
          <w:lang w:val="pl"/>
        </w:rPr>
        <w:t>[WI], §§ 74-85, sprawa dotycząca czynów żołnierzy krajowych w siłach wielonarodowych, nad którymi Rada Bezpieczeństwa nie miała władzy ani kontroli i które mogły zostać przypisane układającemu się państwu). Jednak Trybunał przyjął inne po</w:t>
      </w:r>
      <w:r w:rsidR="00785CAC">
        <w:rPr>
          <w:lang w:val="pl"/>
        </w:rPr>
        <w:t>dejście w </w:t>
      </w:r>
      <w:r>
        <w:rPr>
          <w:lang w:val="pl"/>
        </w:rPr>
        <w:t xml:space="preserve">odniesieniu do aktów prawa krajowego wdrażających rezolucje Rady Bezpieczeństwa ONZ, których nie można bezpośrednio przypisać ONZ-owi i które mogą zatem pociągać za sobą odpowiedzialność państwa </w:t>
      </w:r>
      <w:hyperlink r:id="rId1419" w:history="1">
        <w:r>
          <w:rPr>
            <w:lang w:val="pl"/>
          </w:rPr>
          <w:t>(</w:t>
        </w:r>
        <w:r>
          <w:rPr>
            <w:i/>
            <w:iCs/>
            <w:color w:val="0072BC"/>
            <w:lang w:val="pl"/>
          </w:rPr>
          <w:t xml:space="preserve">Nada p. Szwajcarii </w:t>
        </w:r>
      </w:hyperlink>
      <w:r>
        <w:rPr>
          <w:lang w:val="pl"/>
        </w:rPr>
        <w:t>[WI], §§ 120-122;</w:t>
      </w:r>
      <w:hyperlink r:id="rId1420" w:history="1">
        <w:r>
          <w:rPr>
            <w:i/>
            <w:iCs/>
            <w:lang w:val="pl"/>
          </w:rPr>
          <w:t xml:space="preserve"> </w:t>
        </w:r>
        <w:r>
          <w:rPr>
            <w:i/>
            <w:iCs/>
            <w:color w:val="0072BC"/>
            <w:lang w:val="pl"/>
          </w:rPr>
          <w:t>Al-Dulimi i Montana Management</w:t>
        </w:r>
      </w:hyperlink>
      <w:r>
        <w:rPr>
          <w:i/>
          <w:iCs/>
          <w:color w:val="0072BC"/>
          <w:lang w:val="pl"/>
        </w:rPr>
        <w:t xml:space="preserve"> </w:t>
      </w:r>
      <w:hyperlink r:id="rId1421" w:history="1">
        <w:r>
          <w:rPr>
            <w:i/>
            <w:iCs/>
            <w:color w:val="0072BC"/>
            <w:lang w:val="pl"/>
          </w:rPr>
          <w:t xml:space="preserve">Inc. p. Szwajcarii </w:t>
        </w:r>
      </w:hyperlink>
      <w:r>
        <w:rPr>
          <w:lang w:val="pl"/>
        </w:rPr>
        <w:t>[WI], §§ 93-96).</w:t>
      </w:r>
    </w:p>
    <w:p w:rsidR="00B71A20" w:rsidRPr="000625F6" w:rsidRDefault="000425B4" w:rsidP="00115011">
      <w:pPr>
        <w:pStyle w:val="Teksttreci0"/>
        <w:numPr>
          <w:ilvl w:val="0"/>
          <w:numId w:val="60"/>
        </w:numPr>
        <w:tabs>
          <w:tab w:val="left" w:pos="519"/>
        </w:tabs>
        <w:spacing w:after="120"/>
        <w:jc w:val="both"/>
        <w:rPr>
          <w:lang w:val="pl-PL"/>
        </w:rPr>
      </w:pPr>
      <w:r>
        <w:rPr>
          <w:lang w:val="pl"/>
        </w:rPr>
        <w:t xml:space="preserve">W odniesieniu do orzeczeń trybunałów międzynarodowych Trybunał orzekł, że nie ma jurysdykcji </w:t>
      </w:r>
      <w:r>
        <w:rPr>
          <w:i/>
          <w:iCs/>
          <w:lang w:val="pl"/>
        </w:rPr>
        <w:t>ratione personae</w:t>
      </w:r>
      <w:r>
        <w:rPr>
          <w:lang w:val="pl"/>
        </w:rPr>
        <w:t xml:space="preserve"> w zakresie rozpatrywania skarg dotyczących faktycznego postępowania prowadzonego przed Międzynarodowym Trybunałem Karnym dla Byłej Jugosławii, który został utworzony na mocy rezolucji Rady Bezpieczeństwa ONZ </w:t>
      </w:r>
      <w:hyperlink r:id="rId1422" w:history="1">
        <w:r>
          <w:rPr>
            <w:lang w:val="pl"/>
          </w:rPr>
          <w:t>(</w:t>
        </w:r>
        <w:r>
          <w:rPr>
            <w:i/>
            <w:iCs/>
            <w:color w:val="0072BC"/>
            <w:lang w:val="pl"/>
          </w:rPr>
          <w:t xml:space="preserve">Galić p. Holandii </w:t>
        </w:r>
      </w:hyperlink>
      <w:r>
        <w:rPr>
          <w:lang w:val="pl"/>
        </w:rPr>
        <w:t>(dec.);</w:t>
      </w:r>
      <w:hyperlink r:id="rId1423" w:history="1">
        <w:r>
          <w:rPr>
            <w:i/>
            <w:iCs/>
            <w:lang w:val="pl"/>
          </w:rPr>
          <w:t xml:space="preserve"> </w:t>
        </w:r>
        <w:r>
          <w:rPr>
            <w:i/>
            <w:iCs/>
            <w:color w:val="0072BC"/>
            <w:lang w:val="pl"/>
          </w:rPr>
          <w:t>Blagojević p. Holandii</w:t>
        </w:r>
      </w:hyperlink>
      <w:r>
        <w:rPr>
          <w:color w:val="0072BC"/>
          <w:lang w:val="pl"/>
        </w:rPr>
        <w:t xml:space="preserve"> </w:t>
      </w:r>
      <w:r>
        <w:rPr>
          <w:lang w:val="pl"/>
        </w:rPr>
        <w:t>(dec.)). Co do odwołania urzędników na mocy decyzji Wysoki</w:t>
      </w:r>
      <w:r w:rsidR="00785CAC">
        <w:rPr>
          <w:lang w:val="pl"/>
        </w:rPr>
        <w:t>ego Przedstawiciela dla Bośni i </w:t>
      </w:r>
      <w:r>
        <w:rPr>
          <w:lang w:val="pl"/>
        </w:rPr>
        <w:t>Hercegowiny, którego kompetencje zostały nadane na mocy rezolucji Rady Bezpieczeństwa Organizacji Narodów Zjednoczonych, patrz</w:t>
      </w:r>
      <w:hyperlink r:id="rId1424" w:history="1">
        <w:r>
          <w:rPr>
            <w:lang w:val="pl"/>
          </w:rPr>
          <w:t xml:space="preserve"> </w:t>
        </w:r>
        <w:r>
          <w:rPr>
            <w:i/>
            <w:iCs/>
            <w:color w:val="0072BC"/>
            <w:lang w:val="pl"/>
          </w:rPr>
          <w:t>Berić</w:t>
        </w:r>
      </w:hyperlink>
      <w:r>
        <w:rPr>
          <w:i/>
          <w:iCs/>
          <w:color w:val="0072BC"/>
          <w:lang w:val="pl"/>
        </w:rPr>
        <w:t xml:space="preserve"> </w:t>
      </w:r>
      <w:hyperlink r:id="rId1425" w:history="1">
        <w:r>
          <w:rPr>
            <w:i/>
            <w:iCs/>
            <w:color w:val="0072BC"/>
            <w:lang w:val="pl"/>
          </w:rPr>
          <w:t xml:space="preserve">i Inni p. Bośni i Hercegowinie </w:t>
        </w:r>
      </w:hyperlink>
      <w:r>
        <w:rPr>
          <w:lang w:val="pl"/>
        </w:rPr>
        <w:t>(dec.), §§ 26 i nast.</w:t>
      </w:r>
    </w:p>
    <w:p w:rsidR="00B71A20" w:rsidRPr="000625F6" w:rsidRDefault="000425B4" w:rsidP="00115011">
      <w:pPr>
        <w:pStyle w:val="Teksttreci0"/>
        <w:numPr>
          <w:ilvl w:val="0"/>
          <w:numId w:val="60"/>
        </w:numPr>
        <w:tabs>
          <w:tab w:val="left" w:pos="505"/>
        </w:tabs>
        <w:spacing w:after="120"/>
        <w:jc w:val="both"/>
        <w:rPr>
          <w:lang w:val="pl-PL"/>
        </w:rPr>
      </w:pPr>
      <w:r>
        <w:rPr>
          <w:lang w:val="pl"/>
        </w:rPr>
        <w:t xml:space="preserve">Domniemanego naruszenia Konwencji nie można przypisać układającemu się państwu w związku z decyzją lub środkiem podjętym przez organ organizacji międzynarodowej, której to państwo jest członkiem, jeśli nie ustalono, a nawet nie uprawdopodobniono, że ochrona podstawowych praw powszechnie przyznanych przez daną organizację międzynarodową nie jest „równoważna” z ochroną gwarantowaną przez Konwencję i jeżeli zainteresowane państwo nie było bezpośrednio albo pośrednio zaangażowane w dokonanie zarzucanego czynu </w:t>
      </w:r>
      <w:hyperlink r:id="rId1426" w:history="1">
        <w:r>
          <w:rPr>
            <w:lang w:val="pl"/>
          </w:rPr>
          <w:t>(</w:t>
        </w:r>
        <w:r>
          <w:rPr>
            <w:i/>
            <w:iCs/>
            <w:color w:val="0072BC"/>
            <w:lang w:val="pl"/>
          </w:rPr>
          <w:t xml:space="preserve">Gasparini p. Włochom i Belgii </w:t>
        </w:r>
      </w:hyperlink>
      <w:r>
        <w:rPr>
          <w:lang w:val="pl"/>
        </w:rPr>
        <w:t>(dec.);</w:t>
      </w:r>
      <w:hyperlink r:id="rId1427" w:history="1">
        <w:r>
          <w:rPr>
            <w:i/>
            <w:iCs/>
            <w:lang w:val="pl"/>
          </w:rPr>
          <w:t xml:space="preserve"> </w:t>
        </w:r>
        <w:r w:rsidR="00785CAC">
          <w:rPr>
            <w:i/>
            <w:iCs/>
            <w:color w:val="0072BC"/>
            <w:lang w:val="pl"/>
          </w:rPr>
          <w:t>Klausecker p. </w:t>
        </w:r>
        <w:r>
          <w:rPr>
            <w:i/>
            <w:iCs/>
            <w:color w:val="0072BC"/>
            <w:lang w:val="pl"/>
          </w:rPr>
          <w:t xml:space="preserve">Niemcom </w:t>
        </w:r>
      </w:hyperlink>
      <w:r>
        <w:rPr>
          <w:lang w:val="pl"/>
        </w:rPr>
        <w:t>(dec.), § 97).</w:t>
      </w:r>
    </w:p>
    <w:p w:rsidR="00B71A20" w:rsidRPr="000625F6" w:rsidRDefault="000425B4" w:rsidP="00115011">
      <w:pPr>
        <w:pStyle w:val="Teksttreci0"/>
        <w:numPr>
          <w:ilvl w:val="0"/>
          <w:numId w:val="60"/>
        </w:numPr>
        <w:tabs>
          <w:tab w:val="left" w:pos="514"/>
        </w:tabs>
        <w:spacing w:after="120"/>
        <w:jc w:val="both"/>
        <w:rPr>
          <w:lang w:val="pl-PL"/>
        </w:rPr>
      </w:pPr>
      <w:r>
        <w:rPr>
          <w:lang w:val="pl"/>
        </w:rPr>
        <w:t xml:space="preserve">W związku z tym Trybunał orzekł, że nie ma jurysdykcji </w:t>
      </w:r>
      <w:r>
        <w:rPr>
          <w:i/>
          <w:iCs/>
          <w:lang w:val="pl"/>
        </w:rPr>
        <w:t>ratione personae</w:t>
      </w:r>
      <w:r>
        <w:rPr>
          <w:lang w:val="pl"/>
        </w:rPr>
        <w:t xml:space="preserve"> w zakresie rozpatrywania skarg skierowanych przeciwko indywidualnym decyzjom wydanym przez właściwy organ organizacji międzynarodowej w kontekście sporu pracowniczego podlegającego całkowicie wewnętrznemu porządkowi prawnemu tej organizacji o osobowości prawnej, odrębnemu od porządku jej państw członkowskich, jeśli państwa te w żadnym momencie nie interweniowały bezpośrednio albo pośrednio w spór oraz żadne ich działania lub zaniechania nie skutkują odpowiedzialnością na gruncie Konwencji (indywidualny spór pracowniczy z Eurocontrol:</w:t>
      </w:r>
      <w:hyperlink r:id="rId1428" w:history="1">
        <w:r>
          <w:rPr>
            <w:lang w:val="pl"/>
          </w:rPr>
          <w:t xml:space="preserve"> </w:t>
        </w:r>
        <w:r>
          <w:rPr>
            <w:i/>
            <w:iCs/>
            <w:color w:val="0072BC"/>
            <w:lang w:val="pl"/>
          </w:rPr>
          <w:t>Boivin p. 34 państwom</w:t>
        </w:r>
      </w:hyperlink>
      <w:r>
        <w:rPr>
          <w:i/>
          <w:iCs/>
          <w:color w:val="0072BC"/>
          <w:lang w:val="pl"/>
        </w:rPr>
        <w:t xml:space="preserve"> </w:t>
      </w:r>
      <w:hyperlink r:id="rId1429" w:history="1">
        <w:r>
          <w:rPr>
            <w:i/>
            <w:iCs/>
            <w:color w:val="0072BC"/>
            <w:lang w:val="pl"/>
          </w:rPr>
          <w:t>członkowskim Rady Europy</w:t>
        </w:r>
        <w:r>
          <w:rPr>
            <w:color w:val="0072BC"/>
            <w:lang w:val="pl"/>
          </w:rPr>
          <w:t xml:space="preserve"> </w:t>
        </w:r>
      </w:hyperlink>
      <w:r>
        <w:rPr>
          <w:lang w:val="pl"/>
        </w:rPr>
        <w:t xml:space="preserve">(dec.); postępowanie dyscyplinarne w ramach Międzynarodowej Rady ds. Oliwek: </w:t>
      </w:r>
      <w:hyperlink r:id="rId1430" w:history="1">
        <w:r w:rsidR="00785CAC">
          <w:rPr>
            <w:i/>
            <w:iCs/>
            <w:color w:val="0072BC"/>
            <w:lang w:val="pl"/>
          </w:rPr>
          <w:t>Lopez Cifuentes p. </w:t>
        </w:r>
        <w:r>
          <w:rPr>
            <w:i/>
            <w:iCs/>
            <w:color w:val="0072BC"/>
            <w:lang w:val="pl"/>
          </w:rPr>
          <w:t>Hiszpanii</w:t>
        </w:r>
        <w:r>
          <w:rPr>
            <w:color w:val="0072BC"/>
            <w:lang w:val="pl"/>
          </w:rPr>
          <w:t xml:space="preserve"> </w:t>
        </w:r>
      </w:hyperlink>
      <w:r>
        <w:rPr>
          <w:lang w:val="pl"/>
        </w:rPr>
        <w:t xml:space="preserve">(dec.), §§ 28-29; postępowanie dyscyplinarne w ramach Rady Europy: </w:t>
      </w:r>
      <w:hyperlink r:id="rId1431" w:history="1">
        <w:r>
          <w:rPr>
            <w:i/>
            <w:iCs/>
            <w:color w:val="0072BC"/>
            <w:lang w:val="pl"/>
          </w:rPr>
          <w:t xml:space="preserve">Beygo p. 46 państwom członkowskim Rady Europy </w:t>
        </w:r>
      </w:hyperlink>
      <w:r>
        <w:rPr>
          <w:lang w:val="pl"/>
        </w:rPr>
        <w:t>(dec.)). W odniesieniu do domniemanych naruszeń Konwencji wynikających z odwołania urzędnika Komisji Europejskiej oraz postępowania odwoławczego przed sądami UE, patrz</w:t>
      </w:r>
      <w:hyperlink r:id="rId1432" w:history="1">
        <w:r>
          <w:rPr>
            <w:i/>
            <w:iCs/>
            <w:lang w:val="pl"/>
          </w:rPr>
          <w:t xml:space="preserve"> </w:t>
        </w:r>
        <w:r>
          <w:rPr>
            <w:i/>
            <w:iCs/>
            <w:color w:val="0072BC"/>
            <w:lang w:val="pl"/>
          </w:rPr>
          <w:t xml:space="preserve">Connolly p. 15 państwom członkowskim Unii Europejskiej </w:t>
        </w:r>
      </w:hyperlink>
      <w:r>
        <w:rPr>
          <w:lang w:val="pl"/>
        </w:rPr>
        <w:t>(dec.);</w:t>
      </w:r>
      <w:hyperlink r:id="rId1433" w:history="1">
        <w:r>
          <w:rPr>
            <w:i/>
            <w:iCs/>
            <w:lang w:val="pl"/>
          </w:rPr>
          <w:t xml:space="preserve"> </w:t>
        </w:r>
        <w:r>
          <w:rPr>
            <w:i/>
            <w:iCs/>
            <w:color w:val="0072BC"/>
            <w:lang w:val="pl"/>
          </w:rPr>
          <w:t>Andreasen p. Wielkiej</w:t>
        </w:r>
      </w:hyperlink>
      <w:r>
        <w:rPr>
          <w:i/>
          <w:iCs/>
          <w:color w:val="0072BC"/>
          <w:lang w:val="pl"/>
        </w:rPr>
        <w:t xml:space="preserve"> </w:t>
      </w:r>
      <w:hyperlink r:id="rId1434" w:history="1">
        <w:r>
          <w:rPr>
            <w:i/>
            <w:iCs/>
            <w:color w:val="0072BC"/>
            <w:lang w:val="pl"/>
          </w:rPr>
          <w:t>Brytanii</w:t>
        </w:r>
        <w:r>
          <w:rPr>
            <w:color w:val="0072BC"/>
            <w:lang w:val="pl"/>
          </w:rPr>
          <w:t xml:space="preserve"> </w:t>
        </w:r>
        <w:r>
          <w:rPr>
            <w:i/>
            <w:iCs/>
            <w:color w:val="0072BC"/>
            <w:lang w:val="pl"/>
          </w:rPr>
          <w:t xml:space="preserve">i 26 pozostałym państwom członkowskim Unii Europejskiej </w:t>
        </w:r>
      </w:hyperlink>
      <w:r>
        <w:rPr>
          <w:lang w:val="pl"/>
        </w:rPr>
        <w:t>(dec.), §§ 71-72.</w:t>
      </w:r>
    </w:p>
    <w:p w:rsidR="00B71A20" w:rsidRPr="000625F6" w:rsidRDefault="000425B4">
      <w:pPr>
        <w:pStyle w:val="Teksttreci0"/>
        <w:spacing w:after="120"/>
        <w:jc w:val="both"/>
        <w:rPr>
          <w:lang w:val="pl-PL"/>
        </w:rPr>
      </w:pPr>
      <w:r>
        <w:rPr>
          <w:lang w:val="pl"/>
        </w:rPr>
        <w:t xml:space="preserve">Warto porównać te ustalenia z wynikami badania przez Trybunał zarzutów dotyczących wady strukturalnej wewnętrznego mechanizmu organizacji międzynarodowej, której zainteresowane państwa-strony przekazały część swoich suwerennych uprawnień, jeśli stwierdzono, że ochrona praw podstawowych przez organizację nie jest „równoważna” z ochroną zagwarantowaną przez Konwencję </w:t>
      </w:r>
      <w:hyperlink r:id="rId1435" w:history="1">
        <w:r>
          <w:rPr>
            <w:lang w:val="pl"/>
          </w:rPr>
          <w:t>(</w:t>
        </w:r>
        <w:r>
          <w:rPr>
            <w:i/>
            <w:iCs/>
            <w:color w:val="0072BC"/>
            <w:lang w:val="pl"/>
          </w:rPr>
          <w:t xml:space="preserve">Gasparini p. Włochom i Belgii </w:t>
        </w:r>
      </w:hyperlink>
      <w:r>
        <w:rPr>
          <w:lang w:val="pl"/>
        </w:rPr>
        <w:t>(dec.);</w:t>
      </w:r>
      <w:hyperlink r:id="rId1436" w:history="1">
        <w:r>
          <w:rPr>
            <w:lang w:val="pl"/>
          </w:rPr>
          <w:t xml:space="preserve"> </w:t>
        </w:r>
        <w:r>
          <w:rPr>
            <w:i/>
            <w:iCs/>
            <w:color w:val="0072BC"/>
            <w:lang w:val="pl"/>
          </w:rPr>
          <w:t xml:space="preserve">Klausecker p. Niemcom </w:t>
        </w:r>
      </w:hyperlink>
      <w:r>
        <w:rPr>
          <w:lang w:val="pl"/>
        </w:rPr>
        <w:t>(dec.), §§ 98-107).</w:t>
      </w:r>
    </w:p>
    <w:p w:rsidR="00B71A20" w:rsidRPr="000625F6" w:rsidRDefault="000425B4" w:rsidP="00115011">
      <w:pPr>
        <w:pStyle w:val="Teksttreci0"/>
        <w:numPr>
          <w:ilvl w:val="0"/>
          <w:numId w:val="60"/>
        </w:numPr>
        <w:tabs>
          <w:tab w:val="left" w:pos="505"/>
          <w:tab w:val="left" w:pos="3778"/>
        </w:tabs>
        <w:spacing w:after="0"/>
        <w:jc w:val="both"/>
        <w:rPr>
          <w:lang w:val="pl-PL"/>
        </w:rPr>
      </w:pPr>
      <w:r>
        <w:rPr>
          <w:lang w:val="pl"/>
        </w:rPr>
        <w:t xml:space="preserve">Trybunał przyjmuje inne podejście w przypadku spraw obejmujących bezpośrednią albo </w:t>
      </w:r>
      <w:r>
        <w:rPr>
          <w:lang w:val="pl"/>
        </w:rPr>
        <w:lastRenderedPageBreak/>
        <w:t xml:space="preserve">pośrednią ingerencję w toczący się spór podjętą przez pozwane państwo, które tym samym też zaczyna podlegać odpowiedzialności międzynarodowej: </w:t>
      </w:r>
      <w:hyperlink r:id="rId1437" w:history="1">
        <w:r>
          <w:rPr>
            <w:i/>
            <w:iCs/>
            <w:color w:val="0072BC"/>
            <w:lang w:val="pl"/>
          </w:rPr>
          <w:t xml:space="preserve">Bosphorus Hava Yolları Turizm ve Ticaret Anonim Şirketi p. Irlandii </w:t>
        </w:r>
      </w:hyperlink>
      <w:r>
        <w:rPr>
          <w:lang w:val="pl"/>
        </w:rPr>
        <w:t>[WI], § 153;</w:t>
      </w:r>
      <w:hyperlink r:id="rId1438" w:history="1">
        <w:r>
          <w:rPr>
            <w:lang w:val="pl"/>
          </w:rPr>
          <w:t xml:space="preserve"> </w:t>
        </w:r>
        <w:r>
          <w:rPr>
            <w:i/>
            <w:iCs/>
            <w:color w:val="0072BC"/>
            <w:lang w:val="pl"/>
          </w:rPr>
          <w:t>Michaud p. Francji</w:t>
        </w:r>
        <w:r>
          <w:rPr>
            <w:lang w:val="pl"/>
          </w:rPr>
          <w:t>,</w:t>
        </w:r>
      </w:hyperlink>
      <w:r>
        <w:rPr>
          <w:lang w:val="pl"/>
        </w:rPr>
        <w:t xml:space="preserve"> §§ 102-104;</w:t>
      </w:r>
      <w:hyperlink r:id="rId1439" w:history="1">
        <w:r>
          <w:rPr>
            <w:lang w:val="pl"/>
          </w:rPr>
          <w:t xml:space="preserve"> </w:t>
        </w:r>
        <w:r>
          <w:rPr>
            <w:i/>
            <w:iCs/>
            <w:color w:val="0072BC"/>
            <w:lang w:val="pl"/>
          </w:rPr>
          <w:t xml:space="preserve">Nada p. Szwajcarii </w:t>
        </w:r>
      </w:hyperlink>
      <w:r>
        <w:rPr>
          <w:lang w:val="pl"/>
        </w:rPr>
        <w:t>[WI],</w:t>
      </w:r>
      <w:r>
        <w:rPr>
          <w:lang w:val="pl"/>
        </w:rPr>
        <w:tab/>
        <w:t>§§ 120-122;</w:t>
      </w:r>
      <w:hyperlink r:id="rId1440" w:history="1">
        <w:r>
          <w:rPr>
            <w:lang w:val="pl"/>
          </w:rPr>
          <w:t xml:space="preserve"> </w:t>
        </w:r>
        <w:r>
          <w:rPr>
            <w:i/>
            <w:iCs/>
            <w:color w:val="0072BC"/>
            <w:lang w:val="pl"/>
          </w:rPr>
          <w:t>Al-Dulimi i Montana Management Inc.</w:t>
        </w:r>
      </w:hyperlink>
    </w:p>
    <w:p w:rsidR="00B71A20" w:rsidRDefault="0093676E">
      <w:pPr>
        <w:pStyle w:val="Teksttreci0"/>
        <w:spacing w:after="120"/>
        <w:jc w:val="both"/>
      </w:pPr>
      <w:hyperlink r:id="rId1441" w:history="1">
        <w:r w:rsidR="000425B4">
          <w:rPr>
            <w:i/>
            <w:iCs/>
            <w:color w:val="0072BC"/>
            <w:lang w:val="pl"/>
          </w:rPr>
          <w:t xml:space="preserve">p. Szwajcarii </w:t>
        </w:r>
      </w:hyperlink>
      <w:r w:rsidR="000425B4">
        <w:rPr>
          <w:lang w:val="pl"/>
        </w:rPr>
        <w:t>[WI], §§ 93</w:t>
      </w:r>
      <w:r w:rsidR="000425B4">
        <w:rPr>
          <w:lang w:val="pl"/>
        </w:rPr>
        <w:noBreakHyphen/>
        <w:t>96; por.</w:t>
      </w:r>
      <w:hyperlink r:id="rId1442" w:history="1">
        <w:r w:rsidR="000425B4">
          <w:rPr>
            <w:lang w:val="pl"/>
          </w:rPr>
          <w:t xml:space="preserve"> </w:t>
        </w:r>
        <w:r w:rsidR="000425B4">
          <w:rPr>
            <w:i/>
            <w:iCs/>
            <w:color w:val="0072BC"/>
            <w:lang w:val="pl"/>
          </w:rPr>
          <w:t>Behrami p. Francji i Saramati p. Francji, Niemcom i</w:t>
        </w:r>
      </w:hyperlink>
      <w:r w:rsidR="000425B4">
        <w:rPr>
          <w:i/>
          <w:iCs/>
          <w:color w:val="0072BC"/>
          <w:lang w:val="pl"/>
        </w:rPr>
        <w:t xml:space="preserve"> </w:t>
      </w:r>
      <w:hyperlink r:id="rId1443" w:history="1">
        <w:r w:rsidR="000425B4">
          <w:rPr>
            <w:i/>
            <w:iCs/>
            <w:color w:val="0072BC"/>
            <w:lang w:val="pl"/>
          </w:rPr>
          <w:t xml:space="preserve">Norwegii </w:t>
        </w:r>
      </w:hyperlink>
      <w:r w:rsidR="000425B4">
        <w:rPr>
          <w:lang w:val="pl"/>
        </w:rPr>
        <w:t>(dec.) [WI], § 151. Patrz też następujące przykłady:</w:t>
      </w:r>
    </w:p>
    <w:p w:rsidR="00B71A20" w:rsidRPr="000625F6" w:rsidRDefault="000425B4" w:rsidP="00115011">
      <w:pPr>
        <w:pStyle w:val="Teksttreci0"/>
        <w:numPr>
          <w:ilvl w:val="0"/>
          <w:numId w:val="63"/>
        </w:numPr>
        <w:tabs>
          <w:tab w:val="left" w:pos="878"/>
        </w:tabs>
        <w:spacing w:after="60" w:line="257" w:lineRule="auto"/>
        <w:ind w:left="880" w:hanging="280"/>
        <w:jc w:val="both"/>
        <w:rPr>
          <w:lang w:val="pl-PL"/>
        </w:rPr>
      </w:pPr>
      <w:r>
        <w:rPr>
          <w:lang w:val="pl"/>
        </w:rPr>
        <w:t>decyzja o niezarejestrowaniu skarżącego jako wyborcy na</w:t>
      </w:r>
      <w:r w:rsidR="00785CAC">
        <w:rPr>
          <w:lang w:val="pl"/>
        </w:rPr>
        <w:t xml:space="preserve"> podstawie traktatu zawartego w </w:t>
      </w:r>
      <w:r>
        <w:rPr>
          <w:lang w:val="pl"/>
        </w:rPr>
        <w:t xml:space="preserve">ramach Unii Europejskiej </w:t>
      </w:r>
      <w:hyperlink r:id="rId1444" w:history="1">
        <w:r>
          <w:rPr>
            <w:lang w:val="pl"/>
          </w:rPr>
          <w:t>(</w:t>
        </w:r>
        <w:r>
          <w:rPr>
            <w:i/>
            <w:iCs/>
            <w:color w:val="0072BC"/>
            <w:lang w:val="pl"/>
          </w:rPr>
          <w:t xml:space="preserve">Matthews p. Wielkiej Brytanii </w:t>
        </w:r>
      </w:hyperlink>
      <w:r>
        <w:rPr>
          <w:lang w:val="pl"/>
        </w:rPr>
        <w:t>[WI]);</w:t>
      </w:r>
    </w:p>
    <w:p w:rsidR="00B71A20" w:rsidRPr="000625F6" w:rsidRDefault="000425B4" w:rsidP="00115011">
      <w:pPr>
        <w:pStyle w:val="Teksttreci0"/>
        <w:numPr>
          <w:ilvl w:val="0"/>
          <w:numId w:val="63"/>
        </w:numPr>
        <w:tabs>
          <w:tab w:val="left" w:pos="878"/>
        </w:tabs>
        <w:spacing w:after="60" w:line="257" w:lineRule="auto"/>
        <w:ind w:left="880" w:hanging="280"/>
        <w:jc w:val="both"/>
        <w:rPr>
          <w:lang w:val="pl-PL"/>
        </w:rPr>
      </w:pPr>
      <w:r>
        <w:rPr>
          <w:lang w:val="pl"/>
        </w:rPr>
        <w:t xml:space="preserve">wyegzekwowanie wobec skarżącego prawa francuskiego wdrażającego dyrektywę Unii Europejskiej </w:t>
      </w:r>
      <w:hyperlink r:id="rId1445" w:history="1">
        <w:r>
          <w:rPr>
            <w:lang w:val="pl"/>
          </w:rPr>
          <w:t>(</w:t>
        </w:r>
        <w:r>
          <w:rPr>
            <w:i/>
            <w:iCs/>
            <w:color w:val="0072BC"/>
            <w:lang w:val="pl"/>
          </w:rPr>
          <w:t>Cantoni p. Francji</w:t>
        </w:r>
        <w:r>
          <w:rPr>
            <w:lang w:val="pl"/>
          </w:rPr>
          <w:t>)</w:t>
        </w:r>
      </w:hyperlink>
      <w:r>
        <w:rPr>
          <w:lang w:val="pl"/>
        </w:rPr>
        <w:t>;</w:t>
      </w:r>
    </w:p>
    <w:p w:rsidR="00B71A20" w:rsidRPr="000625F6" w:rsidRDefault="000425B4" w:rsidP="00115011">
      <w:pPr>
        <w:pStyle w:val="Teksttreci0"/>
        <w:numPr>
          <w:ilvl w:val="0"/>
          <w:numId w:val="63"/>
        </w:numPr>
        <w:tabs>
          <w:tab w:val="left" w:pos="878"/>
        </w:tabs>
        <w:spacing w:after="120"/>
        <w:ind w:left="880" w:hanging="280"/>
        <w:jc w:val="both"/>
        <w:rPr>
          <w:lang w:val="pl-PL"/>
        </w:rPr>
      </w:pPr>
      <w:r>
        <w:rPr>
          <w:lang w:val="pl"/>
        </w:rPr>
        <w:t xml:space="preserve">odmowa dostępu do sądów niemieckich na podstawie immunitetów jurysdykcyjnych przyznanych organizacjom międzynarodowym </w:t>
      </w:r>
      <w:hyperlink r:id="rId1446" w:history="1">
        <w:r>
          <w:rPr>
            <w:lang w:val="pl"/>
          </w:rPr>
          <w:t>(</w:t>
        </w:r>
        <w:r>
          <w:rPr>
            <w:i/>
            <w:iCs/>
            <w:color w:val="0072BC"/>
            <w:lang w:val="pl"/>
          </w:rPr>
          <w:t xml:space="preserve">Beer i Regan p. Niemcom </w:t>
        </w:r>
      </w:hyperlink>
      <w:r>
        <w:rPr>
          <w:lang w:val="pl"/>
        </w:rPr>
        <w:t>[WI];</w:t>
      </w:r>
      <w:hyperlink r:id="rId1447" w:history="1">
        <w:r>
          <w:rPr>
            <w:i/>
            <w:iCs/>
            <w:lang w:val="pl"/>
          </w:rPr>
          <w:t xml:space="preserve"> </w:t>
        </w:r>
        <w:r w:rsidR="00785CAC">
          <w:rPr>
            <w:i/>
            <w:iCs/>
            <w:color w:val="0072BC"/>
            <w:lang w:val="pl"/>
          </w:rPr>
          <w:t>Waite i </w:t>
        </w:r>
        <w:r>
          <w:rPr>
            <w:i/>
            <w:iCs/>
            <w:color w:val="0072BC"/>
            <w:lang w:val="pl"/>
          </w:rPr>
          <w:t>Kennedy</w:t>
        </w:r>
      </w:hyperlink>
      <w:r>
        <w:rPr>
          <w:i/>
          <w:iCs/>
          <w:color w:val="0072BC"/>
          <w:lang w:val="pl"/>
        </w:rPr>
        <w:t xml:space="preserve"> </w:t>
      </w:r>
      <w:hyperlink r:id="rId1448" w:history="1">
        <w:r>
          <w:rPr>
            <w:i/>
            <w:iCs/>
            <w:color w:val="0072BC"/>
            <w:lang w:val="pl"/>
          </w:rPr>
          <w:t xml:space="preserve">p. Niemcom </w:t>
        </w:r>
      </w:hyperlink>
      <w:r>
        <w:rPr>
          <w:lang w:val="pl"/>
        </w:rPr>
        <w:t>[WI];</w:t>
      </w:r>
      <w:hyperlink r:id="rId1449" w:history="1">
        <w:r>
          <w:rPr>
            <w:i/>
            <w:iCs/>
            <w:lang w:val="pl"/>
          </w:rPr>
          <w:t xml:space="preserve"> </w:t>
        </w:r>
        <w:r>
          <w:rPr>
            <w:i/>
            <w:iCs/>
            <w:color w:val="0072BC"/>
            <w:lang w:val="pl"/>
          </w:rPr>
          <w:t xml:space="preserve">Klausecker p. Niemcom </w:t>
        </w:r>
      </w:hyperlink>
      <w:r>
        <w:rPr>
          <w:lang w:val="pl"/>
        </w:rPr>
        <w:t>(dec.), § 45);</w:t>
      </w:r>
    </w:p>
    <w:p w:rsidR="00B71A20" w:rsidRPr="000625F6" w:rsidRDefault="000425B4" w:rsidP="00115011">
      <w:pPr>
        <w:pStyle w:val="Teksttreci0"/>
        <w:numPr>
          <w:ilvl w:val="0"/>
          <w:numId w:val="63"/>
        </w:numPr>
        <w:tabs>
          <w:tab w:val="left" w:pos="858"/>
        </w:tabs>
        <w:spacing w:after="40"/>
        <w:ind w:left="880" w:hanging="300"/>
        <w:jc w:val="both"/>
        <w:rPr>
          <w:lang w:val="pl-PL"/>
        </w:rPr>
      </w:pPr>
      <w:r>
        <w:rPr>
          <w:lang w:val="pl"/>
        </w:rPr>
        <w:t xml:space="preserve">konfiskata na terytorium pozwanego państwa dokonana przez jego władze na mocy nakazu ministra zgodnie z jego zobowiązaniami prawnymi wynikającymi z prawa europejskiego </w:t>
      </w:r>
      <w:hyperlink r:id="rId1450" w:history="1">
        <w:r>
          <w:rPr>
            <w:lang w:val="pl"/>
          </w:rPr>
          <w:t>(</w:t>
        </w:r>
        <w:r>
          <w:rPr>
            <w:i/>
            <w:iCs/>
            <w:color w:val="0072BC"/>
            <w:lang w:val="pl"/>
          </w:rPr>
          <w:t>Bosphorus Hava Yolları Turizm ve</w:t>
        </w:r>
      </w:hyperlink>
      <w:r>
        <w:rPr>
          <w:i/>
          <w:iCs/>
          <w:color w:val="0072BC"/>
          <w:lang w:val="pl"/>
        </w:rPr>
        <w:t xml:space="preserve"> </w:t>
      </w:r>
      <w:hyperlink r:id="rId1451" w:history="1">
        <w:r>
          <w:rPr>
            <w:i/>
            <w:iCs/>
            <w:color w:val="0072BC"/>
            <w:lang w:val="pl"/>
          </w:rPr>
          <w:t xml:space="preserve">Ticaret Anonim Şirketi p. Irlandii </w:t>
        </w:r>
      </w:hyperlink>
      <w:r>
        <w:rPr>
          <w:lang w:val="pl"/>
        </w:rPr>
        <w:t>[WI] – rozporządzenie unijne, które zostało wydane w ślad za rezolucją Rady Bezpieczeństwa ONZ – patrz §§ 153-154);</w:t>
      </w:r>
    </w:p>
    <w:p w:rsidR="00B71A20" w:rsidRPr="000625F6" w:rsidRDefault="000425B4" w:rsidP="00115011">
      <w:pPr>
        <w:pStyle w:val="Teksttreci0"/>
        <w:numPr>
          <w:ilvl w:val="0"/>
          <w:numId w:val="63"/>
        </w:numPr>
        <w:tabs>
          <w:tab w:val="left" w:pos="858"/>
        </w:tabs>
        <w:spacing w:after="40"/>
        <w:ind w:left="880" w:hanging="300"/>
        <w:jc w:val="both"/>
        <w:rPr>
          <w:lang w:val="pl-PL"/>
        </w:rPr>
      </w:pPr>
      <w:r>
        <w:rPr>
          <w:lang w:val="pl"/>
        </w:rPr>
        <w:t xml:space="preserve">wniosek sądu krajowego do Trybunału Sprawiedliwości Unii Europejskiej o wydanie orzeczenia w trybie prejudycjalnym </w:t>
      </w:r>
      <w:hyperlink r:id="rId1452" w:history="1">
        <w:r>
          <w:rPr>
            <w:lang w:val="pl"/>
          </w:rPr>
          <w:t>(</w:t>
        </w:r>
        <w:r>
          <w:rPr>
            <w:i/>
            <w:iCs/>
            <w:color w:val="0072BC"/>
            <w:lang w:val="pl"/>
          </w:rPr>
          <w:t>Cooperatieve Producentenorganisatie van de Nederlandse Kokkelvisserij</w:t>
        </w:r>
      </w:hyperlink>
      <w:r>
        <w:rPr>
          <w:i/>
          <w:iCs/>
          <w:color w:val="0072BC"/>
          <w:lang w:val="pl"/>
        </w:rPr>
        <w:t xml:space="preserve"> </w:t>
      </w:r>
      <w:hyperlink r:id="rId1453" w:history="1">
        <w:r>
          <w:rPr>
            <w:i/>
            <w:iCs/>
            <w:color w:val="0072BC"/>
            <w:lang w:val="pl"/>
          </w:rPr>
          <w:t xml:space="preserve">U.A. p. Holandii </w:t>
        </w:r>
      </w:hyperlink>
      <w:r>
        <w:rPr>
          <w:lang w:val="pl"/>
        </w:rPr>
        <w:t>(dec.));</w:t>
      </w:r>
    </w:p>
    <w:p w:rsidR="00B71A20" w:rsidRPr="000625F6" w:rsidRDefault="000425B4" w:rsidP="00115011">
      <w:pPr>
        <w:pStyle w:val="Teksttreci0"/>
        <w:numPr>
          <w:ilvl w:val="0"/>
          <w:numId w:val="63"/>
        </w:numPr>
        <w:tabs>
          <w:tab w:val="left" w:pos="858"/>
        </w:tabs>
        <w:ind w:left="880" w:hanging="300"/>
        <w:jc w:val="both"/>
        <w:rPr>
          <w:lang w:val="pl-PL"/>
        </w:rPr>
      </w:pPr>
      <w:r>
        <w:rPr>
          <w:lang w:val="pl"/>
        </w:rPr>
        <w:t xml:space="preserve">decyzja władz szwajcarskich o zawróceniu skarżących do Włoch na podstawie rozporządzenia Dublin II ustanawiającego kryteria i mechanizmy określania państwa członkowskiego właściwego dla rozpatrywania wniosku o azyl, wniesionego w jednym z państw członkowskich przez obywatela państwa trzeciego, które ma zastosowanie do Szwajcarii na mocy umowy stowarzyszeniowej z UE </w:t>
      </w:r>
      <w:hyperlink r:id="rId1454" w:history="1">
        <w:r>
          <w:rPr>
            <w:lang w:val="pl"/>
          </w:rPr>
          <w:t>(</w:t>
        </w:r>
        <w:r>
          <w:rPr>
            <w:i/>
            <w:iCs/>
            <w:color w:val="0072BC"/>
            <w:lang w:val="pl"/>
          </w:rPr>
          <w:t xml:space="preserve">Tarakhel p. Szwajcarii </w:t>
        </w:r>
      </w:hyperlink>
      <w:r>
        <w:rPr>
          <w:lang w:val="pl"/>
        </w:rPr>
        <w:t>[WI], §§ 88-91).</w:t>
      </w:r>
    </w:p>
    <w:p w:rsidR="00B71A20" w:rsidRPr="000625F6" w:rsidRDefault="000425B4" w:rsidP="00115011">
      <w:pPr>
        <w:pStyle w:val="Teksttreci0"/>
        <w:numPr>
          <w:ilvl w:val="0"/>
          <w:numId w:val="60"/>
        </w:numPr>
        <w:tabs>
          <w:tab w:val="left" w:pos="505"/>
        </w:tabs>
        <w:jc w:val="both"/>
        <w:rPr>
          <w:lang w:val="pl-PL"/>
        </w:rPr>
      </w:pPr>
      <w:r>
        <w:rPr>
          <w:lang w:val="pl"/>
        </w:rPr>
        <w:t xml:space="preserve">W odniesieniu do Unii Europejskiej skargi przeciwko poszczególnym państwom członkowskim dotyczące stosowania przez nie prawa Unii nie muszą zostać na tej podstawie uznane za niedopuszczalne </w:t>
      </w:r>
      <w:hyperlink r:id="rId1455" w:history="1">
        <w:r>
          <w:rPr>
            <w:lang w:val="pl"/>
          </w:rPr>
          <w:t>(</w:t>
        </w:r>
        <w:r>
          <w:rPr>
            <w:i/>
            <w:iCs/>
            <w:color w:val="0072BC"/>
            <w:lang w:val="pl"/>
          </w:rPr>
          <w:t>Bosphorus Hava Yolları</w:t>
        </w:r>
      </w:hyperlink>
      <w:r>
        <w:rPr>
          <w:i/>
          <w:iCs/>
          <w:color w:val="0072BC"/>
          <w:lang w:val="pl"/>
        </w:rPr>
        <w:t xml:space="preserve"> </w:t>
      </w:r>
      <w:hyperlink r:id="rId1456" w:history="1">
        <w:r>
          <w:rPr>
            <w:i/>
            <w:iCs/>
            <w:color w:val="0072BC"/>
            <w:lang w:val="pl"/>
          </w:rPr>
          <w:t xml:space="preserve">Turizm ve Ticaret Anonim Şirketi p. Irlandii </w:t>
        </w:r>
      </w:hyperlink>
      <w:r>
        <w:rPr>
          <w:lang w:val="pl"/>
        </w:rPr>
        <w:t>[WI], § 137;</w:t>
      </w:r>
      <w:hyperlink r:id="rId1457" w:history="1">
        <w:r>
          <w:rPr>
            <w:i/>
            <w:iCs/>
            <w:lang w:val="pl"/>
          </w:rPr>
          <w:t xml:space="preserve"> </w:t>
        </w:r>
        <w:r>
          <w:rPr>
            <w:i/>
            <w:iCs/>
            <w:color w:val="0072BC"/>
            <w:lang w:val="pl"/>
          </w:rPr>
          <w:t xml:space="preserve">Matthews p. Wielkiej Brytanii </w:t>
        </w:r>
      </w:hyperlink>
      <w:r>
        <w:rPr>
          <w:lang w:val="pl"/>
        </w:rPr>
        <w:t>[WI], §§ 26-35).</w:t>
      </w:r>
    </w:p>
    <w:p w:rsidR="00B71A20" w:rsidRPr="000625F6" w:rsidRDefault="000425B4" w:rsidP="00115011">
      <w:pPr>
        <w:pStyle w:val="Teksttreci0"/>
        <w:numPr>
          <w:ilvl w:val="0"/>
          <w:numId w:val="60"/>
        </w:numPr>
        <w:tabs>
          <w:tab w:val="left" w:pos="505"/>
        </w:tabs>
        <w:jc w:val="both"/>
        <w:rPr>
          <w:lang w:val="pl-PL"/>
        </w:rPr>
      </w:pPr>
      <w:r>
        <w:rPr>
          <w:lang w:val="pl"/>
        </w:rPr>
        <w:t xml:space="preserve">Jeśli chodzi o skargi wniesione bezpośrednio przeciwko instytucjom Unii Europejskiej, która nie jest stroną Konwencji, istnieje wcześniej ustanowione uprawnienie umożliwiające uznanie ich za niedopuszczalne w związku z niespełnieniem przesłanki </w:t>
      </w:r>
      <w:r>
        <w:rPr>
          <w:i/>
          <w:iCs/>
          <w:lang w:val="pl"/>
        </w:rPr>
        <w:t xml:space="preserve">ratione personae </w:t>
      </w:r>
      <w:hyperlink r:id="rId1458" w:history="1">
        <w:r>
          <w:rPr>
            <w:lang w:val="pl"/>
          </w:rPr>
          <w:t>(</w:t>
        </w:r>
        <w:r>
          <w:rPr>
            <w:i/>
            <w:iCs/>
            <w:color w:val="0072BC"/>
            <w:lang w:val="pl"/>
          </w:rPr>
          <w:t>Confédération française démocratique du travail p. Wspólnotom</w:t>
        </w:r>
      </w:hyperlink>
      <w:r>
        <w:rPr>
          <w:i/>
          <w:iCs/>
          <w:color w:val="0072BC"/>
          <w:lang w:val="pl"/>
        </w:rPr>
        <w:t xml:space="preserve"> </w:t>
      </w:r>
      <w:hyperlink r:id="rId1459" w:history="1">
        <w:r>
          <w:rPr>
            <w:i/>
            <w:iCs/>
            <w:color w:val="0072BC"/>
            <w:lang w:val="pl"/>
          </w:rPr>
          <w:t>Europejskim</w:t>
        </w:r>
        <w:r>
          <w:rPr>
            <w:lang w:val="pl"/>
          </w:rPr>
          <w:t>,</w:t>
        </w:r>
      </w:hyperlink>
      <w:r>
        <w:rPr>
          <w:lang w:val="pl"/>
        </w:rPr>
        <w:t xml:space="preserve"> decyzja Komisji;</w:t>
      </w:r>
      <w:hyperlink r:id="rId1460" w:history="1">
        <w:r>
          <w:rPr>
            <w:lang w:val="pl"/>
          </w:rPr>
          <w:t xml:space="preserve"> </w:t>
        </w:r>
        <w:r>
          <w:rPr>
            <w:i/>
            <w:iCs/>
            <w:color w:val="0072BC"/>
            <w:lang w:val="pl"/>
          </w:rPr>
          <w:t>Bosphorus Hava Yolları Turizm ve Ticaret Anonim Şirketi</w:t>
        </w:r>
      </w:hyperlink>
      <w:r>
        <w:rPr>
          <w:i/>
          <w:iCs/>
          <w:color w:val="0072BC"/>
          <w:lang w:val="pl"/>
        </w:rPr>
        <w:t xml:space="preserve"> </w:t>
      </w:r>
      <w:hyperlink r:id="rId1461" w:history="1">
        <w:r>
          <w:rPr>
            <w:i/>
            <w:iCs/>
            <w:color w:val="0072BC"/>
            <w:lang w:val="pl"/>
          </w:rPr>
          <w:t xml:space="preserve">p. Irlandii </w:t>
        </w:r>
      </w:hyperlink>
      <w:r>
        <w:rPr>
          <w:lang w:val="pl"/>
        </w:rPr>
        <w:t>[WI], § 152 i cytowane tam odniesienia;</w:t>
      </w:r>
      <w:hyperlink r:id="rId1462" w:history="1">
        <w:r>
          <w:rPr>
            <w:lang w:val="pl"/>
          </w:rPr>
          <w:t xml:space="preserve"> </w:t>
        </w:r>
        <w:r>
          <w:rPr>
            <w:i/>
            <w:iCs/>
            <w:color w:val="0072BC"/>
            <w:lang w:val="pl"/>
          </w:rPr>
          <w:t>Cooperatieve Producentenorganisatie van de</w:t>
        </w:r>
      </w:hyperlink>
      <w:r>
        <w:rPr>
          <w:i/>
          <w:iCs/>
          <w:color w:val="0072BC"/>
          <w:lang w:val="pl"/>
        </w:rPr>
        <w:t xml:space="preserve"> </w:t>
      </w:r>
      <w:hyperlink r:id="rId1463" w:history="1">
        <w:r>
          <w:rPr>
            <w:i/>
            <w:iCs/>
            <w:color w:val="0072BC"/>
            <w:lang w:val="pl"/>
          </w:rPr>
          <w:t xml:space="preserve">Nederlandse Kokkelvisserij U.A. p. Holandii </w:t>
        </w:r>
      </w:hyperlink>
      <w:r>
        <w:rPr>
          <w:lang w:val="pl"/>
        </w:rPr>
        <w:t>(dec.)).</w:t>
      </w:r>
    </w:p>
    <w:p w:rsidR="00B71A20" w:rsidRPr="000625F6" w:rsidRDefault="000425B4">
      <w:pPr>
        <w:pStyle w:val="Teksttreci0"/>
        <w:jc w:val="both"/>
        <w:rPr>
          <w:lang w:val="pl-PL"/>
        </w:rPr>
      </w:pPr>
      <w:r>
        <w:rPr>
          <w:lang w:val="pl"/>
        </w:rPr>
        <w:t xml:space="preserve">Stanowisko to zostało również przyjęte w odniesieniu do Europejskiego Urzędu Patentowego </w:t>
      </w:r>
      <w:hyperlink r:id="rId1464" w:history="1">
        <w:r>
          <w:rPr>
            <w:lang w:val="pl"/>
          </w:rPr>
          <w:t>(</w:t>
        </w:r>
        <w:r>
          <w:rPr>
            <w:i/>
            <w:iCs/>
            <w:color w:val="0072BC"/>
            <w:lang w:val="pl"/>
          </w:rPr>
          <w:t>Lenzing AG p. Niemcom</w:t>
        </w:r>
        <w:r>
          <w:rPr>
            <w:lang w:val="pl"/>
          </w:rPr>
          <w:t>,</w:t>
        </w:r>
      </w:hyperlink>
      <w:r>
        <w:rPr>
          <w:lang w:val="pl"/>
        </w:rPr>
        <w:t xml:space="preserve"> decyzja Komisji) oraz innych organizacji międzynarodowych, takich jak ONZ </w:t>
      </w:r>
      <w:hyperlink r:id="rId1465" w:history="1">
        <w:r>
          <w:rPr>
            <w:lang w:val="pl"/>
          </w:rPr>
          <w:t>(</w:t>
        </w:r>
        <w:r>
          <w:rPr>
            <w:i/>
            <w:iCs/>
            <w:color w:val="0072BC"/>
            <w:lang w:val="pl"/>
          </w:rPr>
          <w:t>Stephens</w:t>
        </w:r>
      </w:hyperlink>
      <w:r>
        <w:rPr>
          <w:i/>
          <w:iCs/>
          <w:color w:val="0072BC"/>
          <w:lang w:val="pl"/>
        </w:rPr>
        <w:t xml:space="preserve"> </w:t>
      </w:r>
      <w:hyperlink r:id="rId1466" w:history="1">
        <w:r>
          <w:rPr>
            <w:i/>
            <w:iCs/>
            <w:color w:val="0072BC"/>
            <w:lang w:val="pl"/>
          </w:rPr>
          <w:t xml:space="preserve">p. Cyprowi, Turcji i ONZ </w:t>
        </w:r>
      </w:hyperlink>
      <w:r>
        <w:rPr>
          <w:lang w:val="pl"/>
        </w:rPr>
        <w:t>(dec.)).</w:t>
      </w:r>
    </w:p>
    <w:p w:rsidR="00B71A20" w:rsidRPr="000625F6" w:rsidRDefault="000425B4" w:rsidP="00115011">
      <w:pPr>
        <w:pStyle w:val="Teksttreci0"/>
        <w:numPr>
          <w:ilvl w:val="0"/>
          <w:numId w:val="60"/>
        </w:numPr>
        <w:tabs>
          <w:tab w:val="left" w:pos="505"/>
        </w:tabs>
        <w:spacing w:after="220"/>
        <w:jc w:val="both"/>
        <w:rPr>
          <w:lang w:val="pl-PL"/>
        </w:rPr>
      </w:pPr>
      <w:bookmarkStart w:id="238" w:name="bookmark242"/>
      <w:r>
        <w:rPr>
          <w:lang w:val="pl"/>
        </w:rPr>
        <w:t>Co do możliwości pociągnięcia państwa do odpowiedzialności ze względu na jego Konstytucję, która stanowi załącznik do traktatu międzynarodowego, patrz</w:t>
      </w:r>
      <w:hyperlink r:id="rId1467" w:history="1">
        <w:r>
          <w:rPr>
            <w:i/>
            <w:iCs/>
            <w:lang w:val="pl"/>
          </w:rPr>
          <w:t xml:space="preserve"> </w:t>
        </w:r>
        <w:r>
          <w:rPr>
            <w:i/>
            <w:iCs/>
            <w:color w:val="0072BC"/>
            <w:lang w:val="pl"/>
          </w:rPr>
          <w:t xml:space="preserve">Sejdić i Finci p. Bośni i Hercegowinie </w:t>
        </w:r>
      </w:hyperlink>
      <w:r>
        <w:rPr>
          <w:lang w:val="pl"/>
        </w:rPr>
        <w:t>[WI], § 30.</w:t>
      </w:r>
      <w:bookmarkEnd w:id="238"/>
    </w:p>
    <w:p w:rsidR="00B71A20" w:rsidRDefault="000425B4">
      <w:pPr>
        <w:pStyle w:val="Nagwek21"/>
        <w:keepNext/>
        <w:keepLines/>
        <w:spacing w:after="220"/>
        <w:jc w:val="both"/>
      </w:pPr>
      <w:bookmarkStart w:id="239" w:name="bookmark243"/>
      <w:bookmarkStart w:id="240" w:name="_Toc126335674"/>
      <w:bookmarkStart w:id="241" w:name="_Toc126660633"/>
      <w:r>
        <w:rPr>
          <w:lang w:val="pl"/>
        </w:rPr>
        <w:lastRenderedPageBreak/>
        <w:t xml:space="preserve">B. Niezgodność </w:t>
      </w:r>
      <w:r>
        <w:rPr>
          <w:i/>
          <w:iCs/>
          <w:lang w:val="pl"/>
        </w:rPr>
        <w:t>ratione loci</w:t>
      </w:r>
      <w:r w:rsidRPr="000625F6">
        <w:rPr>
          <w:iCs/>
          <w:vertAlign w:val="superscript"/>
          <w:lang w:val="pl"/>
        </w:rPr>
        <w:footnoteReference w:id="10"/>
      </w:r>
      <w:bookmarkEnd w:id="239"/>
      <w:bookmarkEnd w:id="240"/>
      <w:bookmarkEnd w:id="241"/>
    </w:p>
    <w:p w:rsidR="00B71A20" w:rsidRDefault="00180FE3" w:rsidP="00180FE3">
      <w:pPr>
        <w:pStyle w:val="Nagwek31"/>
        <w:keepNext/>
        <w:keepLines/>
        <w:tabs>
          <w:tab w:val="left" w:pos="341"/>
        </w:tabs>
        <w:spacing w:after="100"/>
        <w:jc w:val="both"/>
      </w:pPr>
      <w:bookmarkStart w:id="242" w:name="_Toc126335675"/>
      <w:bookmarkStart w:id="243" w:name="_Toc126660634"/>
      <w:r>
        <w:rPr>
          <w:lang w:val="pl"/>
        </w:rPr>
        <w:t xml:space="preserve">1.  </w:t>
      </w:r>
      <w:r w:rsidR="000425B4">
        <w:rPr>
          <w:lang w:val="pl"/>
        </w:rPr>
        <w:t>Zasady</w:t>
      </w:r>
      <w:bookmarkEnd w:id="242"/>
      <w:bookmarkEnd w:id="243"/>
    </w:p>
    <w:p w:rsidR="00B71A20" w:rsidRPr="000625F6" w:rsidRDefault="000425B4" w:rsidP="00180FE3">
      <w:pPr>
        <w:pStyle w:val="Teksttreci0"/>
        <w:numPr>
          <w:ilvl w:val="0"/>
          <w:numId w:val="65"/>
        </w:numPr>
        <w:tabs>
          <w:tab w:val="left" w:pos="510"/>
        </w:tabs>
        <w:jc w:val="both"/>
        <w:rPr>
          <w:lang w:val="pl-PL"/>
        </w:rPr>
      </w:pPr>
      <w:r>
        <w:rPr>
          <w:lang w:val="pl"/>
        </w:rPr>
        <w:t xml:space="preserve">Zgodność </w:t>
      </w:r>
      <w:r>
        <w:rPr>
          <w:i/>
          <w:iCs/>
          <w:lang w:val="pl"/>
        </w:rPr>
        <w:t>ratione loci</w:t>
      </w:r>
      <w:r>
        <w:rPr>
          <w:lang w:val="pl"/>
        </w:rPr>
        <w:t xml:space="preserve"> wymaga, by zarzucane naruszenie Konwencji miało miejsce w ramach jurysdykcji pozwanego państwa lub na terytorium skutecznie przez nie kontrolowanym </w:t>
      </w:r>
      <w:hyperlink r:id="rId1468" w:history="1">
        <w:r>
          <w:rPr>
            <w:lang w:val="pl"/>
          </w:rPr>
          <w:t>(</w:t>
        </w:r>
        <w:r>
          <w:rPr>
            <w:i/>
            <w:iCs/>
            <w:color w:val="0072BC"/>
            <w:lang w:val="pl"/>
          </w:rPr>
          <w:t>Cypr</w:t>
        </w:r>
      </w:hyperlink>
      <w:r>
        <w:rPr>
          <w:i/>
          <w:iCs/>
          <w:color w:val="0072BC"/>
          <w:lang w:val="pl"/>
        </w:rPr>
        <w:t xml:space="preserve"> </w:t>
      </w:r>
      <w:hyperlink r:id="rId1469" w:history="1">
        <w:r>
          <w:rPr>
            <w:i/>
            <w:iCs/>
            <w:color w:val="0072BC"/>
            <w:lang w:val="pl"/>
          </w:rPr>
          <w:t xml:space="preserve">p. Turcji </w:t>
        </w:r>
      </w:hyperlink>
      <w:r>
        <w:rPr>
          <w:lang w:val="pl"/>
        </w:rPr>
        <w:t>[WI], §§ 75-81;</w:t>
      </w:r>
      <w:hyperlink r:id="rId1470" w:history="1">
        <w:r>
          <w:rPr>
            <w:lang w:val="pl"/>
          </w:rPr>
          <w:t xml:space="preserve"> </w:t>
        </w:r>
        <w:r>
          <w:rPr>
            <w:i/>
            <w:iCs/>
            <w:color w:val="0072BC"/>
            <w:lang w:val="pl"/>
          </w:rPr>
          <w:t>Drozd i Janousek p. Francji i Hiszpanii</w:t>
        </w:r>
        <w:r>
          <w:rPr>
            <w:lang w:val="pl"/>
          </w:rPr>
          <w:t>,</w:t>
        </w:r>
      </w:hyperlink>
      <w:r>
        <w:rPr>
          <w:i/>
          <w:iCs/>
          <w:lang w:val="pl"/>
        </w:rPr>
        <w:t xml:space="preserve"> </w:t>
      </w:r>
      <w:r>
        <w:rPr>
          <w:lang w:val="pl"/>
        </w:rPr>
        <w:t>§§ 84-90).</w:t>
      </w:r>
    </w:p>
    <w:p w:rsidR="00B71A20" w:rsidRPr="000625F6" w:rsidRDefault="000425B4" w:rsidP="00115011">
      <w:pPr>
        <w:pStyle w:val="Teksttreci0"/>
        <w:numPr>
          <w:ilvl w:val="0"/>
          <w:numId w:val="65"/>
        </w:numPr>
        <w:tabs>
          <w:tab w:val="left" w:pos="510"/>
        </w:tabs>
        <w:jc w:val="both"/>
        <w:rPr>
          <w:lang w:val="pl-PL"/>
        </w:rPr>
      </w:pPr>
      <w:r>
        <w:rPr>
          <w:lang w:val="pl"/>
        </w:rPr>
        <w:t xml:space="preserve">Skargi wniesione w oparciu o wydarzenia mające miejsce poza terytorium układającego się państwa i w przypadku braku związku między tymi zdarzeniami a jakimkolwiek organem podlegającym jurysdykcji układającego się państwa zostaną odrzucone jako niezgodne </w:t>
      </w:r>
      <w:r>
        <w:rPr>
          <w:i/>
          <w:iCs/>
          <w:lang w:val="pl"/>
        </w:rPr>
        <w:t>ratione loci</w:t>
      </w:r>
      <w:r>
        <w:rPr>
          <w:lang w:val="pl"/>
        </w:rPr>
        <w:t xml:space="preserve"> z Konwencją.</w:t>
      </w:r>
    </w:p>
    <w:p w:rsidR="00B71A20" w:rsidRPr="000625F6" w:rsidRDefault="000425B4" w:rsidP="00115011">
      <w:pPr>
        <w:pStyle w:val="Teksttreci0"/>
        <w:numPr>
          <w:ilvl w:val="0"/>
          <w:numId w:val="65"/>
        </w:numPr>
        <w:tabs>
          <w:tab w:val="left" w:pos="510"/>
        </w:tabs>
        <w:spacing w:after="120"/>
        <w:jc w:val="both"/>
        <w:rPr>
          <w:lang w:val="pl-PL"/>
        </w:rPr>
      </w:pPr>
      <w:r>
        <w:rPr>
          <w:lang w:val="pl"/>
        </w:rPr>
        <w:t xml:space="preserve">Jeśli zarzuty dotyczą działań, które miały miejsce poza terytorium układającego się państwa, rząd może wnieść zastrzeżenie wstępne mówiące, że skarga jest niezgodna </w:t>
      </w:r>
      <w:r>
        <w:rPr>
          <w:i/>
          <w:iCs/>
          <w:lang w:val="pl"/>
        </w:rPr>
        <w:t>ratione loci</w:t>
      </w:r>
      <w:r>
        <w:rPr>
          <w:lang w:val="pl"/>
        </w:rPr>
        <w:t xml:space="preserve"> z postanowieniami Konwencji </w:t>
      </w:r>
      <w:hyperlink r:id="rId1471" w:history="1">
        <w:r>
          <w:rPr>
            <w:lang w:val="pl"/>
          </w:rPr>
          <w:t>(</w:t>
        </w:r>
        <w:r>
          <w:rPr>
            <w:i/>
            <w:iCs/>
            <w:color w:val="0072BC"/>
            <w:lang w:val="pl"/>
          </w:rPr>
          <w:t xml:space="preserve">Loizidou p. Turcji </w:t>
        </w:r>
      </w:hyperlink>
      <w:r>
        <w:rPr>
          <w:lang w:val="pl"/>
        </w:rPr>
        <w:t>(zastrzeżenia wstępne), § 55;</w:t>
      </w:r>
      <w:hyperlink r:id="rId1472" w:history="1">
        <w:r>
          <w:rPr>
            <w:lang w:val="pl"/>
          </w:rPr>
          <w:t xml:space="preserve"> </w:t>
        </w:r>
        <w:r>
          <w:rPr>
            <w:i/>
            <w:iCs/>
            <w:color w:val="0072BC"/>
            <w:lang w:val="pl"/>
          </w:rPr>
          <w:t>Rantsev</w:t>
        </w:r>
      </w:hyperlink>
      <w:r>
        <w:rPr>
          <w:i/>
          <w:iCs/>
          <w:color w:val="0072BC"/>
          <w:lang w:val="pl"/>
        </w:rPr>
        <w:t xml:space="preserve"> </w:t>
      </w:r>
      <w:hyperlink r:id="rId1473" w:history="1">
        <w:r>
          <w:rPr>
            <w:i/>
            <w:iCs/>
            <w:color w:val="0072BC"/>
            <w:lang w:val="pl"/>
          </w:rPr>
          <w:t>p. Cyprowi i Rosji</w:t>
        </w:r>
        <w:r>
          <w:rPr>
            <w:lang w:val="pl"/>
          </w:rPr>
          <w:t>,</w:t>
        </w:r>
      </w:hyperlink>
      <w:r>
        <w:rPr>
          <w:lang w:val="pl"/>
        </w:rPr>
        <w:t xml:space="preserve"> § 203;</w:t>
      </w:r>
      <w:hyperlink r:id="rId1474" w:history="1">
        <w:r>
          <w:rPr>
            <w:lang w:val="pl"/>
          </w:rPr>
          <w:t xml:space="preserve"> </w:t>
        </w:r>
        <w:r>
          <w:rPr>
            <w:i/>
            <w:iCs/>
            <w:color w:val="0072BC"/>
            <w:lang w:val="pl"/>
          </w:rPr>
          <w:t xml:space="preserve">Mozer p. Republice Mołdawii i Rosji </w:t>
        </w:r>
      </w:hyperlink>
      <w:r>
        <w:rPr>
          <w:lang w:val="pl"/>
        </w:rPr>
        <w:t xml:space="preserve">[WI], §§ 79 i 111; </w:t>
      </w:r>
      <w:hyperlink r:id="rId1475" w:history="1">
        <w:r>
          <w:rPr>
            <w:i/>
            <w:iCs/>
            <w:color w:val="0072BC"/>
            <w:lang w:val="pl"/>
          </w:rPr>
          <w:t>Güzelyurtlu i Inni p. Cyprowi i Turcji</w:t>
        </w:r>
        <w:r>
          <w:rPr>
            <w:lang w:val="pl"/>
          </w:rPr>
          <w:t>,</w:t>
        </w:r>
      </w:hyperlink>
      <w:r>
        <w:rPr>
          <w:lang w:val="pl"/>
        </w:rPr>
        <w:t xml:space="preserve"> §§ 170-174;</w:t>
      </w:r>
      <w:hyperlink r:id="rId1476" w:history="1">
        <w:r>
          <w:rPr>
            <w:lang w:val="pl"/>
          </w:rPr>
          <w:t xml:space="preserve"> </w:t>
        </w:r>
        <w:r>
          <w:rPr>
            <w:i/>
            <w:iCs/>
            <w:color w:val="0072BC"/>
            <w:lang w:val="pl"/>
          </w:rPr>
          <w:t xml:space="preserve">Hanan p. Niemcom </w:t>
        </w:r>
      </w:hyperlink>
      <w:r>
        <w:rPr>
          <w:lang w:val="pl"/>
        </w:rPr>
        <w:t>[WI], §§ 104-113). Takie zastrzeżenie zostanie zbadane na podstawie art. 1 Konwencji</w:t>
      </w:r>
      <w:r>
        <w:rPr>
          <w:vertAlign w:val="superscript"/>
          <w:lang w:val="pl"/>
        </w:rPr>
        <w:footnoteReference w:id="11"/>
      </w:r>
      <w:r>
        <w:rPr>
          <w:lang w:val="pl"/>
        </w:rPr>
        <w:t xml:space="preserve"> (zakres pojęcia „jurysdykcji” zgodnie z tym artykułem, patrz np.</w:t>
      </w:r>
      <w:hyperlink r:id="rId1477" w:history="1">
        <w:r>
          <w:rPr>
            <w:i/>
            <w:iCs/>
            <w:lang w:val="pl"/>
          </w:rPr>
          <w:t xml:space="preserve"> </w:t>
        </w:r>
        <w:r>
          <w:rPr>
            <w:i/>
            <w:iCs/>
            <w:color w:val="0072BC"/>
            <w:lang w:val="pl"/>
          </w:rPr>
          <w:t xml:space="preserve">N.D. i N.T. p. Hiszpanii </w:t>
        </w:r>
      </w:hyperlink>
      <w:r>
        <w:rPr>
          <w:lang w:val="pl"/>
        </w:rPr>
        <w:t>[WI], §§ 102-103;</w:t>
      </w:r>
      <w:hyperlink r:id="rId1478" w:history="1">
        <w:r>
          <w:rPr>
            <w:i/>
            <w:iCs/>
            <w:lang w:val="pl"/>
          </w:rPr>
          <w:t xml:space="preserve"> </w:t>
        </w:r>
        <w:r>
          <w:rPr>
            <w:i/>
            <w:iCs/>
            <w:color w:val="0072BC"/>
            <w:lang w:val="pl"/>
          </w:rPr>
          <w:t>Banković i</w:t>
        </w:r>
      </w:hyperlink>
      <w:r>
        <w:rPr>
          <w:i/>
          <w:iCs/>
          <w:color w:val="0072BC"/>
          <w:lang w:val="pl"/>
        </w:rPr>
        <w:t xml:space="preserve"> </w:t>
      </w:r>
      <w:hyperlink r:id="rId1479" w:history="1">
        <w:r>
          <w:rPr>
            <w:i/>
            <w:iCs/>
            <w:color w:val="0072BC"/>
            <w:lang w:val="pl"/>
          </w:rPr>
          <w:t xml:space="preserve">Inni p. Belgii i innym </w:t>
        </w:r>
      </w:hyperlink>
      <w:r>
        <w:rPr>
          <w:lang w:val="pl"/>
        </w:rPr>
        <w:t>(dec.) [WI], § 75;</w:t>
      </w:r>
      <w:hyperlink r:id="rId1480" w:history="1">
        <w:r>
          <w:rPr>
            <w:i/>
            <w:iCs/>
            <w:lang w:val="pl"/>
          </w:rPr>
          <w:t xml:space="preserve"> </w:t>
        </w:r>
        <w:r>
          <w:rPr>
            <w:i/>
            <w:iCs/>
            <w:color w:val="0072BC"/>
            <w:lang w:val="pl"/>
          </w:rPr>
          <w:t>Güzelyurtlu i Inni p. Cyprowi i Turcji</w:t>
        </w:r>
        <w:r>
          <w:rPr>
            <w:lang w:val="pl"/>
          </w:rPr>
          <w:t>,</w:t>
        </w:r>
      </w:hyperlink>
      <w:r>
        <w:rPr>
          <w:lang w:val="pl"/>
        </w:rPr>
        <w:t xml:space="preserve"> §§ 178</w:t>
      </w:r>
      <w:r>
        <w:rPr>
          <w:lang w:val="pl"/>
        </w:rPr>
        <w:noBreakHyphen/>
        <w:t>197;</w:t>
      </w:r>
      <w:hyperlink r:id="rId1481" w:history="1">
        <w:r>
          <w:rPr>
            <w:i/>
            <w:iCs/>
            <w:lang w:val="pl"/>
          </w:rPr>
          <w:t xml:space="preserve"> </w:t>
        </w:r>
        <w:r>
          <w:rPr>
            <w:i/>
            <w:iCs/>
            <w:color w:val="0072BC"/>
            <w:lang w:val="pl"/>
          </w:rPr>
          <w:t xml:space="preserve">Hanan p. Niemcom </w:t>
        </w:r>
      </w:hyperlink>
      <w:r>
        <w:rPr>
          <w:lang w:val="pl"/>
        </w:rPr>
        <w:t>[WI], §§ 132-142; patrz też</w:t>
      </w:r>
      <w:hyperlink w:anchor="bookmark232" w:tooltip="Bieżący dokument">
        <w:r>
          <w:rPr>
            <w:lang w:val="pl"/>
          </w:rPr>
          <w:t xml:space="preserve"> </w:t>
        </w:r>
        <w:r>
          <w:rPr>
            <w:color w:val="0072BC"/>
            <w:lang w:val="pl"/>
          </w:rPr>
          <w:t xml:space="preserve">pkt II.A.2 </w:t>
        </w:r>
      </w:hyperlink>
      <w:r>
        <w:rPr>
          <w:lang w:val="pl"/>
        </w:rPr>
        <w:t xml:space="preserve">powyżej). Nawet jeśli rząd nie zgłosi zastrzeżeń, Trybunał może z urzędu zbadać to zagadnienie </w:t>
      </w:r>
      <w:hyperlink r:id="rId1482" w:history="1">
        <w:r>
          <w:rPr>
            <w:lang w:val="pl"/>
          </w:rPr>
          <w:t>(</w:t>
        </w:r>
        <w:r>
          <w:rPr>
            <w:i/>
            <w:iCs/>
            <w:color w:val="0072BC"/>
            <w:lang w:val="pl"/>
          </w:rPr>
          <w:t>Vasiliciuc p. Republice Mołdawii</w:t>
        </w:r>
        <w:r>
          <w:rPr>
            <w:lang w:val="pl"/>
          </w:rPr>
          <w:t>,</w:t>
        </w:r>
      </w:hyperlink>
      <w:r>
        <w:rPr>
          <w:lang w:val="pl"/>
        </w:rPr>
        <w:t xml:space="preserve"> § 22;</w:t>
      </w:r>
      <w:hyperlink r:id="rId1483" w:history="1">
        <w:r>
          <w:rPr>
            <w:i/>
            <w:iCs/>
            <w:lang w:val="pl"/>
          </w:rPr>
          <w:t xml:space="preserve"> </w:t>
        </w:r>
        <w:r>
          <w:rPr>
            <w:i/>
            <w:iCs/>
            <w:color w:val="0072BC"/>
            <w:lang w:val="pl"/>
          </w:rPr>
          <w:t xml:space="preserve">Stephens p. Malcie </w:t>
        </w:r>
      </w:hyperlink>
      <w:r>
        <w:rPr>
          <w:lang w:val="pl"/>
        </w:rPr>
        <w:t>(nr 1), § 45).</w:t>
      </w:r>
    </w:p>
    <w:p w:rsidR="00B71A20" w:rsidRPr="000625F6" w:rsidRDefault="000425B4" w:rsidP="00115011">
      <w:pPr>
        <w:pStyle w:val="Teksttreci0"/>
        <w:numPr>
          <w:ilvl w:val="0"/>
          <w:numId w:val="65"/>
        </w:numPr>
        <w:tabs>
          <w:tab w:val="left" w:pos="510"/>
        </w:tabs>
        <w:spacing w:after="120"/>
        <w:jc w:val="both"/>
        <w:rPr>
          <w:lang w:val="pl-PL"/>
        </w:rPr>
      </w:pPr>
      <w:r>
        <w:rPr>
          <w:lang w:val="pl"/>
        </w:rPr>
        <w:t xml:space="preserve">Pozwany Rząd podnosi czasami zastrzeżenia, że skarga jest niedopuszczalna jako niezgodna </w:t>
      </w:r>
      <w:r>
        <w:rPr>
          <w:i/>
          <w:iCs/>
          <w:lang w:val="pl"/>
        </w:rPr>
        <w:t>ratione loci</w:t>
      </w:r>
      <w:r>
        <w:rPr>
          <w:lang w:val="pl"/>
        </w:rPr>
        <w:t xml:space="preserve"> z przepisami Konwencji na tej podstawie, iż w trakcie postępowania skarżący przebywał na terytorium innego układającego się państwa, ale wszczął postępowanie na terytorium pozwanego państwa, gdyż przepisy w danym państwie były bardziej korzystne. Trybunał zbada również taką skargę z punktu widzenia art. 1 </w:t>
      </w:r>
      <w:hyperlink r:id="rId1484" w:history="1">
        <w:r>
          <w:rPr>
            <w:lang w:val="pl"/>
          </w:rPr>
          <w:t>(</w:t>
        </w:r>
        <w:r>
          <w:rPr>
            <w:i/>
            <w:iCs/>
            <w:color w:val="0072BC"/>
            <w:lang w:val="pl"/>
          </w:rPr>
          <w:t xml:space="preserve">Haas p. Szwajcarii </w:t>
        </w:r>
      </w:hyperlink>
      <w:r>
        <w:rPr>
          <w:lang w:val="pl"/>
        </w:rPr>
        <w:t>(dec.)).</w:t>
      </w:r>
    </w:p>
    <w:p w:rsidR="00B71A20" w:rsidRPr="000625F6" w:rsidRDefault="000425B4" w:rsidP="00115011">
      <w:pPr>
        <w:pStyle w:val="Teksttreci0"/>
        <w:numPr>
          <w:ilvl w:val="0"/>
          <w:numId w:val="65"/>
        </w:numPr>
        <w:tabs>
          <w:tab w:val="left" w:pos="510"/>
        </w:tabs>
        <w:spacing w:after="120"/>
        <w:jc w:val="both"/>
        <w:rPr>
          <w:lang w:val="pl-PL"/>
        </w:rPr>
      </w:pPr>
      <w:r>
        <w:rPr>
          <w:lang w:val="pl"/>
        </w:rPr>
        <w:t xml:space="preserve">Oczywistym jest jednak, że państwo będzie ponosić odpowiedzialność za działania jego przedstawicieli dyplomatycznych i konsularnych poza jego granicami, oraz to, że niezgodność </w:t>
      </w:r>
      <w:r>
        <w:rPr>
          <w:i/>
          <w:iCs/>
          <w:lang w:val="pl"/>
        </w:rPr>
        <w:t>ratione loci</w:t>
      </w:r>
      <w:r>
        <w:rPr>
          <w:lang w:val="pl"/>
        </w:rPr>
        <w:t xml:space="preserve"> nie może zaistnieć w odniesieniu do misji dyplomatycznych </w:t>
      </w:r>
      <w:hyperlink r:id="rId1485" w:history="1">
        <w:r>
          <w:rPr>
            <w:lang w:val="pl"/>
          </w:rPr>
          <w:t>(</w:t>
        </w:r>
        <w:r>
          <w:rPr>
            <w:i/>
            <w:iCs/>
            <w:color w:val="0072BC"/>
            <w:lang w:val="pl"/>
          </w:rPr>
          <w:t>X p. Niemcom</w:t>
        </w:r>
        <w:r>
          <w:rPr>
            <w:lang w:val="pl"/>
          </w:rPr>
          <w:t>,</w:t>
        </w:r>
      </w:hyperlink>
      <w:r>
        <w:rPr>
          <w:lang w:val="pl"/>
        </w:rPr>
        <w:t xml:space="preserve"> decyzja Komisji z dnia 25 września 1965 r.;</w:t>
      </w:r>
      <w:hyperlink r:id="rId1486" w:history="1">
        <w:r>
          <w:rPr>
            <w:lang w:val="pl"/>
          </w:rPr>
          <w:t xml:space="preserve"> </w:t>
        </w:r>
        <w:r>
          <w:rPr>
            <w:i/>
            <w:iCs/>
            <w:color w:val="0072BC"/>
            <w:lang w:val="pl"/>
          </w:rPr>
          <w:t>Al-Skeini p.</w:t>
        </w:r>
      </w:hyperlink>
      <w:r>
        <w:rPr>
          <w:i/>
          <w:iCs/>
          <w:color w:val="0072BC"/>
          <w:lang w:val="pl"/>
        </w:rPr>
        <w:t xml:space="preserve"> </w:t>
      </w:r>
      <w:hyperlink r:id="rId1487" w:history="1">
        <w:r>
          <w:rPr>
            <w:i/>
            <w:iCs/>
            <w:color w:val="0072BC"/>
            <w:lang w:val="pl"/>
          </w:rPr>
          <w:t xml:space="preserve">Wielkiej Brytanii </w:t>
        </w:r>
      </w:hyperlink>
      <w:r>
        <w:rPr>
          <w:lang w:val="pl"/>
        </w:rPr>
        <w:t>[WI], § 134;</w:t>
      </w:r>
      <w:hyperlink r:id="rId1488" w:history="1">
        <w:r>
          <w:rPr>
            <w:lang w:val="pl"/>
          </w:rPr>
          <w:t xml:space="preserve"> </w:t>
        </w:r>
        <w:r>
          <w:rPr>
            <w:i/>
            <w:iCs/>
            <w:color w:val="0072BC"/>
            <w:lang w:val="pl"/>
          </w:rPr>
          <w:t>M. p. Danii</w:t>
        </w:r>
        <w:r>
          <w:rPr>
            <w:lang w:val="pl"/>
          </w:rPr>
          <w:t>,</w:t>
        </w:r>
      </w:hyperlink>
      <w:r w:rsidR="00785CAC">
        <w:rPr>
          <w:lang w:val="pl"/>
        </w:rPr>
        <w:t xml:space="preserve"> decyzja Komisji, § 1 i </w:t>
      </w:r>
      <w:r>
        <w:rPr>
          <w:lang w:val="pl"/>
        </w:rPr>
        <w:t>odniesienia cytowane tamże; patrz z kolei</w:t>
      </w:r>
      <w:hyperlink r:id="rId1489" w:history="1">
        <w:r>
          <w:rPr>
            <w:lang w:val="pl"/>
          </w:rPr>
          <w:t xml:space="preserve"> </w:t>
        </w:r>
        <w:r>
          <w:rPr>
            <w:i/>
            <w:iCs/>
            <w:color w:val="0072BC"/>
            <w:lang w:val="pl"/>
          </w:rPr>
          <w:t xml:space="preserve">M. N. i Inni p. Belgii </w:t>
        </w:r>
      </w:hyperlink>
      <w:r>
        <w:rPr>
          <w:lang w:val="pl"/>
        </w:rPr>
        <w:t xml:space="preserve">(dec.) [WI], §§ 106 i 117-119) lub działań wykonywanych na pokładzie samolotu zarejestrowanego w tym państwie lub statku pływającego pod jego banderą </w:t>
      </w:r>
      <w:hyperlink r:id="rId1490" w:history="1">
        <w:r>
          <w:rPr>
            <w:lang w:val="pl"/>
          </w:rPr>
          <w:t>(</w:t>
        </w:r>
        <w:r>
          <w:rPr>
            <w:i/>
            <w:iCs/>
            <w:color w:val="0072BC"/>
            <w:lang w:val="pl"/>
          </w:rPr>
          <w:t>Banković i</w:t>
        </w:r>
      </w:hyperlink>
      <w:r>
        <w:rPr>
          <w:i/>
          <w:iCs/>
          <w:color w:val="0072BC"/>
          <w:lang w:val="pl"/>
        </w:rPr>
        <w:t xml:space="preserve"> </w:t>
      </w:r>
      <w:hyperlink r:id="rId1491" w:history="1">
        <w:r>
          <w:rPr>
            <w:i/>
            <w:iCs/>
            <w:color w:val="0072BC"/>
            <w:lang w:val="pl"/>
          </w:rPr>
          <w:t xml:space="preserve">Inni p. Belgii i innym </w:t>
        </w:r>
      </w:hyperlink>
      <w:r>
        <w:rPr>
          <w:lang w:val="pl"/>
        </w:rPr>
        <w:t>(dec.) [WI], § 73;</w:t>
      </w:r>
      <w:hyperlink r:id="rId1492" w:history="1">
        <w:r>
          <w:rPr>
            <w:lang w:val="pl"/>
          </w:rPr>
          <w:t xml:space="preserve"> </w:t>
        </w:r>
        <w:r>
          <w:rPr>
            <w:i/>
            <w:iCs/>
            <w:color w:val="0072BC"/>
            <w:lang w:val="pl"/>
          </w:rPr>
          <w:t xml:space="preserve">Hirsi Jamaa i Inni p. Włochom </w:t>
        </w:r>
      </w:hyperlink>
      <w:r w:rsidR="00785CAC">
        <w:rPr>
          <w:lang w:val="pl"/>
        </w:rPr>
        <w:t>[WI], §§ </w:t>
      </w:r>
      <w:r>
        <w:rPr>
          <w:lang w:val="pl"/>
        </w:rPr>
        <w:t xml:space="preserve">77 i 81; </w:t>
      </w:r>
      <w:hyperlink r:id="rId1493" w:history="1">
        <w:r>
          <w:rPr>
            <w:i/>
            <w:iCs/>
            <w:color w:val="0072BC"/>
            <w:lang w:val="pl"/>
          </w:rPr>
          <w:t>Bakanova p. Litwie</w:t>
        </w:r>
        <w:r>
          <w:rPr>
            <w:lang w:val="pl"/>
          </w:rPr>
          <w:t>,</w:t>
        </w:r>
      </w:hyperlink>
      <w:r>
        <w:rPr>
          <w:lang w:val="pl"/>
        </w:rPr>
        <w:t xml:space="preserve"> § 63).</w:t>
      </w:r>
    </w:p>
    <w:p w:rsidR="00B71A20" w:rsidRPr="000625F6" w:rsidRDefault="000425B4" w:rsidP="00115011">
      <w:pPr>
        <w:pStyle w:val="Teksttreci0"/>
        <w:numPr>
          <w:ilvl w:val="0"/>
          <w:numId w:val="65"/>
        </w:numPr>
        <w:tabs>
          <w:tab w:val="left" w:pos="510"/>
        </w:tabs>
        <w:spacing w:after="120"/>
        <w:jc w:val="both"/>
        <w:rPr>
          <w:lang w:val="pl-PL"/>
        </w:rPr>
      </w:pPr>
      <w:r>
        <w:rPr>
          <w:lang w:val="pl"/>
        </w:rPr>
        <w:t xml:space="preserve">Ponadto stwierdzenie braku jurysdykcji </w:t>
      </w:r>
      <w:r>
        <w:rPr>
          <w:i/>
          <w:iCs/>
          <w:lang w:val="pl"/>
        </w:rPr>
        <w:t>ratione loci</w:t>
      </w:r>
      <w:r>
        <w:rPr>
          <w:lang w:val="pl"/>
        </w:rPr>
        <w:t xml:space="preserve"> nie zwalnia Trybunału z obowiązku zbadania, czy skarżący podlegają jurysdykcji jednego lub większej liczby układających się państw do celów art. 1 Konwencji </w:t>
      </w:r>
      <w:hyperlink r:id="rId1494" w:history="1">
        <w:r>
          <w:rPr>
            <w:lang w:val="pl"/>
          </w:rPr>
          <w:t>(</w:t>
        </w:r>
        <w:r>
          <w:rPr>
            <w:i/>
            <w:iCs/>
            <w:color w:val="0072BC"/>
            <w:lang w:val="pl"/>
          </w:rPr>
          <w:t>Drozd i Janousek p. Francji i Hiszpanii</w:t>
        </w:r>
        <w:r>
          <w:rPr>
            <w:lang w:val="pl"/>
          </w:rPr>
          <w:t>,</w:t>
        </w:r>
      </w:hyperlink>
      <w:r>
        <w:rPr>
          <w:lang w:val="pl"/>
        </w:rPr>
        <w:t xml:space="preserve"> § 90).</w:t>
      </w:r>
    </w:p>
    <w:p w:rsidR="00B71A20" w:rsidRPr="000625F6" w:rsidRDefault="000425B4">
      <w:pPr>
        <w:pStyle w:val="Teksttreci0"/>
        <w:spacing w:after="220"/>
        <w:jc w:val="both"/>
        <w:rPr>
          <w:lang w:val="pl-PL"/>
        </w:rPr>
      </w:pPr>
      <w:bookmarkStart w:id="244" w:name="bookmark248"/>
      <w:r>
        <w:rPr>
          <w:lang w:val="pl"/>
        </w:rPr>
        <w:t xml:space="preserve">Dlatego też zastrzeżenia odnoszące się do faktu, że skarżący nie podlega jurysdykcji pozwanego państwa, będą częściej podnoszone niż zarzuty dotyczące tego, że skarga jest niezgodna </w:t>
      </w:r>
      <w:r>
        <w:rPr>
          <w:i/>
          <w:iCs/>
          <w:lang w:val="pl"/>
        </w:rPr>
        <w:t>ratione personae</w:t>
      </w:r>
      <w:r>
        <w:rPr>
          <w:lang w:val="pl"/>
        </w:rPr>
        <w:t xml:space="preserve"> z Konwencją (patrz argumenty pozwanych rządów w sprawie</w:t>
      </w:r>
      <w:hyperlink r:id="rId1495" w:history="1">
        <w:r>
          <w:rPr>
            <w:lang w:val="pl"/>
          </w:rPr>
          <w:t xml:space="preserve"> </w:t>
        </w:r>
        <w:r>
          <w:rPr>
            <w:i/>
            <w:iCs/>
            <w:color w:val="0072BC"/>
            <w:lang w:val="pl"/>
          </w:rPr>
          <w:t>Banković i Inni p. Belgii i</w:t>
        </w:r>
      </w:hyperlink>
      <w:r>
        <w:rPr>
          <w:i/>
          <w:iCs/>
          <w:color w:val="0072BC"/>
          <w:lang w:val="pl"/>
        </w:rPr>
        <w:t xml:space="preserve"> </w:t>
      </w:r>
      <w:hyperlink r:id="rId1496" w:history="1">
        <w:r>
          <w:rPr>
            <w:i/>
            <w:iCs/>
            <w:color w:val="0072BC"/>
            <w:lang w:val="pl"/>
          </w:rPr>
          <w:t xml:space="preserve">innym </w:t>
        </w:r>
      </w:hyperlink>
      <w:r>
        <w:rPr>
          <w:lang w:val="pl"/>
        </w:rPr>
        <w:t>(dec.) [WI], § 35;</w:t>
      </w:r>
      <w:hyperlink r:id="rId1497" w:history="1">
        <w:r>
          <w:rPr>
            <w:lang w:val="pl"/>
          </w:rPr>
          <w:t xml:space="preserve"> </w:t>
        </w:r>
        <w:r>
          <w:rPr>
            <w:i/>
            <w:iCs/>
            <w:color w:val="0072BC"/>
            <w:lang w:val="pl"/>
          </w:rPr>
          <w:t xml:space="preserve">Ilaşcu i Inni p. Mołdawii i Rosji </w:t>
        </w:r>
      </w:hyperlink>
      <w:r>
        <w:rPr>
          <w:lang w:val="pl"/>
        </w:rPr>
        <w:t>[WI], § 300;</w:t>
      </w:r>
      <w:hyperlink r:id="rId1498" w:history="1">
        <w:r>
          <w:rPr>
            <w:lang w:val="pl"/>
          </w:rPr>
          <w:t xml:space="preserve"> </w:t>
        </w:r>
        <w:r>
          <w:rPr>
            <w:i/>
            <w:iCs/>
            <w:color w:val="0072BC"/>
            <w:lang w:val="pl"/>
          </w:rPr>
          <w:t>Weber i Saravia</w:t>
        </w:r>
      </w:hyperlink>
      <w:r>
        <w:rPr>
          <w:i/>
          <w:iCs/>
          <w:color w:val="0072BC"/>
          <w:lang w:val="pl"/>
        </w:rPr>
        <w:t xml:space="preserve"> </w:t>
      </w:r>
      <w:hyperlink r:id="rId1499" w:history="1">
        <w:r>
          <w:rPr>
            <w:i/>
            <w:iCs/>
            <w:color w:val="0072BC"/>
            <w:lang w:val="pl"/>
          </w:rPr>
          <w:t xml:space="preserve">p. Niemcom </w:t>
        </w:r>
      </w:hyperlink>
      <w:r>
        <w:rPr>
          <w:lang w:val="pl"/>
        </w:rPr>
        <w:t>(dec.)).</w:t>
      </w:r>
      <w:bookmarkEnd w:id="244"/>
    </w:p>
    <w:p w:rsidR="00B71A20" w:rsidRDefault="00180FE3" w:rsidP="00180FE3">
      <w:pPr>
        <w:pStyle w:val="Nagwek31"/>
        <w:keepNext/>
        <w:keepLines/>
        <w:tabs>
          <w:tab w:val="left" w:pos="336"/>
        </w:tabs>
        <w:spacing w:after="120"/>
        <w:jc w:val="both"/>
      </w:pPr>
      <w:bookmarkStart w:id="245" w:name="_Toc126335676"/>
      <w:bookmarkStart w:id="246" w:name="_Toc126660635"/>
      <w:r>
        <w:rPr>
          <w:lang w:val="pl"/>
        </w:rPr>
        <w:t xml:space="preserve">2.  </w:t>
      </w:r>
      <w:r w:rsidR="000425B4">
        <w:rPr>
          <w:lang w:val="pl"/>
        </w:rPr>
        <w:t>Szczególne przypadki</w:t>
      </w:r>
      <w:bookmarkEnd w:id="245"/>
      <w:bookmarkEnd w:id="246"/>
    </w:p>
    <w:p w:rsidR="00B71A20" w:rsidRPr="000625F6" w:rsidRDefault="000425B4" w:rsidP="00180FE3">
      <w:pPr>
        <w:pStyle w:val="Teksttreci0"/>
        <w:numPr>
          <w:ilvl w:val="0"/>
          <w:numId w:val="66"/>
        </w:numPr>
        <w:tabs>
          <w:tab w:val="left" w:pos="505"/>
        </w:tabs>
        <w:spacing w:after="120"/>
        <w:jc w:val="both"/>
        <w:rPr>
          <w:lang w:val="pl-PL"/>
        </w:rPr>
      </w:pPr>
      <w:r>
        <w:rPr>
          <w:lang w:val="pl"/>
        </w:rPr>
        <w:t xml:space="preserve">Co do skarg dotyczących terytoriów zależnych, jeśli układające się państwo nie złożyło deklaracji na mocy art. 56 rozszerzającej zastosowanie Konwencji na dane terytorium, skarga zostanie uznana za niezgodną </w:t>
      </w:r>
      <w:r>
        <w:rPr>
          <w:i/>
          <w:iCs/>
          <w:lang w:val="pl"/>
        </w:rPr>
        <w:t xml:space="preserve">ratione loci </w:t>
      </w:r>
      <w:hyperlink r:id="rId1500" w:history="1">
        <w:r>
          <w:rPr>
            <w:lang w:val="pl"/>
          </w:rPr>
          <w:t>(</w:t>
        </w:r>
        <w:r>
          <w:rPr>
            <w:i/>
            <w:iCs/>
            <w:color w:val="0072BC"/>
            <w:lang w:val="pl"/>
          </w:rPr>
          <w:t>Gillow p. Wielkiej Brytanii</w:t>
        </w:r>
        <w:r>
          <w:rPr>
            <w:lang w:val="pl"/>
          </w:rPr>
          <w:t>,</w:t>
        </w:r>
      </w:hyperlink>
      <w:r>
        <w:rPr>
          <w:lang w:val="pl"/>
        </w:rPr>
        <w:t xml:space="preserve"> §§ 60-62; </w:t>
      </w:r>
      <w:hyperlink r:id="rId1501" w:history="1">
        <w:r>
          <w:rPr>
            <w:i/>
            <w:iCs/>
            <w:color w:val="0072BC"/>
            <w:lang w:val="pl"/>
          </w:rPr>
          <w:t>Bui Van Thanh i Inni p. Wielkiej Brytanii</w:t>
        </w:r>
        <w:r>
          <w:rPr>
            <w:lang w:val="pl"/>
          </w:rPr>
          <w:t>,</w:t>
        </w:r>
      </w:hyperlink>
      <w:r>
        <w:rPr>
          <w:lang w:val="pl"/>
        </w:rPr>
        <w:t xml:space="preserve"> decyzja Komisji;</w:t>
      </w:r>
      <w:hyperlink r:id="rId1502" w:history="1">
        <w:r>
          <w:rPr>
            <w:lang w:val="pl"/>
          </w:rPr>
          <w:t xml:space="preserve"> </w:t>
        </w:r>
        <w:r>
          <w:rPr>
            <w:i/>
            <w:iCs/>
            <w:color w:val="0072BC"/>
            <w:lang w:val="pl"/>
          </w:rPr>
          <w:t xml:space="preserve">Yonghong p. Portugalii </w:t>
        </w:r>
      </w:hyperlink>
      <w:r>
        <w:rPr>
          <w:lang w:val="pl"/>
        </w:rPr>
        <w:t xml:space="preserve">(dec.); </w:t>
      </w:r>
      <w:hyperlink r:id="rId1503" w:history="1">
        <w:r>
          <w:rPr>
            <w:i/>
            <w:iCs/>
            <w:color w:val="0072BC"/>
            <w:lang w:val="pl"/>
          </w:rPr>
          <w:t xml:space="preserve">Chagos Islanders p. Wielkiej Brytanii </w:t>
        </w:r>
      </w:hyperlink>
      <w:r>
        <w:rPr>
          <w:lang w:val="pl"/>
        </w:rPr>
        <w:t xml:space="preserve">(dec.), §§ 60-76). </w:t>
      </w:r>
      <w:r>
        <w:rPr>
          <w:lang w:val="pl"/>
        </w:rPr>
        <w:lastRenderedPageBreak/>
        <w:t>A</w:t>
      </w:r>
      <w:r w:rsidR="00785CAC">
        <w:rPr>
          <w:lang w:val="pl"/>
        </w:rPr>
        <w:t> </w:t>
      </w:r>
      <w:r>
        <w:rPr>
          <w:lang w:val="pl"/>
        </w:rPr>
        <w:t xml:space="preserve">zatem ma to również zastosowanie do Protokołów do Konwencji </w:t>
      </w:r>
      <w:hyperlink r:id="rId1504" w:history="1">
        <w:r>
          <w:rPr>
            <w:lang w:val="pl"/>
          </w:rPr>
          <w:t>(</w:t>
        </w:r>
        <w:r>
          <w:rPr>
            <w:i/>
            <w:iCs/>
            <w:color w:val="0072BC"/>
            <w:lang w:val="pl"/>
          </w:rPr>
          <w:t xml:space="preserve">Quark Fishing Limited p. Wielkiej Brytanii </w:t>
        </w:r>
      </w:hyperlink>
      <w:r>
        <w:rPr>
          <w:lang w:val="pl"/>
        </w:rPr>
        <w:t>(dec.)).</w:t>
      </w:r>
    </w:p>
    <w:p w:rsidR="00B71A20" w:rsidRPr="000625F6" w:rsidRDefault="000425B4">
      <w:pPr>
        <w:pStyle w:val="Teksttreci0"/>
        <w:spacing w:after="120"/>
        <w:jc w:val="both"/>
        <w:rPr>
          <w:lang w:val="pl-PL"/>
        </w:rPr>
      </w:pPr>
      <w:r>
        <w:rPr>
          <w:lang w:val="pl"/>
        </w:rPr>
        <w:t xml:space="preserve">Jeśli układające się państwo złożyło taką deklarację na mocy art. 56, kwestia niezgodności nie zostanie podniesiona </w:t>
      </w:r>
      <w:hyperlink r:id="rId1505" w:history="1">
        <w:r>
          <w:rPr>
            <w:lang w:val="pl"/>
          </w:rPr>
          <w:t>(</w:t>
        </w:r>
        <w:r>
          <w:rPr>
            <w:i/>
            <w:iCs/>
            <w:color w:val="0072BC"/>
            <w:lang w:val="pl"/>
          </w:rPr>
          <w:t>Tyrer p. Wielkiej Brytanii</w:t>
        </w:r>
        <w:r>
          <w:rPr>
            <w:lang w:val="pl"/>
          </w:rPr>
          <w:t>,</w:t>
        </w:r>
      </w:hyperlink>
      <w:r>
        <w:rPr>
          <w:lang w:val="pl"/>
        </w:rPr>
        <w:t xml:space="preserve"> § 23).</w:t>
      </w:r>
    </w:p>
    <w:p w:rsidR="00B71A20" w:rsidRPr="000625F6" w:rsidRDefault="000425B4" w:rsidP="00115011">
      <w:pPr>
        <w:pStyle w:val="Teksttreci0"/>
        <w:numPr>
          <w:ilvl w:val="0"/>
          <w:numId w:val="66"/>
        </w:numPr>
        <w:tabs>
          <w:tab w:val="left" w:pos="514"/>
        </w:tabs>
        <w:spacing w:after="120"/>
        <w:jc w:val="both"/>
        <w:rPr>
          <w:lang w:val="pl-PL"/>
        </w:rPr>
      </w:pPr>
      <w:r>
        <w:rPr>
          <w:lang w:val="pl"/>
        </w:rPr>
        <w:t xml:space="preserve">Jeśli terytorium zależne uzyska niezależność, deklaracja ta wygaśnie automatycznie. Kolejne skargi wniesione przeciwko państwu metropolitalnemu zostaną uznane za niezgodne </w:t>
      </w:r>
      <w:r>
        <w:rPr>
          <w:i/>
          <w:iCs/>
          <w:lang w:val="pl"/>
        </w:rPr>
        <w:t xml:space="preserve">ratione personae </w:t>
      </w:r>
      <w:hyperlink r:id="rId1506" w:history="1">
        <w:r>
          <w:rPr>
            <w:lang w:val="pl"/>
          </w:rPr>
          <w:t>(</w:t>
        </w:r>
        <w:r>
          <w:rPr>
            <w:i/>
            <w:iCs/>
            <w:color w:val="0072BC"/>
            <w:lang w:val="pl"/>
          </w:rPr>
          <w:t>Church of X p. Wielkiej Brytanii</w:t>
        </w:r>
        <w:r>
          <w:rPr>
            <w:lang w:val="pl"/>
          </w:rPr>
          <w:t>,</w:t>
        </w:r>
      </w:hyperlink>
      <w:r>
        <w:rPr>
          <w:lang w:val="pl"/>
        </w:rPr>
        <w:t xml:space="preserve"> decyzja Komisji).</w:t>
      </w:r>
    </w:p>
    <w:p w:rsidR="00B71A20" w:rsidRPr="000625F6" w:rsidRDefault="000425B4" w:rsidP="00115011">
      <w:pPr>
        <w:pStyle w:val="Teksttreci0"/>
        <w:numPr>
          <w:ilvl w:val="0"/>
          <w:numId w:val="66"/>
        </w:numPr>
        <w:tabs>
          <w:tab w:val="left" w:pos="505"/>
        </w:tabs>
        <w:spacing w:after="220"/>
        <w:jc w:val="both"/>
        <w:rPr>
          <w:lang w:val="pl-PL"/>
        </w:rPr>
      </w:pPr>
      <w:bookmarkStart w:id="247" w:name="bookmark251"/>
      <w:r>
        <w:rPr>
          <w:lang w:val="pl"/>
        </w:rPr>
        <w:t xml:space="preserve">Jeśli terytorium zależne zostanie włączone do terytorium metropolitalnego układającego się państwa, Konwencja będzie miała automatycznie zastosowanie do tego byłego terytorium zależnego </w:t>
      </w:r>
      <w:hyperlink r:id="rId1507" w:history="1">
        <w:r>
          <w:rPr>
            <w:lang w:val="pl"/>
          </w:rPr>
          <w:t>(</w:t>
        </w:r>
        <w:r>
          <w:rPr>
            <w:i/>
            <w:iCs/>
            <w:color w:val="0072BC"/>
            <w:lang w:val="pl"/>
          </w:rPr>
          <w:t>Hingitaq 53 i</w:t>
        </w:r>
      </w:hyperlink>
      <w:r>
        <w:rPr>
          <w:i/>
          <w:iCs/>
          <w:color w:val="0072BC"/>
          <w:lang w:val="pl"/>
        </w:rPr>
        <w:t xml:space="preserve"> </w:t>
      </w:r>
      <w:hyperlink r:id="rId1508" w:history="1">
        <w:r>
          <w:rPr>
            <w:i/>
            <w:iCs/>
            <w:color w:val="0072BC"/>
            <w:lang w:val="pl"/>
          </w:rPr>
          <w:t xml:space="preserve">Inni p. Danii </w:t>
        </w:r>
      </w:hyperlink>
      <w:r>
        <w:rPr>
          <w:lang w:val="pl"/>
        </w:rPr>
        <w:t>(dec.)).</w:t>
      </w:r>
      <w:bookmarkEnd w:id="247"/>
    </w:p>
    <w:p w:rsidR="00B71A20" w:rsidRPr="00180FE3" w:rsidRDefault="000425B4">
      <w:pPr>
        <w:pStyle w:val="Nagwek21"/>
        <w:keepNext/>
        <w:keepLines/>
        <w:spacing w:after="220"/>
        <w:jc w:val="both"/>
        <w:rPr>
          <w:lang w:val="pl-PL"/>
        </w:rPr>
      </w:pPr>
      <w:bookmarkStart w:id="248" w:name="bookmark252"/>
      <w:bookmarkStart w:id="249" w:name="_Toc126335677"/>
      <w:bookmarkStart w:id="250" w:name="_Toc126660636"/>
      <w:r>
        <w:rPr>
          <w:lang w:val="pl"/>
        </w:rPr>
        <w:t xml:space="preserve">C. Niezgodność </w:t>
      </w:r>
      <w:r>
        <w:rPr>
          <w:i/>
          <w:iCs/>
          <w:lang w:val="pl"/>
        </w:rPr>
        <w:t>ratione temporis</w:t>
      </w:r>
      <w:bookmarkEnd w:id="248"/>
      <w:bookmarkEnd w:id="249"/>
      <w:bookmarkEnd w:id="250"/>
    </w:p>
    <w:p w:rsidR="00B71A20" w:rsidRPr="00180FE3" w:rsidRDefault="00180FE3" w:rsidP="00180FE3">
      <w:pPr>
        <w:pStyle w:val="Nagwek31"/>
        <w:keepNext/>
        <w:keepLines/>
        <w:tabs>
          <w:tab w:val="left" w:pos="336"/>
        </w:tabs>
        <w:spacing w:after="120"/>
        <w:jc w:val="both"/>
        <w:rPr>
          <w:lang w:val="pl-PL"/>
        </w:rPr>
      </w:pPr>
      <w:bookmarkStart w:id="251" w:name="_Toc126335678"/>
      <w:bookmarkStart w:id="252" w:name="_Toc126660637"/>
      <w:r>
        <w:rPr>
          <w:lang w:val="pl"/>
        </w:rPr>
        <w:t xml:space="preserve">1.  </w:t>
      </w:r>
      <w:r w:rsidR="000425B4">
        <w:rPr>
          <w:lang w:val="pl"/>
        </w:rPr>
        <w:t>Zasady ogólne</w:t>
      </w:r>
      <w:bookmarkEnd w:id="251"/>
      <w:bookmarkEnd w:id="252"/>
    </w:p>
    <w:p w:rsidR="00B71A20" w:rsidRPr="009A3E9F" w:rsidRDefault="000425B4" w:rsidP="00180FE3">
      <w:pPr>
        <w:pStyle w:val="Teksttreci0"/>
        <w:numPr>
          <w:ilvl w:val="0"/>
          <w:numId w:val="68"/>
        </w:numPr>
        <w:tabs>
          <w:tab w:val="left" w:pos="514"/>
        </w:tabs>
        <w:spacing w:after="120" w:line="233" w:lineRule="auto"/>
        <w:jc w:val="both"/>
        <w:rPr>
          <w:lang w:val="pl-PL"/>
        </w:rPr>
      </w:pPr>
      <w:r w:rsidRPr="009A3E9F">
        <w:rPr>
          <w:lang w:val="pl"/>
        </w:rPr>
        <w:t xml:space="preserve">Zgodnie z ogólnymi zasadami prawa międzynarodowego (zasada nieretroaktywności traktatów), postanowienia Konwencji nie są wiążące dla układającej się strony w odniesieniu do jakichkolwiek działań lub faktów, które miały miejsce, lub do jakichkolwiek sytuacji, które ustały przed datą wejścia w życie Konwencji w odniesieniu do tej strony </w:t>
      </w:r>
      <w:hyperlink r:id="rId1509" w:history="1">
        <w:r w:rsidRPr="009A3E9F">
          <w:rPr>
            <w:lang w:val="pl"/>
          </w:rPr>
          <w:t>(</w:t>
        </w:r>
        <w:r w:rsidRPr="009A3E9F">
          <w:rPr>
            <w:i/>
            <w:iCs/>
            <w:color w:val="0072BC"/>
            <w:lang w:val="pl"/>
          </w:rPr>
          <w:t xml:space="preserve">Blečić p. Chorwacji </w:t>
        </w:r>
      </w:hyperlink>
      <w:r w:rsidRPr="009A3E9F">
        <w:rPr>
          <w:lang w:val="pl"/>
        </w:rPr>
        <w:t>[WI], § 70;</w:t>
      </w:r>
      <w:hyperlink r:id="rId1510" w:history="1">
        <w:r w:rsidRPr="009A3E9F">
          <w:rPr>
            <w:lang w:val="pl"/>
          </w:rPr>
          <w:t xml:space="preserve"> </w:t>
        </w:r>
        <w:r w:rsidRPr="009A3E9F">
          <w:rPr>
            <w:i/>
            <w:iCs/>
            <w:color w:val="0072BC"/>
            <w:lang w:val="pl"/>
          </w:rPr>
          <w:t xml:space="preserve">Šilih p. Słowenii </w:t>
        </w:r>
      </w:hyperlink>
      <w:r w:rsidR="00785CAC">
        <w:rPr>
          <w:lang w:val="pl"/>
        </w:rPr>
        <w:t>[WI], § </w:t>
      </w:r>
      <w:r w:rsidRPr="009A3E9F">
        <w:rPr>
          <w:lang w:val="pl"/>
        </w:rPr>
        <w:t>140; </w:t>
      </w:r>
      <w:hyperlink r:id="rId1511" w:history="1">
        <w:r w:rsidRPr="009A3E9F">
          <w:rPr>
            <w:i/>
            <w:iCs/>
            <w:color w:val="0072BC"/>
            <w:lang w:val="pl"/>
          </w:rPr>
          <w:t xml:space="preserve">Varnava i Inni p. Turcji </w:t>
        </w:r>
      </w:hyperlink>
      <w:r w:rsidRPr="009A3E9F">
        <w:rPr>
          <w:lang w:val="pl"/>
        </w:rPr>
        <w:t>[WI], § 130).</w:t>
      </w:r>
    </w:p>
    <w:p w:rsidR="00B71A20" w:rsidRPr="000625F6" w:rsidRDefault="000425B4" w:rsidP="00115011">
      <w:pPr>
        <w:pStyle w:val="Teksttreci0"/>
        <w:numPr>
          <w:ilvl w:val="0"/>
          <w:numId w:val="68"/>
        </w:numPr>
        <w:tabs>
          <w:tab w:val="left" w:pos="514"/>
        </w:tabs>
        <w:jc w:val="both"/>
        <w:rPr>
          <w:lang w:val="pl-PL"/>
        </w:rPr>
      </w:pPr>
      <w:r>
        <w:rPr>
          <w:lang w:val="pl"/>
        </w:rPr>
        <w:t xml:space="preserve">Jurysdykcja </w:t>
      </w:r>
      <w:r>
        <w:rPr>
          <w:i/>
          <w:iCs/>
          <w:lang w:val="pl"/>
        </w:rPr>
        <w:t>ratione temporis</w:t>
      </w:r>
      <w:r>
        <w:rPr>
          <w:lang w:val="pl"/>
        </w:rPr>
        <w:t xml:space="preserve"> obejmuje tylko okres po ratyfikacji Konwencji lub Protokołów do niej przez pozwane państwo. Niemniej Konwencja nie nakłada na układające się państwa szczególnego obowiązku rekompensaty za krzywdy lub szkody spowodowane przed tą datą </w:t>
      </w:r>
      <w:hyperlink r:id="rId1512" w:history="1">
        <w:r>
          <w:rPr>
            <w:lang w:val="pl"/>
          </w:rPr>
          <w:t>(</w:t>
        </w:r>
        <w:r>
          <w:rPr>
            <w:i/>
            <w:iCs/>
            <w:color w:val="0072BC"/>
            <w:lang w:val="pl"/>
          </w:rPr>
          <w:t xml:space="preserve">Kopecký p. Słowacji </w:t>
        </w:r>
      </w:hyperlink>
      <w:r>
        <w:rPr>
          <w:lang w:val="pl"/>
        </w:rPr>
        <w:t>[WI], § 38).</w:t>
      </w:r>
    </w:p>
    <w:p w:rsidR="00B71A20" w:rsidRPr="000625F6" w:rsidRDefault="000425B4" w:rsidP="00115011">
      <w:pPr>
        <w:pStyle w:val="Teksttreci0"/>
        <w:numPr>
          <w:ilvl w:val="0"/>
          <w:numId w:val="68"/>
        </w:numPr>
        <w:tabs>
          <w:tab w:val="left" w:pos="514"/>
        </w:tabs>
        <w:jc w:val="both"/>
        <w:rPr>
          <w:lang w:val="pl-PL"/>
        </w:rPr>
      </w:pPr>
      <w:r>
        <w:rPr>
          <w:lang w:val="pl"/>
        </w:rPr>
        <w:t xml:space="preserve">Począwszy od daty ratyfikacji, wszystkie domniemane działania i zaniechania państwa muszą być zgodne z Konwencją i Protokołami do niej, a późniejsze fakty wchodzą w zakres jurysdykcji Trybunału, nawet jeśli stanowią jedynie przedłużenie już istniejącej sytuacji </w:t>
      </w:r>
      <w:hyperlink r:id="rId1513" w:history="1">
        <w:r>
          <w:rPr>
            <w:lang w:val="pl"/>
          </w:rPr>
          <w:t>(</w:t>
        </w:r>
        <w:r>
          <w:rPr>
            <w:i/>
            <w:iCs/>
            <w:color w:val="0072BC"/>
            <w:lang w:val="pl"/>
          </w:rPr>
          <w:t>Almeida Garrett, Mascarenhas Falcão</w:t>
        </w:r>
      </w:hyperlink>
      <w:r>
        <w:rPr>
          <w:i/>
          <w:iCs/>
          <w:color w:val="0072BC"/>
          <w:lang w:val="pl"/>
        </w:rPr>
        <w:t xml:space="preserve"> </w:t>
      </w:r>
      <w:hyperlink r:id="rId1514" w:history="1">
        <w:r>
          <w:rPr>
            <w:i/>
            <w:iCs/>
            <w:color w:val="0072BC"/>
            <w:lang w:val="pl"/>
          </w:rPr>
          <w:t>i Inni p. Portugali</w:t>
        </w:r>
        <w:r>
          <w:rPr>
            <w:lang w:val="pl"/>
          </w:rPr>
          <w:t>,</w:t>
        </w:r>
      </w:hyperlink>
      <w:r>
        <w:rPr>
          <w:lang w:val="pl"/>
        </w:rPr>
        <w:t xml:space="preserve"> § 43). Trybunał może jednak mieć na uwadze fakty sprzed ratyfikacji, ponieważ mogą one zostać uznane za przyczyny sytuacji rozciągającej się poza tę datę lub mogą być istotne dla zrozumienia faktów występujących po tej dacie </w:t>
      </w:r>
      <w:hyperlink r:id="rId1515" w:history="1">
        <w:r>
          <w:rPr>
            <w:lang w:val="pl"/>
          </w:rPr>
          <w:t>(</w:t>
        </w:r>
        <w:r>
          <w:rPr>
            <w:i/>
            <w:iCs/>
            <w:color w:val="0072BC"/>
            <w:lang w:val="pl"/>
          </w:rPr>
          <w:t>Hutten-Czapska p. Polsce</w:t>
        </w:r>
      </w:hyperlink>
      <w:r>
        <w:rPr>
          <w:color w:val="0072BC"/>
          <w:lang w:val="pl"/>
        </w:rPr>
        <w:t xml:space="preserve"> </w:t>
      </w:r>
      <w:r>
        <w:rPr>
          <w:lang w:val="pl"/>
        </w:rPr>
        <w:t>[WI], §§ 147-153;</w:t>
      </w:r>
      <w:hyperlink r:id="rId1516" w:history="1">
        <w:r>
          <w:rPr>
            <w:lang w:val="pl"/>
          </w:rPr>
          <w:t xml:space="preserve"> </w:t>
        </w:r>
        <w:r>
          <w:rPr>
            <w:i/>
            <w:iCs/>
            <w:color w:val="0072BC"/>
            <w:lang w:val="pl"/>
          </w:rPr>
          <w:t xml:space="preserve">Kurić i Inni p. Słowenii </w:t>
        </w:r>
      </w:hyperlink>
      <w:r>
        <w:rPr>
          <w:lang w:val="pl"/>
        </w:rPr>
        <w:t>[WI], §§ 240-241).</w:t>
      </w:r>
    </w:p>
    <w:p w:rsidR="00B71A20" w:rsidRDefault="000425B4" w:rsidP="00115011">
      <w:pPr>
        <w:pStyle w:val="Teksttreci0"/>
        <w:numPr>
          <w:ilvl w:val="0"/>
          <w:numId w:val="68"/>
        </w:numPr>
        <w:tabs>
          <w:tab w:val="left" w:pos="505"/>
        </w:tabs>
        <w:spacing w:after="240"/>
        <w:jc w:val="both"/>
      </w:pPr>
      <w:bookmarkStart w:id="253" w:name="bookmark257"/>
      <w:r>
        <w:rPr>
          <w:lang w:val="pl"/>
        </w:rPr>
        <w:t xml:space="preserve">Trybunał jest zobowiązany do zbadania swej kompetencji </w:t>
      </w:r>
      <w:r>
        <w:rPr>
          <w:i/>
          <w:iCs/>
          <w:lang w:val="pl"/>
        </w:rPr>
        <w:t>ratione temporis</w:t>
      </w:r>
      <w:r>
        <w:rPr>
          <w:lang w:val="pl"/>
        </w:rPr>
        <w:t xml:space="preserve"> z urzędu oraz na każdym etapie postępowania, ponieważ jest to kwestia leżąca w jego jurysdykcji, a nie kwestia dopuszczalności w wąskim tego słowa znaczeniu </w:t>
      </w:r>
      <w:hyperlink r:id="rId1517" w:history="1">
        <w:r>
          <w:rPr>
            <w:lang w:val="pl"/>
          </w:rPr>
          <w:t>(</w:t>
        </w:r>
        <w:r>
          <w:rPr>
            <w:i/>
            <w:iCs/>
            <w:color w:val="0072BC"/>
            <w:lang w:val="pl"/>
          </w:rPr>
          <w:t xml:space="preserve">Blečić p. Chorwacji </w:t>
        </w:r>
      </w:hyperlink>
      <w:r>
        <w:rPr>
          <w:lang w:val="pl"/>
        </w:rPr>
        <w:t>[WI], § 67;</w:t>
      </w:r>
      <w:hyperlink r:id="rId1518" w:history="1">
        <w:r>
          <w:rPr>
            <w:i/>
            <w:iCs/>
            <w:lang w:val="pl"/>
          </w:rPr>
          <w:t xml:space="preserve"> </w:t>
        </w:r>
        <w:r>
          <w:rPr>
            <w:i/>
            <w:iCs/>
            <w:color w:val="0072BC"/>
            <w:lang w:val="pl"/>
          </w:rPr>
          <w:t>Petrović</w:t>
        </w:r>
      </w:hyperlink>
      <w:r>
        <w:rPr>
          <w:i/>
          <w:iCs/>
          <w:color w:val="0072BC"/>
          <w:lang w:val="pl"/>
        </w:rPr>
        <w:t xml:space="preserve"> </w:t>
      </w:r>
      <w:hyperlink r:id="rId1519" w:history="1">
        <w:r>
          <w:rPr>
            <w:i/>
            <w:iCs/>
            <w:color w:val="0072BC"/>
            <w:lang w:val="pl"/>
          </w:rPr>
          <w:t>p. Serbii</w:t>
        </w:r>
        <w:r>
          <w:rPr>
            <w:lang w:val="pl"/>
          </w:rPr>
          <w:t>,</w:t>
        </w:r>
      </w:hyperlink>
      <w:r>
        <w:rPr>
          <w:lang w:val="pl"/>
        </w:rPr>
        <w:t xml:space="preserve"> § 66;</w:t>
      </w:r>
      <w:hyperlink r:id="rId1520" w:history="1">
        <w:r>
          <w:rPr>
            <w:i/>
            <w:iCs/>
            <w:lang w:val="pl"/>
          </w:rPr>
          <w:t xml:space="preserve"> </w:t>
        </w:r>
        <w:r>
          <w:rPr>
            <w:i/>
            <w:iCs/>
            <w:color w:val="0072BC"/>
            <w:lang w:val="pl"/>
          </w:rPr>
          <w:t>Hoti p. Chorwacji</w:t>
        </w:r>
        <w:r>
          <w:rPr>
            <w:lang w:val="pl"/>
          </w:rPr>
          <w:t>,</w:t>
        </w:r>
      </w:hyperlink>
      <w:r>
        <w:rPr>
          <w:lang w:val="pl"/>
        </w:rPr>
        <w:t xml:space="preserve"> § 84 – por.</w:t>
      </w:r>
      <w:hyperlink r:id="rId1521" w:history="1">
        <w:r>
          <w:rPr>
            <w:i/>
            <w:iCs/>
            <w:lang w:val="pl"/>
          </w:rPr>
          <w:t xml:space="preserve"> </w:t>
        </w:r>
        <w:r>
          <w:rPr>
            <w:i/>
            <w:iCs/>
            <w:color w:val="0072BC"/>
            <w:lang w:val="pl"/>
          </w:rPr>
          <w:t>Agrotexim i Inni p. Grecji</w:t>
        </w:r>
        <w:r>
          <w:rPr>
            <w:lang w:val="pl"/>
          </w:rPr>
          <w:t>,</w:t>
        </w:r>
      </w:hyperlink>
      <w:r>
        <w:rPr>
          <w:lang w:val="pl"/>
        </w:rPr>
        <w:t xml:space="preserve"> § 58).</w:t>
      </w:r>
      <w:bookmarkEnd w:id="253"/>
    </w:p>
    <w:p w:rsidR="00B71A20" w:rsidRDefault="00180FE3" w:rsidP="00180FE3">
      <w:pPr>
        <w:pStyle w:val="Nagwek31"/>
        <w:keepNext/>
        <w:keepLines/>
        <w:tabs>
          <w:tab w:val="left" w:pos="327"/>
        </w:tabs>
        <w:spacing w:after="240" w:line="218" w:lineRule="auto"/>
        <w:jc w:val="both"/>
      </w:pPr>
      <w:bookmarkStart w:id="254" w:name="bookmark258"/>
      <w:bookmarkStart w:id="255" w:name="_Toc126335679"/>
      <w:bookmarkStart w:id="256" w:name="_Toc126660638"/>
      <w:r>
        <w:rPr>
          <w:lang w:val="pl"/>
        </w:rPr>
        <w:t xml:space="preserve">2.  </w:t>
      </w:r>
      <w:r w:rsidR="000425B4">
        <w:rPr>
          <w:lang w:val="pl"/>
        </w:rPr>
        <w:t>Zastosowanie tych zasad</w:t>
      </w:r>
      <w:bookmarkEnd w:id="254"/>
      <w:bookmarkEnd w:id="255"/>
      <w:bookmarkEnd w:id="256"/>
    </w:p>
    <w:p w:rsidR="00B71A20" w:rsidRPr="000625F6" w:rsidRDefault="009A3E9F" w:rsidP="00180FE3">
      <w:pPr>
        <w:pStyle w:val="Nagwek41"/>
        <w:keepNext/>
        <w:keepLines/>
        <w:tabs>
          <w:tab w:val="left" w:pos="324"/>
        </w:tabs>
        <w:ind w:left="340" w:hanging="340"/>
        <w:jc w:val="both"/>
        <w:rPr>
          <w:lang w:val="pl-PL"/>
        </w:rPr>
      </w:pPr>
      <w:bookmarkStart w:id="257" w:name="_Toc126335680"/>
      <w:bookmarkStart w:id="258" w:name="_Toc126660639"/>
      <w:r>
        <w:rPr>
          <w:lang w:val="pl"/>
        </w:rPr>
        <w:t xml:space="preserve">a.  </w:t>
      </w:r>
      <w:r w:rsidR="000425B4">
        <w:rPr>
          <w:lang w:val="pl"/>
        </w:rPr>
        <w:t>Data początkowa w odniesieniu do ratyfikacji Konwencji lub uznania właściwości instytucji Konwencji</w:t>
      </w:r>
      <w:bookmarkEnd w:id="257"/>
      <w:bookmarkEnd w:id="258"/>
    </w:p>
    <w:p w:rsidR="00B71A20" w:rsidRPr="000625F6" w:rsidRDefault="000425B4" w:rsidP="00180FE3">
      <w:pPr>
        <w:pStyle w:val="Teksttreci0"/>
        <w:numPr>
          <w:ilvl w:val="0"/>
          <w:numId w:val="69"/>
        </w:numPr>
        <w:tabs>
          <w:tab w:val="left" w:pos="500"/>
        </w:tabs>
        <w:jc w:val="both"/>
        <w:rPr>
          <w:lang w:val="pl-PL"/>
        </w:rPr>
      </w:pPr>
      <w:r>
        <w:rPr>
          <w:lang w:val="pl"/>
        </w:rPr>
        <w:t>Co do zasady data początkowa dla celów określenia jurysdykcji czasowej Trybunału to data wejścia w życie Konwencji i Protokołów do niej w stosunku do danej strony (jako przykład patrz</w:t>
      </w:r>
      <w:hyperlink r:id="rId1522" w:history="1">
        <w:r>
          <w:rPr>
            <w:lang w:val="pl"/>
          </w:rPr>
          <w:t xml:space="preserve"> </w:t>
        </w:r>
        <w:r w:rsidR="00785CAC">
          <w:rPr>
            <w:i/>
            <w:iCs/>
            <w:color w:val="0072BC"/>
            <w:lang w:val="pl"/>
          </w:rPr>
          <w:t>Šilih p. </w:t>
        </w:r>
        <w:r>
          <w:rPr>
            <w:i/>
            <w:iCs/>
            <w:color w:val="0072BC"/>
            <w:lang w:val="pl"/>
          </w:rPr>
          <w:t xml:space="preserve">Słowenii </w:t>
        </w:r>
      </w:hyperlink>
      <w:r>
        <w:rPr>
          <w:lang w:val="pl"/>
        </w:rPr>
        <w:t>[WI], § 164).</w:t>
      </w:r>
    </w:p>
    <w:p w:rsidR="00B71A20" w:rsidRPr="000625F6" w:rsidRDefault="000425B4" w:rsidP="00115011">
      <w:pPr>
        <w:pStyle w:val="Teksttreci0"/>
        <w:numPr>
          <w:ilvl w:val="0"/>
          <w:numId w:val="69"/>
        </w:numPr>
        <w:tabs>
          <w:tab w:val="left" w:pos="505"/>
        </w:tabs>
        <w:jc w:val="both"/>
        <w:rPr>
          <w:lang w:val="pl-PL"/>
        </w:rPr>
      </w:pPr>
      <w:r>
        <w:rPr>
          <w:lang w:val="pl"/>
        </w:rPr>
        <w:t>Jednak Konwencja z 1950 r. uzależniła kompetencje Komisji do bad</w:t>
      </w:r>
      <w:r w:rsidR="00785CAC">
        <w:rPr>
          <w:lang w:val="pl"/>
        </w:rPr>
        <w:t>ania skarg indywidualnych (art. </w:t>
      </w:r>
      <w:r>
        <w:rPr>
          <w:lang w:val="pl"/>
        </w:rPr>
        <w:t>25) i jurysdykcję Trybunału (art. 46) od konkretnych deklaracji złożonych przez układające się państwa w tym zakresie. Deklaracje te mogą podlegać ograniczeni</w:t>
      </w:r>
      <w:r w:rsidR="00785CAC">
        <w:rPr>
          <w:lang w:val="pl"/>
        </w:rPr>
        <w:t>om, w szczególności czasowym. W </w:t>
      </w:r>
      <w:r>
        <w:rPr>
          <w:lang w:val="pl"/>
        </w:rPr>
        <w:t xml:space="preserve">odniesieniu do państw, które sporządziły takie deklaracje po dacie ratyfikacji przez nie Konwencji, Komisja i Trybunał przyjęły ograniczenie czasowe ich jurysdykcji w stosunku do faktów przypadających </w:t>
      </w:r>
      <w:r>
        <w:rPr>
          <w:lang w:val="pl"/>
        </w:rPr>
        <w:lastRenderedPageBreak/>
        <w:t xml:space="preserve">na okres między wejściem w życie Konwencji a datą stosownej deklaracji </w:t>
      </w:r>
      <w:hyperlink r:id="rId1523" w:history="1">
        <w:r>
          <w:rPr>
            <w:lang w:val="pl"/>
          </w:rPr>
          <w:t>(</w:t>
        </w:r>
        <w:r>
          <w:rPr>
            <w:i/>
            <w:iCs/>
            <w:color w:val="0072BC"/>
            <w:lang w:val="pl"/>
          </w:rPr>
          <w:t>X p. Włochom</w:t>
        </w:r>
        <w:r>
          <w:rPr>
            <w:lang w:val="pl"/>
          </w:rPr>
          <w:t>,</w:t>
        </w:r>
      </w:hyperlink>
      <w:r>
        <w:rPr>
          <w:lang w:val="pl"/>
        </w:rPr>
        <w:t xml:space="preserve"> decyzja Komisji;</w:t>
      </w:r>
      <w:hyperlink r:id="rId1524" w:history="1">
        <w:r>
          <w:rPr>
            <w:lang w:val="pl"/>
          </w:rPr>
          <w:t xml:space="preserve"> </w:t>
        </w:r>
        <w:r>
          <w:rPr>
            <w:i/>
            <w:iCs/>
            <w:color w:val="0072BC"/>
            <w:lang w:val="pl"/>
          </w:rPr>
          <w:t>Stamoulakatos p. Grecji (nr 1)</w:t>
        </w:r>
        <w:r>
          <w:rPr>
            <w:lang w:val="pl"/>
          </w:rPr>
          <w:t>,</w:t>
        </w:r>
      </w:hyperlink>
      <w:r>
        <w:rPr>
          <w:lang w:val="pl"/>
        </w:rPr>
        <w:t xml:space="preserve"> § 32; patrz też sprawa</w:t>
      </w:r>
      <w:hyperlink r:id="rId1525" w:history="1">
        <w:r>
          <w:rPr>
            <w:lang w:val="pl"/>
          </w:rPr>
          <w:t xml:space="preserve"> </w:t>
        </w:r>
        <w:r>
          <w:rPr>
            <w:i/>
            <w:iCs/>
            <w:color w:val="0072BC"/>
            <w:lang w:val="pl"/>
          </w:rPr>
          <w:t>Chong i Inni p. Wielkiej Brytanii</w:t>
        </w:r>
      </w:hyperlink>
      <w:r>
        <w:rPr>
          <w:color w:val="0072BC"/>
          <w:lang w:val="pl"/>
        </w:rPr>
        <w:t xml:space="preserve"> </w:t>
      </w:r>
      <w:r w:rsidR="00785CAC">
        <w:rPr>
          <w:lang w:val="pl"/>
        </w:rPr>
        <w:t>(dec.), §§ </w:t>
      </w:r>
      <w:r>
        <w:rPr>
          <w:lang w:val="pl"/>
        </w:rPr>
        <w:t>84-90, w której Trybunał wyjaśnił, że „datą początkową” była data, w której Wielka Brytania uznała prawo do skargi indywidualnej, tj. 1966 r., a nie data wejścia w życie Konwencji w odniesieniu do tego państwa, tj. 1953 r.).</w:t>
      </w:r>
    </w:p>
    <w:p w:rsidR="00B71A20" w:rsidRPr="000625F6" w:rsidRDefault="000425B4" w:rsidP="00115011">
      <w:pPr>
        <w:pStyle w:val="Teksttreci0"/>
        <w:numPr>
          <w:ilvl w:val="0"/>
          <w:numId w:val="69"/>
        </w:numPr>
        <w:tabs>
          <w:tab w:val="left" w:pos="505"/>
        </w:tabs>
        <w:jc w:val="both"/>
        <w:rPr>
          <w:lang w:val="pl-PL"/>
        </w:rPr>
      </w:pPr>
      <w:r>
        <w:rPr>
          <w:lang w:val="pl"/>
        </w:rPr>
        <w:t>W przypadku braku takiego ograniczenia czasowego w deklaracji rz</w:t>
      </w:r>
      <w:r w:rsidR="00785CAC">
        <w:rPr>
          <w:lang w:val="pl"/>
        </w:rPr>
        <w:t>ądu (patrz deklaracja Francji z </w:t>
      </w:r>
      <w:r>
        <w:rPr>
          <w:lang w:val="pl"/>
        </w:rPr>
        <w:t xml:space="preserve">2 października 1981 r.), instytucje Konwencji uznały moc wsteczną przyjęcia ich jurysdykcji </w:t>
      </w:r>
      <w:hyperlink r:id="rId1526" w:history="1">
        <w:r>
          <w:rPr>
            <w:lang w:val="pl"/>
          </w:rPr>
          <w:t>(</w:t>
        </w:r>
        <w:r w:rsidR="00785CAC">
          <w:rPr>
            <w:i/>
            <w:iCs/>
            <w:color w:val="0072BC"/>
            <w:lang w:val="pl"/>
          </w:rPr>
          <w:t>X p. </w:t>
        </w:r>
        <w:r>
          <w:rPr>
            <w:i/>
            <w:iCs/>
            <w:color w:val="0072BC"/>
            <w:lang w:val="pl"/>
          </w:rPr>
          <w:t>Francji</w:t>
        </w:r>
        <w:r>
          <w:rPr>
            <w:lang w:val="pl"/>
          </w:rPr>
          <w:t>,</w:t>
        </w:r>
      </w:hyperlink>
      <w:r>
        <w:rPr>
          <w:lang w:val="pl"/>
        </w:rPr>
        <w:t xml:space="preserve"> decyzja Komisji).</w:t>
      </w:r>
    </w:p>
    <w:p w:rsidR="00B71A20" w:rsidRPr="000625F6" w:rsidRDefault="000425B4">
      <w:pPr>
        <w:pStyle w:val="Teksttreci0"/>
        <w:jc w:val="both"/>
        <w:rPr>
          <w:lang w:val="pl-PL"/>
        </w:rPr>
      </w:pPr>
      <w:r>
        <w:rPr>
          <w:lang w:val="pl"/>
        </w:rPr>
        <w:t>Ograniczenia czasowe zawarte w tych deklaracjach pozostają w mocy w odniesieniu do orzekania co do właściwości Trybunału w zakresie przyjmowania skarg indywidualnych zgodnie z obecnym brzmieniem art. 34 Konwencji na mocy art. 6</w:t>
      </w:r>
      <w:hyperlink r:id="rId1527" w:history="1">
        <w:r>
          <w:rPr>
            <w:lang w:val="pl"/>
          </w:rPr>
          <w:t xml:space="preserve"> </w:t>
        </w:r>
        <w:r>
          <w:rPr>
            <w:color w:val="0072BC"/>
            <w:lang w:val="pl"/>
          </w:rPr>
          <w:t xml:space="preserve">Protokołu nr 11 </w:t>
        </w:r>
      </w:hyperlink>
      <w:hyperlink r:id="rId1528" w:history="1">
        <w:r>
          <w:rPr>
            <w:lang w:val="pl"/>
          </w:rPr>
          <w:t>(</w:t>
        </w:r>
        <w:r>
          <w:rPr>
            <w:i/>
            <w:iCs/>
            <w:color w:val="0072BC"/>
            <w:lang w:val="pl"/>
          </w:rPr>
          <w:t xml:space="preserve">Blečić p. Chorwacji </w:t>
        </w:r>
      </w:hyperlink>
      <w:r>
        <w:rPr>
          <w:lang w:val="pl"/>
        </w:rPr>
        <w:t xml:space="preserve">[WI], § 72). Trybunał, biorąc pod uwagę poprzedni system jako całość, uznał, że jego jurysdykcja ma zastosowanie od momentu złożenia pierwszej deklaracji uznającej prawo do składania do Komisji skarg indywidualnych, bez względu na upływ czasu między taką deklaracją a uznaniem jurysdykcji Trybunału </w:t>
      </w:r>
      <w:hyperlink r:id="rId1529" w:history="1">
        <w:r>
          <w:rPr>
            <w:lang w:val="pl"/>
          </w:rPr>
          <w:t>(</w:t>
        </w:r>
        <w:r w:rsidR="00F343C9">
          <w:rPr>
            <w:i/>
            <w:iCs/>
            <w:color w:val="0072BC"/>
            <w:lang w:val="pl"/>
          </w:rPr>
          <w:t>Cankoçak p. </w:t>
        </w:r>
        <w:r>
          <w:rPr>
            <w:i/>
            <w:iCs/>
            <w:color w:val="0072BC"/>
            <w:lang w:val="pl"/>
          </w:rPr>
          <w:t>Turcji</w:t>
        </w:r>
        <w:r>
          <w:rPr>
            <w:lang w:val="pl"/>
          </w:rPr>
          <w:t>,</w:t>
        </w:r>
      </w:hyperlink>
      <w:r>
        <w:rPr>
          <w:lang w:val="pl"/>
        </w:rPr>
        <w:t xml:space="preserve"> § 26; </w:t>
      </w:r>
      <w:hyperlink r:id="rId1530" w:history="1">
        <w:r>
          <w:rPr>
            <w:i/>
            <w:iCs/>
            <w:color w:val="0072BC"/>
            <w:lang w:val="pl"/>
          </w:rPr>
          <w:t>Yorgiyadis p. Turcji</w:t>
        </w:r>
        <w:r>
          <w:rPr>
            <w:lang w:val="pl"/>
          </w:rPr>
          <w:t>,</w:t>
        </w:r>
      </w:hyperlink>
      <w:r>
        <w:rPr>
          <w:lang w:val="pl"/>
        </w:rPr>
        <w:t xml:space="preserve"> § 24;</w:t>
      </w:r>
      <w:hyperlink r:id="rId1531" w:history="1">
        <w:r>
          <w:rPr>
            <w:lang w:val="pl"/>
          </w:rPr>
          <w:t xml:space="preserve"> </w:t>
        </w:r>
        <w:r>
          <w:rPr>
            <w:i/>
            <w:iCs/>
            <w:color w:val="0072BC"/>
            <w:lang w:val="pl"/>
          </w:rPr>
          <w:t xml:space="preserve">Varnava i Inni p. Turcji </w:t>
        </w:r>
      </w:hyperlink>
      <w:r>
        <w:rPr>
          <w:lang w:val="pl"/>
        </w:rPr>
        <w:t>[WI], § 133).</w:t>
      </w:r>
    </w:p>
    <w:p w:rsidR="00B71A20" w:rsidRPr="000625F6" w:rsidRDefault="00EB19CD" w:rsidP="00EB19CD">
      <w:pPr>
        <w:pStyle w:val="Nagwek41"/>
        <w:keepNext/>
        <w:keepLines/>
        <w:tabs>
          <w:tab w:val="left" w:pos="318"/>
        </w:tabs>
        <w:jc w:val="both"/>
        <w:rPr>
          <w:lang w:val="pl-PL"/>
        </w:rPr>
      </w:pPr>
      <w:bookmarkStart w:id="259" w:name="bookmark263"/>
      <w:bookmarkStart w:id="260" w:name="_Toc126335681"/>
      <w:bookmarkStart w:id="261" w:name="_Toc126660640"/>
      <w:r>
        <w:rPr>
          <w:lang w:val="pl"/>
        </w:rPr>
        <w:t xml:space="preserve">b.  </w:t>
      </w:r>
      <w:r w:rsidR="000425B4">
        <w:rPr>
          <w:lang w:val="pl"/>
        </w:rPr>
        <w:t>Fakty jednorazowe przed lub po wejściu w życie lub deklaracji</w:t>
      </w:r>
      <w:bookmarkEnd w:id="259"/>
      <w:bookmarkEnd w:id="260"/>
      <w:bookmarkEnd w:id="261"/>
    </w:p>
    <w:p w:rsidR="00B71A20" w:rsidRPr="000625F6" w:rsidRDefault="000425B4" w:rsidP="00180FE3">
      <w:pPr>
        <w:pStyle w:val="Teksttreci0"/>
        <w:numPr>
          <w:ilvl w:val="0"/>
          <w:numId w:val="70"/>
        </w:numPr>
        <w:tabs>
          <w:tab w:val="left" w:pos="510"/>
        </w:tabs>
        <w:jc w:val="both"/>
        <w:rPr>
          <w:lang w:val="pl-PL"/>
        </w:rPr>
      </w:pPr>
      <w:r>
        <w:rPr>
          <w:lang w:val="pl"/>
        </w:rPr>
        <w:t>Jurysdykcja czasowa Trybunału musi zostać określona w odniesieniu do faktów stanowiących zarzucaną ingerencję. W tym celu konieczne jest określenie w każdym konkretnym przypadku dokładnego czasu trwania zarzucanej ingerencji. Wówczas Trybunał musi brać pod uwagę zarówno okoliczności, na które powołuje się skarżący, jak i zakres rzekomo naruszone</w:t>
      </w:r>
      <w:r w:rsidR="00F343C9">
        <w:rPr>
          <w:lang w:val="pl"/>
        </w:rPr>
        <w:t>go prawa wynikającego z </w:t>
      </w:r>
      <w:r>
        <w:rPr>
          <w:lang w:val="pl"/>
        </w:rPr>
        <w:t xml:space="preserve">Konwencji </w:t>
      </w:r>
      <w:hyperlink r:id="rId1532" w:history="1">
        <w:r>
          <w:rPr>
            <w:lang w:val="pl"/>
          </w:rPr>
          <w:t>(</w:t>
        </w:r>
        <w:r>
          <w:rPr>
            <w:i/>
            <w:iCs/>
            <w:color w:val="0072BC"/>
            <w:lang w:val="pl"/>
          </w:rPr>
          <w:t>Blečić</w:t>
        </w:r>
      </w:hyperlink>
      <w:r>
        <w:rPr>
          <w:i/>
          <w:iCs/>
          <w:color w:val="0072BC"/>
          <w:lang w:val="pl"/>
        </w:rPr>
        <w:t xml:space="preserve"> </w:t>
      </w:r>
      <w:hyperlink r:id="rId1533" w:history="1">
        <w:r>
          <w:rPr>
            <w:i/>
            <w:iCs/>
            <w:color w:val="0072BC"/>
            <w:lang w:val="pl"/>
          </w:rPr>
          <w:t xml:space="preserve">p. Chorwacji </w:t>
        </w:r>
      </w:hyperlink>
      <w:r>
        <w:rPr>
          <w:lang w:val="pl"/>
        </w:rPr>
        <w:t>[WI], § 82;</w:t>
      </w:r>
      <w:hyperlink r:id="rId1534" w:history="1">
        <w:r>
          <w:rPr>
            <w:i/>
            <w:iCs/>
            <w:lang w:val="pl"/>
          </w:rPr>
          <w:t xml:space="preserve"> </w:t>
        </w:r>
        <w:r>
          <w:rPr>
            <w:i/>
            <w:iCs/>
            <w:color w:val="0072BC"/>
            <w:lang w:val="pl"/>
          </w:rPr>
          <w:t xml:space="preserve">Varnava i Inni p. Turcji </w:t>
        </w:r>
      </w:hyperlink>
      <w:r>
        <w:rPr>
          <w:lang w:val="pl"/>
        </w:rPr>
        <w:t>[WI], § 131;</w:t>
      </w:r>
      <w:hyperlink r:id="rId1535" w:history="1">
        <w:r>
          <w:rPr>
            <w:i/>
            <w:iCs/>
            <w:lang w:val="pl"/>
          </w:rPr>
          <w:t xml:space="preserve"> </w:t>
        </w:r>
        <w:r>
          <w:rPr>
            <w:i/>
            <w:iCs/>
            <w:color w:val="0072BC"/>
            <w:lang w:val="pl"/>
          </w:rPr>
          <w:t>Nešić p. Czarnogórze</w:t>
        </w:r>
        <w:r>
          <w:rPr>
            <w:lang w:val="pl"/>
          </w:rPr>
          <w:t>,</w:t>
        </w:r>
      </w:hyperlink>
      <w:r w:rsidR="00F343C9">
        <w:rPr>
          <w:lang w:val="pl"/>
        </w:rPr>
        <w:t xml:space="preserve"> §§ </w:t>
      </w:r>
      <w:r>
        <w:rPr>
          <w:lang w:val="pl"/>
        </w:rPr>
        <w:t>36-38).</w:t>
      </w:r>
    </w:p>
    <w:p w:rsidR="00B71A20" w:rsidRPr="000625F6" w:rsidRDefault="000425B4" w:rsidP="00115011">
      <w:pPr>
        <w:pStyle w:val="Teksttreci0"/>
        <w:numPr>
          <w:ilvl w:val="0"/>
          <w:numId w:val="70"/>
        </w:numPr>
        <w:tabs>
          <w:tab w:val="left" w:pos="514"/>
        </w:tabs>
        <w:jc w:val="both"/>
        <w:rPr>
          <w:lang w:val="pl-PL"/>
        </w:rPr>
      </w:pPr>
      <w:r>
        <w:rPr>
          <w:lang w:val="pl"/>
        </w:rPr>
        <w:t>Stosując ten test do różnych orzeczeń sądowych wydanych przed datą początkową i po tej dacie, Trybunał uwzględnia ostateczne orzeczenie, które samo w sobie mogło spowodować naruszenie praw skarżącego (wyrok Sądu Najwyższego przerywający najem przez skarżącą w sprawie</w:t>
      </w:r>
      <w:hyperlink r:id="rId1536" w:history="1">
        <w:r>
          <w:rPr>
            <w:i/>
            <w:iCs/>
            <w:lang w:val="pl"/>
          </w:rPr>
          <w:t xml:space="preserve"> </w:t>
        </w:r>
        <w:r>
          <w:rPr>
            <w:i/>
            <w:iCs/>
            <w:color w:val="0072BC"/>
            <w:lang w:val="pl"/>
          </w:rPr>
          <w:t xml:space="preserve">Blečić p. Chorwacji </w:t>
        </w:r>
      </w:hyperlink>
      <w:r>
        <w:rPr>
          <w:lang w:val="pl"/>
        </w:rPr>
        <w:t>[WI], § 85; lub wyrok Sądu Okręgowego w sprawie</w:t>
      </w:r>
      <w:hyperlink r:id="rId1537" w:history="1">
        <w:r>
          <w:rPr>
            <w:i/>
            <w:iCs/>
            <w:lang w:val="pl"/>
          </w:rPr>
          <w:t xml:space="preserve"> </w:t>
        </w:r>
        <w:r>
          <w:rPr>
            <w:i/>
            <w:iCs/>
            <w:color w:val="0072BC"/>
            <w:lang w:val="pl"/>
          </w:rPr>
          <w:t xml:space="preserve">Mrkić p. Chorwacji </w:t>
        </w:r>
      </w:hyperlink>
      <w:r>
        <w:rPr>
          <w:lang w:val="pl"/>
        </w:rPr>
        <w:t>(dec.)), mimo istnienia kolejnych środków, które jedynie umożliwiły utrzymanie się przedmiotowej ingerencji (późniejszy wyrok Trybunału Konstytucyjnego podtrzymujący wyrok Sądu Najwyższego w sprawie</w:t>
      </w:r>
      <w:hyperlink r:id="rId1538" w:history="1">
        <w:r>
          <w:rPr>
            <w:i/>
            <w:iCs/>
            <w:lang w:val="pl"/>
          </w:rPr>
          <w:t xml:space="preserve"> </w:t>
        </w:r>
        <w:r>
          <w:rPr>
            <w:i/>
            <w:iCs/>
            <w:color w:val="0072BC"/>
            <w:lang w:val="pl"/>
          </w:rPr>
          <w:t>Blečić</w:t>
        </w:r>
        <w:r>
          <w:rPr>
            <w:color w:val="0072BC"/>
            <w:lang w:val="pl"/>
          </w:rPr>
          <w:t xml:space="preserve"> </w:t>
        </w:r>
        <w:r>
          <w:rPr>
            <w:i/>
            <w:iCs/>
            <w:color w:val="0072BC"/>
            <w:lang w:val="pl"/>
          </w:rPr>
          <w:t xml:space="preserve">p. Chorwacji </w:t>
        </w:r>
      </w:hyperlink>
      <w:r>
        <w:rPr>
          <w:lang w:val="pl"/>
        </w:rPr>
        <w:t>[WI], § 85; lub oba wyroki Sądu Najwyższego i Trybunału Konstytucyjnego w sprawie</w:t>
      </w:r>
      <w:hyperlink r:id="rId1539" w:history="1">
        <w:r>
          <w:rPr>
            <w:i/>
            <w:iCs/>
            <w:lang w:val="pl"/>
          </w:rPr>
          <w:t xml:space="preserve"> </w:t>
        </w:r>
        <w:r>
          <w:rPr>
            <w:i/>
            <w:iCs/>
            <w:color w:val="0072BC"/>
            <w:lang w:val="pl"/>
          </w:rPr>
          <w:t xml:space="preserve">Mrkić p. Chorwacji </w:t>
        </w:r>
      </w:hyperlink>
      <w:r>
        <w:rPr>
          <w:lang w:val="pl"/>
        </w:rPr>
        <w:t>(dec.)).</w:t>
      </w:r>
    </w:p>
    <w:p w:rsidR="00B71A20" w:rsidRDefault="000425B4">
      <w:pPr>
        <w:pStyle w:val="Teksttreci0"/>
        <w:jc w:val="both"/>
        <w:rPr>
          <w:lang w:val="pl"/>
        </w:rPr>
      </w:pPr>
      <w:r>
        <w:rPr>
          <w:lang w:val="pl"/>
        </w:rPr>
        <w:t xml:space="preserve">Późniejsza bezskuteczność środków mających na celu naprawienie ingerencji nie może zostać objęta jurysdykcją czasową Trybunału </w:t>
      </w:r>
      <w:hyperlink r:id="rId1540" w:history="1">
        <w:r>
          <w:rPr>
            <w:lang w:val="pl"/>
          </w:rPr>
          <w:t>(</w:t>
        </w:r>
        <w:r>
          <w:rPr>
            <w:i/>
            <w:iCs/>
            <w:color w:val="0072BC"/>
            <w:lang w:val="pl"/>
          </w:rPr>
          <w:t>Blečić</w:t>
        </w:r>
        <w:r>
          <w:rPr>
            <w:color w:val="0072BC"/>
            <w:lang w:val="pl"/>
          </w:rPr>
          <w:t xml:space="preserve"> </w:t>
        </w:r>
        <w:r>
          <w:rPr>
            <w:i/>
            <w:iCs/>
            <w:color w:val="0072BC"/>
            <w:lang w:val="pl"/>
          </w:rPr>
          <w:t xml:space="preserve">p. Chorwacji </w:t>
        </w:r>
      </w:hyperlink>
      <w:r>
        <w:rPr>
          <w:lang w:val="pl"/>
        </w:rPr>
        <w:t xml:space="preserve">[WI], §§ 77-79). Trybunał powtarza, że sądy krajowe nie są zmuszone do stosowania Konwencji z mocą wsteczną w odniesieniu do ingerencji, które wystąpiły przed datą początkową </w:t>
      </w:r>
      <w:hyperlink r:id="rId1541" w:history="1">
        <w:r>
          <w:rPr>
            <w:lang w:val="pl"/>
          </w:rPr>
          <w:t>(</w:t>
        </w:r>
        <w:r>
          <w:rPr>
            <w:i/>
            <w:iCs/>
            <w:color w:val="0072BC"/>
            <w:lang w:val="pl"/>
          </w:rPr>
          <w:t xml:space="preserve">Varnava i Inni p. Turcji </w:t>
        </w:r>
      </w:hyperlink>
      <w:r>
        <w:rPr>
          <w:lang w:val="pl"/>
        </w:rPr>
        <w:t>[WI], § 130).</w:t>
      </w:r>
    </w:p>
    <w:p w:rsidR="00B71A20" w:rsidRDefault="000425B4" w:rsidP="00115011">
      <w:pPr>
        <w:pStyle w:val="Teksttreci0"/>
        <w:numPr>
          <w:ilvl w:val="0"/>
          <w:numId w:val="70"/>
        </w:numPr>
        <w:tabs>
          <w:tab w:val="left" w:pos="500"/>
        </w:tabs>
        <w:jc w:val="both"/>
      </w:pPr>
      <w:r>
        <w:rPr>
          <w:lang w:val="pl"/>
        </w:rPr>
        <w:t>Przykładowe sprawy:</w:t>
      </w:r>
    </w:p>
    <w:p w:rsidR="00B71A20" w:rsidRPr="000625F6" w:rsidRDefault="000425B4" w:rsidP="00115011">
      <w:pPr>
        <w:pStyle w:val="Teksttreci0"/>
        <w:numPr>
          <w:ilvl w:val="0"/>
          <w:numId w:val="71"/>
        </w:numPr>
        <w:tabs>
          <w:tab w:val="left" w:pos="861"/>
        </w:tabs>
        <w:spacing w:after="60"/>
        <w:ind w:left="860" w:hanging="280"/>
        <w:jc w:val="both"/>
        <w:rPr>
          <w:lang w:val="pl-PL"/>
        </w:rPr>
      </w:pPr>
      <w:r>
        <w:rPr>
          <w:lang w:val="pl"/>
        </w:rPr>
        <w:t xml:space="preserve">ingerencje mające miejsce przed datą początkową i ostatecznymi orzeczeniami wydanymi po tej dacie </w:t>
      </w:r>
      <w:hyperlink r:id="rId1542" w:history="1">
        <w:r>
          <w:rPr>
            <w:lang w:val="pl"/>
          </w:rPr>
          <w:t>(</w:t>
        </w:r>
        <w:r>
          <w:rPr>
            <w:i/>
            <w:iCs/>
            <w:color w:val="0072BC"/>
            <w:lang w:val="pl"/>
          </w:rPr>
          <w:t xml:space="preserve">Meltex Ltd p. Armenii </w:t>
        </w:r>
      </w:hyperlink>
      <w:r>
        <w:rPr>
          <w:lang w:val="pl"/>
        </w:rPr>
        <w:t>(dec.));</w:t>
      </w:r>
    </w:p>
    <w:p w:rsidR="00B71A20" w:rsidRPr="000625F6" w:rsidRDefault="000425B4" w:rsidP="00115011">
      <w:pPr>
        <w:pStyle w:val="Teksttreci0"/>
        <w:numPr>
          <w:ilvl w:val="0"/>
          <w:numId w:val="71"/>
        </w:numPr>
        <w:tabs>
          <w:tab w:val="left" w:pos="861"/>
        </w:tabs>
        <w:spacing w:after="60"/>
        <w:ind w:left="860" w:hanging="280"/>
        <w:jc w:val="both"/>
        <w:rPr>
          <w:lang w:val="pl-PL"/>
        </w:rPr>
      </w:pPr>
      <w:r>
        <w:rPr>
          <w:lang w:val="pl"/>
        </w:rPr>
        <w:t xml:space="preserve">ingerencje mające miejsce po dacie początkowej </w:t>
      </w:r>
      <w:hyperlink r:id="rId1543" w:history="1">
        <w:r>
          <w:rPr>
            <w:lang w:val="pl"/>
          </w:rPr>
          <w:t>(</w:t>
        </w:r>
        <w:r>
          <w:rPr>
            <w:i/>
            <w:iCs/>
            <w:color w:val="0072BC"/>
            <w:lang w:val="pl"/>
          </w:rPr>
          <w:t>Lepojić p. Serbii</w:t>
        </w:r>
        <w:r>
          <w:rPr>
            <w:lang w:val="pl"/>
          </w:rPr>
          <w:t>,</w:t>
        </w:r>
      </w:hyperlink>
      <w:r>
        <w:rPr>
          <w:lang w:val="pl"/>
        </w:rPr>
        <w:t xml:space="preserve"> § 45;</w:t>
      </w:r>
      <w:hyperlink r:id="rId1544" w:history="1">
        <w:r>
          <w:rPr>
            <w:lang w:val="pl"/>
          </w:rPr>
          <w:t xml:space="preserve"> </w:t>
        </w:r>
        <w:r>
          <w:rPr>
            <w:i/>
            <w:iCs/>
            <w:color w:val="0072BC"/>
            <w:lang w:val="pl"/>
          </w:rPr>
          <w:t>Filipović p. Serbii</w:t>
        </w:r>
        <w:r>
          <w:rPr>
            <w:lang w:val="pl"/>
          </w:rPr>
          <w:t>,</w:t>
        </w:r>
      </w:hyperlink>
      <w:r w:rsidR="00F343C9">
        <w:rPr>
          <w:lang w:val="pl"/>
        </w:rPr>
        <w:t xml:space="preserve"> § </w:t>
      </w:r>
      <w:r>
        <w:rPr>
          <w:lang w:val="pl"/>
        </w:rPr>
        <w:t>33);</w:t>
      </w:r>
    </w:p>
    <w:p w:rsidR="00B71A20" w:rsidRPr="000625F6" w:rsidRDefault="000425B4" w:rsidP="00115011">
      <w:pPr>
        <w:pStyle w:val="Teksttreci0"/>
        <w:numPr>
          <w:ilvl w:val="0"/>
          <w:numId w:val="71"/>
        </w:numPr>
        <w:tabs>
          <w:tab w:val="left" w:pos="861"/>
        </w:tabs>
        <w:spacing w:after="60"/>
        <w:ind w:left="860" w:hanging="280"/>
        <w:jc w:val="both"/>
        <w:rPr>
          <w:lang w:val="pl-PL"/>
        </w:rPr>
      </w:pPr>
      <w:r>
        <w:rPr>
          <w:lang w:val="pl"/>
        </w:rPr>
        <w:t xml:space="preserve">wykorzystanie dowodów uzyskanych w wyniku złego traktowania mającego miejsce przed datą początkową do wydawania orzeczeń po tej dacie </w:t>
      </w:r>
      <w:hyperlink r:id="rId1545" w:history="1">
        <w:r>
          <w:rPr>
            <w:lang w:val="pl"/>
          </w:rPr>
          <w:t>(</w:t>
        </w:r>
        <w:r>
          <w:rPr>
            <w:i/>
            <w:iCs/>
            <w:color w:val="0072BC"/>
            <w:lang w:val="pl"/>
          </w:rPr>
          <w:t>Harutyunyan p. Armenii</w:t>
        </w:r>
        <w:r>
          <w:rPr>
            <w:lang w:val="pl"/>
          </w:rPr>
          <w:t>,</w:t>
        </w:r>
      </w:hyperlink>
      <w:r>
        <w:rPr>
          <w:lang w:val="pl"/>
        </w:rPr>
        <w:t xml:space="preserve"> § 50);</w:t>
      </w:r>
    </w:p>
    <w:p w:rsidR="00B71A20" w:rsidRPr="000625F6" w:rsidRDefault="000425B4" w:rsidP="00115011">
      <w:pPr>
        <w:pStyle w:val="Teksttreci0"/>
        <w:numPr>
          <w:ilvl w:val="0"/>
          <w:numId w:val="71"/>
        </w:numPr>
        <w:tabs>
          <w:tab w:val="left" w:pos="861"/>
        </w:tabs>
        <w:spacing w:after="60"/>
        <w:ind w:left="860" w:hanging="280"/>
        <w:jc w:val="both"/>
        <w:rPr>
          <w:lang w:val="pl-PL"/>
        </w:rPr>
      </w:pPr>
      <w:r>
        <w:rPr>
          <w:lang w:val="pl"/>
        </w:rPr>
        <w:t xml:space="preserve">postępowanie w sprawie stwierdzenia nieważności tytułu własności wszczęte przed datą początkową, lecz zakończone później </w:t>
      </w:r>
      <w:hyperlink r:id="rId1546" w:history="1">
        <w:r>
          <w:rPr>
            <w:lang w:val="pl"/>
          </w:rPr>
          <w:t>(</w:t>
        </w:r>
        <w:r>
          <w:rPr>
            <w:i/>
            <w:iCs/>
            <w:color w:val="0072BC"/>
            <w:lang w:val="pl"/>
          </w:rPr>
          <w:t>Turgut i Inni p. Turcji</w:t>
        </w:r>
        <w:r>
          <w:rPr>
            <w:lang w:val="pl"/>
          </w:rPr>
          <w:t>,</w:t>
        </w:r>
      </w:hyperlink>
      <w:r>
        <w:rPr>
          <w:lang w:val="pl"/>
        </w:rPr>
        <w:t xml:space="preserve"> § 73);</w:t>
      </w:r>
    </w:p>
    <w:p w:rsidR="00B71A20" w:rsidRPr="000625F6" w:rsidRDefault="000425B4" w:rsidP="00115011">
      <w:pPr>
        <w:pStyle w:val="Teksttreci0"/>
        <w:numPr>
          <w:ilvl w:val="0"/>
          <w:numId w:val="71"/>
        </w:numPr>
        <w:tabs>
          <w:tab w:val="left" w:pos="861"/>
        </w:tabs>
        <w:ind w:left="860" w:hanging="280"/>
        <w:jc w:val="both"/>
        <w:rPr>
          <w:lang w:val="pl-PL"/>
        </w:rPr>
      </w:pPr>
      <w:r>
        <w:rPr>
          <w:lang w:val="pl"/>
        </w:rPr>
        <w:t xml:space="preserve">data ostatecznego wygaśnięcia tytułu własności </w:t>
      </w:r>
      <w:hyperlink r:id="rId1547" w:history="1">
        <w:r>
          <w:rPr>
            <w:lang w:val="pl"/>
          </w:rPr>
          <w:t>(</w:t>
        </w:r>
        <w:r>
          <w:rPr>
            <w:i/>
            <w:iCs/>
            <w:color w:val="0072BC"/>
            <w:lang w:val="pl"/>
          </w:rPr>
          <w:t>Fener Rum Patrikliği (Patriarchat Ekumeniczny)</w:t>
        </w:r>
      </w:hyperlink>
      <w:r>
        <w:rPr>
          <w:i/>
          <w:iCs/>
          <w:color w:val="0072BC"/>
          <w:lang w:val="pl"/>
        </w:rPr>
        <w:t xml:space="preserve"> </w:t>
      </w:r>
      <w:hyperlink r:id="rId1548" w:history="1">
        <w:r>
          <w:rPr>
            <w:i/>
            <w:iCs/>
            <w:color w:val="0072BC"/>
            <w:lang w:val="pl"/>
          </w:rPr>
          <w:t xml:space="preserve">p. Turcji </w:t>
        </w:r>
      </w:hyperlink>
      <w:r>
        <w:rPr>
          <w:lang w:val="pl"/>
        </w:rPr>
        <w:t>(dec.)).</w:t>
      </w:r>
    </w:p>
    <w:p w:rsidR="00B71A20" w:rsidRDefault="000425B4" w:rsidP="00115011">
      <w:pPr>
        <w:pStyle w:val="Teksttreci0"/>
        <w:numPr>
          <w:ilvl w:val="0"/>
          <w:numId w:val="70"/>
        </w:numPr>
        <w:tabs>
          <w:tab w:val="left" w:pos="500"/>
        </w:tabs>
        <w:jc w:val="both"/>
      </w:pPr>
      <w:r>
        <w:rPr>
          <w:lang w:val="pl"/>
        </w:rPr>
        <w:t>Patrz też:</w:t>
      </w:r>
    </w:p>
    <w:p w:rsidR="00B71A20" w:rsidRPr="000625F6" w:rsidRDefault="000425B4" w:rsidP="00115011">
      <w:pPr>
        <w:pStyle w:val="Teksttreci0"/>
        <w:numPr>
          <w:ilvl w:val="0"/>
          <w:numId w:val="72"/>
        </w:numPr>
        <w:tabs>
          <w:tab w:val="left" w:pos="861"/>
        </w:tabs>
        <w:spacing w:after="60"/>
        <w:ind w:left="860" w:hanging="280"/>
        <w:jc w:val="both"/>
        <w:rPr>
          <w:lang w:val="pl-PL"/>
        </w:rPr>
      </w:pPr>
      <w:r>
        <w:rPr>
          <w:lang w:val="pl"/>
        </w:rPr>
        <w:t xml:space="preserve">skazanie skarżącego </w:t>
      </w:r>
      <w:r>
        <w:rPr>
          <w:i/>
          <w:iCs/>
          <w:lang w:val="pl"/>
        </w:rPr>
        <w:t>in absentia</w:t>
      </w:r>
      <w:r>
        <w:rPr>
          <w:lang w:val="pl"/>
        </w:rPr>
        <w:t xml:space="preserve"> przez greckie sądy przed złożeniem przez Grecję deklaracji na </w:t>
      </w:r>
      <w:r>
        <w:rPr>
          <w:lang w:val="pl"/>
        </w:rPr>
        <w:lastRenderedPageBreak/>
        <w:t xml:space="preserve">mocy art. 25 Konwencji, mimo ostatecznie nieskutecznych odwołań od wyroku skazującego złożonych po tej dacie </w:t>
      </w:r>
      <w:hyperlink r:id="rId1549" w:history="1">
        <w:r>
          <w:rPr>
            <w:lang w:val="pl"/>
          </w:rPr>
          <w:t>(</w:t>
        </w:r>
        <w:r>
          <w:rPr>
            <w:i/>
            <w:iCs/>
            <w:color w:val="0072BC"/>
            <w:lang w:val="pl"/>
          </w:rPr>
          <w:t>Stamoulakatos p. Grecji</w:t>
        </w:r>
        <w:r>
          <w:rPr>
            <w:color w:val="0072BC"/>
            <w:lang w:val="pl"/>
          </w:rPr>
          <w:t xml:space="preserve"> </w:t>
        </w:r>
        <w:r>
          <w:rPr>
            <w:i/>
            <w:iCs/>
            <w:color w:val="0072BC"/>
            <w:lang w:val="pl"/>
          </w:rPr>
          <w:t>(nr 1)</w:t>
        </w:r>
        <w:r>
          <w:rPr>
            <w:lang w:val="pl"/>
          </w:rPr>
          <w:t>,</w:t>
        </w:r>
      </w:hyperlink>
      <w:r>
        <w:rPr>
          <w:lang w:val="pl"/>
        </w:rPr>
        <w:t xml:space="preserve"> § 33);</w:t>
      </w:r>
    </w:p>
    <w:p w:rsidR="00B71A20" w:rsidRPr="000625F6" w:rsidRDefault="000425B4" w:rsidP="00115011">
      <w:pPr>
        <w:pStyle w:val="Teksttreci0"/>
        <w:numPr>
          <w:ilvl w:val="0"/>
          <w:numId w:val="72"/>
        </w:numPr>
        <w:tabs>
          <w:tab w:val="left" w:pos="861"/>
        </w:tabs>
        <w:spacing w:after="60"/>
        <w:ind w:left="860" w:hanging="280"/>
        <w:jc w:val="both"/>
        <w:rPr>
          <w:lang w:val="pl-PL"/>
        </w:rPr>
      </w:pPr>
      <w:r>
        <w:rPr>
          <w:lang w:val="pl"/>
        </w:rPr>
        <w:t xml:space="preserve">dorozumiana decyzja Centralnej Komisji Wyborczej podjęta przed ratyfikacją, odrzucająca prośbę skarżącego o podpisanie wniosku bez umieszczania stempla w paszporcie, podczas gdy postępowanie wszczęte z tego tytułu było prowadzone po tej dacie </w:t>
      </w:r>
      <w:hyperlink r:id="rId1550" w:history="1">
        <w:r>
          <w:rPr>
            <w:lang w:val="pl"/>
          </w:rPr>
          <w:t>(</w:t>
        </w:r>
        <w:r>
          <w:rPr>
            <w:i/>
            <w:iCs/>
            <w:color w:val="0072BC"/>
            <w:lang w:val="pl"/>
          </w:rPr>
          <w:t xml:space="preserve">Kadiķis p. Łotwie </w:t>
        </w:r>
      </w:hyperlink>
      <w:r>
        <w:rPr>
          <w:lang w:val="pl"/>
        </w:rPr>
        <w:t>(dec.));</w:t>
      </w:r>
    </w:p>
    <w:p w:rsidR="00B71A20" w:rsidRPr="000625F6" w:rsidRDefault="000425B4" w:rsidP="00115011">
      <w:pPr>
        <w:pStyle w:val="Teksttreci0"/>
        <w:numPr>
          <w:ilvl w:val="0"/>
          <w:numId w:val="72"/>
        </w:numPr>
        <w:tabs>
          <w:tab w:val="left" w:pos="861"/>
        </w:tabs>
        <w:spacing w:after="60"/>
        <w:ind w:left="860" w:hanging="280"/>
        <w:jc w:val="both"/>
        <w:rPr>
          <w:lang w:val="pl-PL"/>
        </w:rPr>
      </w:pPr>
      <w:r>
        <w:rPr>
          <w:lang w:val="pl"/>
        </w:rPr>
        <w:t xml:space="preserve">zwolnienie skarżącego z pracy i wszczęcie przez niego postępowania cywilnego przed ratyfikacją, a następnie wydanie wyroku przez Trybunał Konstytucyjny po tej dacie </w:t>
      </w:r>
      <w:hyperlink r:id="rId1551" w:history="1">
        <w:r>
          <w:rPr>
            <w:lang w:val="pl"/>
          </w:rPr>
          <w:t>(</w:t>
        </w:r>
        <w:r>
          <w:rPr>
            <w:i/>
            <w:iCs/>
            <w:color w:val="0072BC"/>
            <w:lang w:val="pl"/>
          </w:rPr>
          <w:t xml:space="preserve">Jovanović p. Chorwacji </w:t>
        </w:r>
      </w:hyperlink>
      <w:r>
        <w:rPr>
          <w:lang w:val="pl"/>
        </w:rPr>
        <w:t>(dec.));</w:t>
      </w:r>
    </w:p>
    <w:p w:rsidR="00B71A20" w:rsidRPr="000625F6" w:rsidRDefault="000425B4" w:rsidP="00115011">
      <w:pPr>
        <w:pStyle w:val="Teksttreci0"/>
        <w:numPr>
          <w:ilvl w:val="0"/>
          <w:numId w:val="72"/>
        </w:numPr>
        <w:tabs>
          <w:tab w:val="left" w:pos="861"/>
        </w:tabs>
        <w:spacing w:after="60"/>
        <w:ind w:left="860" w:hanging="280"/>
        <w:jc w:val="both"/>
        <w:rPr>
          <w:lang w:val="pl-PL"/>
        </w:rPr>
      </w:pPr>
      <w:r>
        <w:rPr>
          <w:lang w:val="pl"/>
        </w:rPr>
        <w:t xml:space="preserve">rozporządzenie ministra nakazujące przekazanie kontroli nad spółką skarżących komisji wyznaczonej przez Ministra Gospodarki, co pozbawiło ich prawa dostępu do sądu, podczas gdy wyrok Sądu Najwyższego oddalający apelację skarżących został wydany po dacie początkowej </w:t>
      </w:r>
      <w:hyperlink r:id="rId1552" w:history="1">
        <w:r>
          <w:rPr>
            <w:lang w:val="pl"/>
          </w:rPr>
          <w:t>(</w:t>
        </w:r>
        <w:r>
          <w:rPr>
            <w:i/>
            <w:iCs/>
            <w:color w:val="0072BC"/>
            <w:lang w:val="pl"/>
          </w:rPr>
          <w:t>Kefalas i Inni p. Grecji</w:t>
        </w:r>
        <w:r>
          <w:rPr>
            <w:lang w:val="pl"/>
          </w:rPr>
          <w:t>,</w:t>
        </w:r>
      </w:hyperlink>
      <w:r>
        <w:rPr>
          <w:lang w:val="pl"/>
        </w:rPr>
        <w:t xml:space="preserve"> § 45);</w:t>
      </w:r>
    </w:p>
    <w:p w:rsidR="00B71A20" w:rsidRPr="000625F6" w:rsidRDefault="000425B4" w:rsidP="00115011">
      <w:pPr>
        <w:pStyle w:val="Teksttreci0"/>
        <w:numPr>
          <w:ilvl w:val="0"/>
          <w:numId w:val="72"/>
        </w:numPr>
        <w:tabs>
          <w:tab w:val="left" w:pos="861"/>
        </w:tabs>
        <w:spacing w:after="80"/>
        <w:ind w:left="860" w:hanging="280"/>
        <w:jc w:val="both"/>
        <w:rPr>
          <w:lang w:val="pl-PL"/>
        </w:rPr>
      </w:pPr>
      <w:r>
        <w:rPr>
          <w:lang w:val="pl"/>
        </w:rPr>
        <w:t>skazanie skarżącego po złożeniu stosownej deklaracji na moc</w:t>
      </w:r>
      <w:r w:rsidR="00F343C9">
        <w:rPr>
          <w:lang w:val="pl"/>
        </w:rPr>
        <w:t>y art. 46 Konwencji w związku z </w:t>
      </w:r>
      <w:r>
        <w:rPr>
          <w:lang w:val="pl"/>
        </w:rPr>
        <w:t xml:space="preserve">oświadczeniami przedstawionymi prasie przed tą datą </w:t>
      </w:r>
      <w:hyperlink r:id="rId1553" w:history="1">
        <w:r>
          <w:rPr>
            <w:lang w:val="pl"/>
          </w:rPr>
          <w:t>(</w:t>
        </w:r>
        <w:r>
          <w:rPr>
            <w:i/>
            <w:iCs/>
            <w:color w:val="0072BC"/>
            <w:lang w:val="pl"/>
          </w:rPr>
          <w:t>Zana p. Turcji</w:t>
        </w:r>
        <w:r>
          <w:rPr>
            <w:lang w:val="pl"/>
          </w:rPr>
          <w:t>,</w:t>
        </w:r>
      </w:hyperlink>
      <w:r>
        <w:rPr>
          <w:lang w:val="pl"/>
        </w:rPr>
        <w:t xml:space="preserve"> § 42);</w:t>
      </w:r>
    </w:p>
    <w:p w:rsidR="00B71A20" w:rsidRPr="000625F6" w:rsidRDefault="000425B4" w:rsidP="00115011">
      <w:pPr>
        <w:pStyle w:val="Teksttreci0"/>
        <w:numPr>
          <w:ilvl w:val="0"/>
          <w:numId w:val="72"/>
        </w:numPr>
        <w:tabs>
          <w:tab w:val="left" w:pos="878"/>
        </w:tabs>
        <w:ind w:left="880" w:hanging="280"/>
        <w:jc w:val="both"/>
        <w:rPr>
          <w:lang w:val="pl-PL"/>
        </w:rPr>
      </w:pPr>
      <w:r>
        <w:rPr>
          <w:lang w:val="pl"/>
        </w:rPr>
        <w:t xml:space="preserve">przeszukanie terenu firmy skarżących i zajęcie dokumentów, chociaż dalsze postępowanie miało miejsce po ratyfikacji </w:t>
      </w:r>
      <w:hyperlink r:id="rId1554" w:history="1">
        <w:r>
          <w:rPr>
            <w:lang w:val="pl"/>
          </w:rPr>
          <w:t>(</w:t>
        </w:r>
        <w:r>
          <w:rPr>
            <w:i/>
            <w:iCs/>
            <w:color w:val="0072BC"/>
            <w:lang w:val="pl"/>
          </w:rPr>
          <w:t>Veeber p. Estonii (nr 1)</w:t>
        </w:r>
        <w:r>
          <w:rPr>
            <w:lang w:val="pl"/>
          </w:rPr>
          <w:t>,</w:t>
        </w:r>
      </w:hyperlink>
      <w:r>
        <w:rPr>
          <w:lang w:val="pl"/>
        </w:rPr>
        <w:t xml:space="preserve"> § 55); patrz również</w:t>
      </w:r>
      <w:hyperlink r:id="rId1555" w:history="1">
        <w:r>
          <w:rPr>
            <w:i/>
            <w:iCs/>
            <w:lang w:val="pl"/>
          </w:rPr>
          <w:t xml:space="preserve"> </w:t>
        </w:r>
        <w:r w:rsidR="00F343C9">
          <w:rPr>
            <w:i/>
            <w:iCs/>
            <w:color w:val="0072BC"/>
            <w:lang w:val="pl"/>
          </w:rPr>
          <w:t>Kikots i Kikota p. </w:t>
        </w:r>
        <w:r>
          <w:rPr>
            <w:i/>
            <w:iCs/>
            <w:color w:val="0072BC"/>
            <w:lang w:val="pl"/>
          </w:rPr>
          <w:t xml:space="preserve">Łotwie </w:t>
        </w:r>
      </w:hyperlink>
      <w:r>
        <w:rPr>
          <w:lang w:val="pl"/>
        </w:rPr>
        <w:t>(dec.)).</w:t>
      </w:r>
    </w:p>
    <w:p w:rsidR="00B71A20" w:rsidRPr="000625F6" w:rsidRDefault="000425B4" w:rsidP="00115011">
      <w:pPr>
        <w:pStyle w:val="Teksttreci0"/>
        <w:numPr>
          <w:ilvl w:val="0"/>
          <w:numId w:val="70"/>
        </w:numPr>
        <w:tabs>
          <w:tab w:val="left" w:pos="514"/>
        </w:tabs>
        <w:jc w:val="both"/>
        <w:rPr>
          <w:lang w:val="pl-PL"/>
        </w:rPr>
      </w:pPr>
      <w:r>
        <w:rPr>
          <w:lang w:val="pl"/>
        </w:rPr>
        <w:t>Jeśli jednak skarżący złoży odrębną skargę co do zgodno</w:t>
      </w:r>
      <w:r w:rsidR="00F343C9">
        <w:rPr>
          <w:lang w:val="pl"/>
        </w:rPr>
        <w:t>ści późniejszego postępowania z </w:t>
      </w:r>
      <w:r>
        <w:rPr>
          <w:lang w:val="pl"/>
        </w:rPr>
        <w:t xml:space="preserve">postanowieniami Konwencji, Trybunał może uznać, że posiada jurysdykcję </w:t>
      </w:r>
      <w:r>
        <w:rPr>
          <w:i/>
          <w:iCs/>
          <w:lang w:val="pl"/>
        </w:rPr>
        <w:t>ratione temporis</w:t>
      </w:r>
      <w:r w:rsidR="00F343C9">
        <w:rPr>
          <w:lang w:val="pl"/>
        </w:rPr>
        <w:t xml:space="preserve"> w </w:t>
      </w:r>
      <w:r>
        <w:rPr>
          <w:lang w:val="pl"/>
        </w:rPr>
        <w:t>odniesieniu do przedmiotowych środków (kasacja apelacji do Sądu Najwyższego przeciwko wyrokowi sądu pierwszej instancji nakazującemu przerwanie produkcji i dystrybucji gazety w sprawie</w:t>
      </w:r>
      <w:hyperlink r:id="rId1556" w:history="1">
        <w:r>
          <w:rPr>
            <w:lang w:val="pl"/>
          </w:rPr>
          <w:t xml:space="preserve"> </w:t>
        </w:r>
        <w:r>
          <w:rPr>
            <w:i/>
            <w:iCs/>
            <w:color w:val="0072BC"/>
            <w:lang w:val="pl"/>
          </w:rPr>
          <w:t>Kerimov</w:t>
        </w:r>
      </w:hyperlink>
      <w:r>
        <w:rPr>
          <w:i/>
          <w:iCs/>
          <w:color w:val="0072BC"/>
          <w:lang w:val="pl"/>
        </w:rPr>
        <w:t xml:space="preserve"> </w:t>
      </w:r>
      <w:hyperlink r:id="rId1557" w:history="1">
        <w:r>
          <w:rPr>
            <w:i/>
            <w:iCs/>
            <w:color w:val="0072BC"/>
            <w:lang w:val="pl"/>
          </w:rPr>
          <w:t xml:space="preserve">p. Azerbejdżanowi </w:t>
        </w:r>
      </w:hyperlink>
      <w:r>
        <w:rPr>
          <w:lang w:val="pl"/>
        </w:rPr>
        <w:t>(dec.); nielegalny podział aktywów banku nastąpił przed datą początkową, a roszczenie o naprawienie szkody wyrządzonej czynem niedozwolonym zostało wniesione po tej dacie w sprawie</w:t>
      </w:r>
      <w:hyperlink r:id="rId1558" w:history="1">
        <w:r>
          <w:rPr>
            <w:lang w:val="pl"/>
          </w:rPr>
          <w:t xml:space="preserve"> </w:t>
        </w:r>
        <w:r>
          <w:rPr>
            <w:i/>
            <w:iCs/>
            <w:color w:val="0072BC"/>
            <w:lang w:val="pl"/>
          </w:rPr>
          <w:t xml:space="preserve">Kotov p. Rosji </w:t>
        </w:r>
      </w:hyperlink>
      <w:r>
        <w:rPr>
          <w:lang w:val="pl"/>
        </w:rPr>
        <w:t>[WI], §§ 68-69).</w:t>
      </w:r>
    </w:p>
    <w:p w:rsidR="00B71A20" w:rsidRPr="000625F6" w:rsidRDefault="000425B4" w:rsidP="00115011">
      <w:pPr>
        <w:pStyle w:val="Teksttreci0"/>
        <w:numPr>
          <w:ilvl w:val="0"/>
          <w:numId w:val="70"/>
        </w:numPr>
        <w:tabs>
          <w:tab w:val="left" w:pos="500"/>
        </w:tabs>
        <w:spacing w:after="220"/>
        <w:jc w:val="both"/>
        <w:rPr>
          <w:lang w:val="pl-PL"/>
        </w:rPr>
      </w:pPr>
      <w:bookmarkStart w:id="262" w:name="bookmark266"/>
      <w:r>
        <w:rPr>
          <w:lang w:val="pl"/>
        </w:rPr>
        <w:t>Test i kryteria określone w sprawie</w:t>
      </w:r>
      <w:hyperlink r:id="rId1559" w:history="1">
        <w:r>
          <w:rPr>
            <w:i/>
            <w:iCs/>
            <w:lang w:val="pl"/>
          </w:rPr>
          <w:t xml:space="preserve"> </w:t>
        </w:r>
        <w:r>
          <w:rPr>
            <w:i/>
            <w:iCs/>
            <w:color w:val="0072BC"/>
            <w:lang w:val="pl"/>
          </w:rPr>
          <w:t xml:space="preserve">Blečić p. Chorwacji </w:t>
        </w:r>
      </w:hyperlink>
      <w:r>
        <w:rPr>
          <w:lang w:val="pl"/>
        </w:rPr>
        <w:t xml:space="preserve">[WI] mają charakter ogólny; szczególny charakter określonych praw, takich jak te wskazane w art. 2 i 3 Konwencji, musi zostać uwzględniony przy stosowaniu tych kryteriów </w:t>
      </w:r>
      <w:hyperlink r:id="rId1560" w:history="1">
        <w:r>
          <w:rPr>
            <w:lang w:val="pl"/>
          </w:rPr>
          <w:t>(</w:t>
        </w:r>
        <w:r>
          <w:rPr>
            <w:i/>
            <w:iCs/>
            <w:color w:val="0072BC"/>
            <w:lang w:val="pl"/>
          </w:rPr>
          <w:t xml:space="preserve">Šilih p. Słowenii </w:t>
        </w:r>
      </w:hyperlink>
      <w:r>
        <w:rPr>
          <w:lang w:val="pl"/>
        </w:rPr>
        <w:t>[WI], § 147).</w:t>
      </w:r>
      <w:bookmarkEnd w:id="262"/>
    </w:p>
    <w:p w:rsidR="00B71A20" w:rsidRPr="00180FE3" w:rsidRDefault="00180FE3" w:rsidP="00180FE3">
      <w:pPr>
        <w:pStyle w:val="Nagwek31"/>
        <w:keepNext/>
        <w:keepLines/>
        <w:tabs>
          <w:tab w:val="left" w:pos="327"/>
        </w:tabs>
        <w:spacing w:after="220"/>
        <w:jc w:val="both"/>
        <w:rPr>
          <w:lang w:val="pl-PL"/>
        </w:rPr>
      </w:pPr>
      <w:bookmarkStart w:id="263" w:name="bookmark267"/>
      <w:bookmarkStart w:id="264" w:name="_Toc126335682"/>
      <w:bookmarkStart w:id="265" w:name="_Toc126660641"/>
      <w:r>
        <w:rPr>
          <w:lang w:val="pl"/>
        </w:rPr>
        <w:t xml:space="preserve">3.  </w:t>
      </w:r>
      <w:r w:rsidR="000425B4">
        <w:rPr>
          <w:lang w:val="pl"/>
        </w:rPr>
        <w:t>Sytuacje szczególne</w:t>
      </w:r>
      <w:bookmarkEnd w:id="263"/>
      <w:bookmarkEnd w:id="264"/>
      <w:bookmarkEnd w:id="265"/>
    </w:p>
    <w:p w:rsidR="00B71A20" w:rsidRPr="00180FE3" w:rsidRDefault="002A381E" w:rsidP="002A381E">
      <w:pPr>
        <w:pStyle w:val="Nagwek41"/>
        <w:keepNext/>
        <w:keepLines/>
        <w:tabs>
          <w:tab w:val="left" w:pos="324"/>
        </w:tabs>
        <w:jc w:val="both"/>
        <w:rPr>
          <w:lang w:val="pl-PL"/>
        </w:rPr>
      </w:pPr>
      <w:bookmarkStart w:id="266" w:name="_Toc126335683"/>
      <w:bookmarkStart w:id="267" w:name="_Toc126660642"/>
      <w:r>
        <w:rPr>
          <w:lang w:val="pl"/>
        </w:rPr>
        <w:t xml:space="preserve">a.  </w:t>
      </w:r>
      <w:r w:rsidR="000425B4">
        <w:rPr>
          <w:lang w:val="pl"/>
        </w:rPr>
        <w:t>Utrzymujące się naruszenia</w:t>
      </w:r>
      <w:bookmarkEnd w:id="266"/>
      <w:bookmarkEnd w:id="267"/>
    </w:p>
    <w:p w:rsidR="00B71A20" w:rsidRPr="000625F6" w:rsidRDefault="000425B4" w:rsidP="00180FE3">
      <w:pPr>
        <w:pStyle w:val="Teksttreci0"/>
        <w:numPr>
          <w:ilvl w:val="0"/>
          <w:numId w:val="73"/>
        </w:numPr>
        <w:tabs>
          <w:tab w:val="left" w:pos="514"/>
        </w:tabs>
        <w:jc w:val="both"/>
        <w:rPr>
          <w:lang w:val="pl-PL"/>
        </w:rPr>
      </w:pPr>
      <w:r>
        <w:rPr>
          <w:lang w:val="pl"/>
        </w:rPr>
        <w:t xml:space="preserve">Instytucje Konwencji dopuszczają rozszerzenie ich jurysdykcji </w:t>
      </w:r>
      <w:r>
        <w:rPr>
          <w:i/>
          <w:iCs/>
          <w:lang w:val="pl"/>
        </w:rPr>
        <w:t>ratione temporis</w:t>
      </w:r>
      <w:r>
        <w:rPr>
          <w:lang w:val="pl"/>
        </w:rPr>
        <w:t xml:space="preserve"> o sytuacje związane z utrzymującym się naruszeniem, które zaistniało przed wejściem w życie Konwencji, ale utrzymuje się po tej dacie </w:t>
      </w:r>
      <w:hyperlink r:id="rId1561" w:history="1">
        <w:r>
          <w:rPr>
            <w:lang w:val="pl"/>
          </w:rPr>
          <w:t>(</w:t>
        </w:r>
        <w:r>
          <w:rPr>
            <w:i/>
            <w:iCs/>
            <w:color w:val="0072BC"/>
            <w:lang w:val="pl"/>
          </w:rPr>
          <w:t>De Becker p. Belgii</w:t>
        </w:r>
        <w:r>
          <w:rPr>
            <w:lang w:val="pl"/>
          </w:rPr>
          <w:t>,</w:t>
        </w:r>
      </w:hyperlink>
      <w:r>
        <w:rPr>
          <w:lang w:val="pl"/>
        </w:rPr>
        <w:t xml:space="preserve"> decyzja Komisji).</w:t>
      </w:r>
    </w:p>
    <w:p w:rsidR="00B71A20" w:rsidRPr="000625F6" w:rsidRDefault="000425B4" w:rsidP="00115011">
      <w:pPr>
        <w:pStyle w:val="Teksttreci0"/>
        <w:numPr>
          <w:ilvl w:val="0"/>
          <w:numId w:val="73"/>
        </w:numPr>
        <w:tabs>
          <w:tab w:val="left" w:pos="500"/>
        </w:tabs>
        <w:jc w:val="both"/>
        <w:rPr>
          <w:lang w:val="pl-PL"/>
        </w:rPr>
      </w:pPr>
      <w:r>
        <w:rPr>
          <w:lang w:val="pl"/>
        </w:rPr>
        <w:t>Trybunał zastosował to podejście w kilku sprawach dotyczących prawa własności:</w:t>
      </w:r>
    </w:p>
    <w:p w:rsidR="00B71A20" w:rsidRPr="000625F6" w:rsidRDefault="000425B4" w:rsidP="00115011">
      <w:pPr>
        <w:pStyle w:val="Teksttreci0"/>
        <w:numPr>
          <w:ilvl w:val="0"/>
          <w:numId w:val="74"/>
        </w:numPr>
        <w:tabs>
          <w:tab w:val="left" w:pos="878"/>
        </w:tabs>
        <w:spacing w:after="60"/>
        <w:ind w:left="880" w:hanging="280"/>
        <w:jc w:val="both"/>
        <w:rPr>
          <w:lang w:val="pl-PL"/>
        </w:rPr>
      </w:pPr>
      <w:r>
        <w:rPr>
          <w:lang w:val="pl"/>
        </w:rPr>
        <w:t xml:space="preserve">utrzymujące się bezprawne zajmowanie przez Marynarkę Wojenną gruntów należących do skarżących bez odszkodowania </w:t>
      </w:r>
      <w:hyperlink r:id="rId1562" w:history="1">
        <w:r>
          <w:rPr>
            <w:lang w:val="pl"/>
          </w:rPr>
          <w:t>(</w:t>
        </w:r>
        <w:r>
          <w:rPr>
            <w:i/>
            <w:iCs/>
            <w:color w:val="0072BC"/>
            <w:lang w:val="pl"/>
          </w:rPr>
          <w:t>Papamichalopoulos i Inni p. Grecji</w:t>
        </w:r>
        <w:r>
          <w:rPr>
            <w:lang w:val="pl"/>
          </w:rPr>
          <w:t>,</w:t>
        </w:r>
      </w:hyperlink>
      <w:r>
        <w:rPr>
          <w:lang w:val="pl"/>
        </w:rPr>
        <w:t xml:space="preserve"> § 40);</w:t>
      </w:r>
    </w:p>
    <w:p w:rsidR="00B71A20" w:rsidRPr="000625F6" w:rsidRDefault="000425B4" w:rsidP="00115011">
      <w:pPr>
        <w:pStyle w:val="Teksttreci0"/>
        <w:numPr>
          <w:ilvl w:val="0"/>
          <w:numId w:val="74"/>
        </w:numPr>
        <w:tabs>
          <w:tab w:val="left" w:pos="878"/>
        </w:tabs>
        <w:spacing w:after="60"/>
        <w:ind w:left="880" w:hanging="280"/>
        <w:jc w:val="both"/>
        <w:rPr>
          <w:lang w:val="pl-PL"/>
        </w:rPr>
      </w:pPr>
      <w:r>
        <w:rPr>
          <w:lang w:val="pl"/>
        </w:rPr>
        <w:t xml:space="preserve">odmowa dostępu do nieruchomości skarżącego położonej w północnej części Cypru </w:t>
      </w:r>
      <w:hyperlink r:id="rId1563" w:history="1">
        <w:r>
          <w:rPr>
            <w:lang w:val="pl"/>
          </w:rPr>
          <w:t>(</w:t>
        </w:r>
        <w:r>
          <w:rPr>
            <w:i/>
            <w:iCs/>
            <w:color w:val="0072BC"/>
            <w:lang w:val="pl"/>
          </w:rPr>
          <w:t xml:space="preserve">Loizidou p. Turcji </w:t>
        </w:r>
      </w:hyperlink>
      <w:r>
        <w:rPr>
          <w:lang w:val="pl"/>
        </w:rPr>
        <w:t>(przedmiot skargi), §§ 46-47);</w:t>
      </w:r>
    </w:p>
    <w:p w:rsidR="00B71A20" w:rsidRPr="000625F6" w:rsidRDefault="000425B4" w:rsidP="00115011">
      <w:pPr>
        <w:pStyle w:val="Teksttreci0"/>
        <w:numPr>
          <w:ilvl w:val="0"/>
          <w:numId w:val="74"/>
        </w:numPr>
        <w:tabs>
          <w:tab w:val="left" w:pos="878"/>
        </w:tabs>
        <w:spacing w:after="60"/>
        <w:ind w:left="880" w:hanging="280"/>
        <w:jc w:val="both"/>
        <w:rPr>
          <w:lang w:val="pl-PL"/>
        </w:rPr>
      </w:pPr>
      <w:r>
        <w:rPr>
          <w:lang w:val="pl"/>
        </w:rPr>
        <w:t xml:space="preserve">niezapłacenie ostatecznego odszkodowania z tytułu znacjonalizowania nieruchomości </w:t>
      </w:r>
      <w:hyperlink r:id="rId1564" w:history="1">
        <w:r>
          <w:rPr>
            <w:lang w:val="pl"/>
          </w:rPr>
          <w:t>(</w:t>
        </w:r>
        <w:r>
          <w:rPr>
            <w:i/>
            <w:iCs/>
            <w:color w:val="0072BC"/>
            <w:lang w:val="pl"/>
          </w:rPr>
          <w:t>Almeida Garrett, Mascarenhas</w:t>
        </w:r>
      </w:hyperlink>
      <w:r>
        <w:rPr>
          <w:i/>
          <w:iCs/>
          <w:color w:val="0072BC"/>
          <w:lang w:val="pl"/>
        </w:rPr>
        <w:t xml:space="preserve"> </w:t>
      </w:r>
      <w:hyperlink r:id="rId1565" w:history="1">
        <w:r>
          <w:rPr>
            <w:i/>
            <w:iCs/>
            <w:color w:val="0072BC"/>
            <w:lang w:val="pl"/>
          </w:rPr>
          <w:t>Falcão i Inni p. Portugalii</w:t>
        </w:r>
        <w:r>
          <w:rPr>
            <w:lang w:val="pl"/>
          </w:rPr>
          <w:t>,</w:t>
        </w:r>
      </w:hyperlink>
      <w:r>
        <w:rPr>
          <w:lang w:val="pl"/>
        </w:rPr>
        <w:t xml:space="preserve"> § 43);</w:t>
      </w:r>
    </w:p>
    <w:p w:rsidR="00B71A20" w:rsidRPr="000625F6" w:rsidRDefault="000425B4" w:rsidP="00115011">
      <w:pPr>
        <w:pStyle w:val="Teksttreci0"/>
        <w:numPr>
          <w:ilvl w:val="0"/>
          <w:numId w:val="74"/>
        </w:numPr>
        <w:tabs>
          <w:tab w:val="left" w:pos="878"/>
        </w:tabs>
        <w:spacing w:after="60"/>
        <w:ind w:left="880" w:hanging="280"/>
        <w:jc w:val="both"/>
        <w:rPr>
          <w:lang w:val="pl-PL"/>
        </w:rPr>
      </w:pPr>
      <w:r>
        <w:rPr>
          <w:lang w:val="pl"/>
        </w:rPr>
        <w:t>utrzymujący się brak możliwości odzyskania przez skar</w:t>
      </w:r>
      <w:r w:rsidR="00F343C9">
        <w:rPr>
          <w:lang w:val="pl"/>
        </w:rPr>
        <w:t>żącą posiadania nieruchomości i </w:t>
      </w:r>
      <w:r>
        <w:rPr>
          <w:lang w:val="pl"/>
        </w:rPr>
        <w:t>otrzymywania odpowiedniego poziomu czynszu z tytułu</w:t>
      </w:r>
      <w:r w:rsidR="00F343C9">
        <w:rPr>
          <w:lang w:val="pl"/>
        </w:rPr>
        <w:t xml:space="preserve"> wynajmu jej domu, wynikający z </w:t>
      </w:r>
      <w:r>
        <w:rPr>
          <w:lang w:val="pl"/>
        </w:rPr>
        <w:t xml:space="preserve">przepisów, które obowiązywały przed i po ratyfikacji przez Polskę Protokołu nr 1 </w:t>
      </w:r>
      <w:hyperlink r:id="rId1566" w:history="1">
        <w:r>
          <w:rPr>
            <w:lang w:val="pl"/>
          </w:rPr>
          <w:t>(</w:t>
        </w:r>
        <w:r>
          <w:rPr>
            <w:i/>
            <w:iCs/>
            <w:color w:val="0072BC"/>
            <w:lang w:val="pl"/>
          </w:rPr>
          <w:t>Hutten-Czapska</w:t>
        </w:r>
      </w:hyperlink>
      <w:r>
        <w:rPr>
          <w:i/>
          <w:iCs/>
          <w:color w:val="0072BC"/>
          <w:lang w:val="pl"/>
        </w:rPr>
        <w:t xml:space="preserve"> </w:t>
      </w:r>
      <w:hyperlink r:id="rId1567" w:history="1">
        <w:r>
          <w:rPr>
            <w:i/>
            <w:iCs/>
            <w:color w:val="0072BC"/>
            <w:lang w:val="pl"/>
          </w:rPr>
          <w:t xml:space="preserve">p. Polsce </w:t>
        </w:r>
      </w:hyperlink>
      <w:r>
        <w:rPr>
          <w:lang w:val="pl"/>
        </w:rPr>
        <w:t>[WI], §§ 152-153);</w:t>
      </w:r>
    </w:p>
    <w:p w:rsidR="00B71A20" w:rsidRPr="000625F6" w:rsidRDefault="000425B4" w:rsidP="00115011">
      <w:pPr>
        <w:pStyle w:val="Teksttreci0"/>
        <w:numPr>
          <w:ilvl w:val="0"/>
          <w:numId w:val="74"/>
        </w:numPr>
        <w:tabs>
          <w:tab w:val="left" w:pos="878"/>
        </w:tabs>
        <w:ind w:left="880" w:hanging="280"/>
        <w:jc w:val="both"/>
        <w:rPr>
          <w:lang w:val="pl-PL"/>
        </w:rPr>
      </w:pPr>
      <w:r>
        <w:rPr>
          <w:lang w:val="pl"/>
        </w:rPr>
        <w:t xml:space="preserve">utrzymujące się niewykonywanie wyroku sądu krajowego, który był korzystny dla skarżącego w sporze z państwem </w:t>
      </w:r>
      <w:hyperlink r:id="rId1568" w:history="1">
        <w:r>
          <w:rPr>
            <w:lang w:val="pl"/>
          </w:rPr>
          <w:t>(</w:t>
        </w:r>
        <w:r>
          <w:rPr>
            <w:i/>
            <w:iCs/>
            <w:color w:val="0072BC"/>
            <w:lang w:val="pl"/>
          </w:rPr>
          <w:t>Krstić p. Serbii</w:t>
        </w:r>
        <w:r>
          <w:rPr>
            <w:lang w:val="pl"/>
          </w:rPr>
          <w:t>,</w:t>
        </w:r>
      </w:hyperlink>
      <w:r>
        <w:rPr>
          <w:lang w:val="pl"/>
        </w:rPr>
        <w:t xml:space="preserve"> §§ 63</w:t>
      </w:r>
      <w:r>
        <w:rPr>
          <w:lang w:val="pl"/>
        </w:rPr>
        <w:noBreakHyphen/>
        <w:t>69).</w:t>
      </w:r>
    </w:p>
    <w:p w:rsidR="00B71A20" w:rsidRPr="00F343C9" w:rsidRDefault="000425B4" w:rsidP="00115011">
      <w:pPr>
        <w:pStyle w:val="Teksttreci0"/>
        <w:numPr>
          <w:ilvl w:val="0"/>
          <w:numId w:val="73"/>
        </w:numPr>
        <w:tabs>
          <w:tab w:val="left" w:pos="500"/>
        </w:tabs>
        <w:jc w:val="both"/>
        <w:rPr>
          <w:lang w:val="pl-PL"/>
        </w:rPr>
      </w:pPr>
      <w:r>
        <w:rPr>
          <w:lang w:val="pl"/>
        </w:rPr>
        <w:lastRenderedPageBreak/>
        <w:t xml:space="preserve">Ograniczenia: Samo pozbawienie osoby domu lub nieruchomości stanowi zasadniczo „czyn jednorazowy”, a nie utrzymującą się sytuację „pozbawienia” przedmiotowych praw </w:t>
      </w:r>
      <w:hyperlink r:id="rId1569" w:history="1">
        <w:r>
          <w:rPr>
            <w:lang w:val="pl"/>
          </w:rPr>
          <w:t>(</w:t>
        </w:r>
        <w:r>
          <w:rPr>
            <w:i/>
            <w:iCs/>
            <w:color w:val="0072BC"/>
            <w:lang w:val="pl"/>
          </w:rPr>
          <w:t xml:space="preserve">Blečić p. Chorwacji </w:t>
        </w:r>
      </w:hyperlink>
      <w:r>
        <w:rPr>
          <w:lang w:val="pl"/>
        </w:rPr>
        <w:t>[WI], § 86 i cytowane tam odniesienia). W szczególnym przypadku po</w:t>
      </w:r>
      <w:r w:rsidR="00F343C9">
        <w:rPr>
          <w:lang w:val="pl"/>
        </w:rPr>
        <w:t>zbawienia mienia po roku 1945 w </w:t>
      </w:r>
      <w:r>
        <w:rPr>
          <w:lang w:val="pl"/>
        </w:rPr>
        <w:t>ramach minionego reżimu patrz odniesienia w sprawie</w:t>
      </w:r>
      <w:hyperlink r:id="rId1570" w:history="1">
        <w:r>
          <w:rPr>
            <w:lang w:val="pl"/>
          </w:rPr>
          <w:t xml:space="preserve"> </w:t>
        </w:r>
        <w:r>
          <w:rPr>
            <w:i/>
            <w:iCs/>
            <w:color w:val="0072BC"/>
            <w:lang w:val="pl"/>
          </w:rPr>
          <w:t>Preussische</w:t>
        </w:r>
      </w:hyperlink>
      <w:r>
        <w:rPr>
          <w:i/>
          <w:iCs/>
          <w:color w:val="0072BC"/>
          <w:lang w:val="pl"/>
        </w:rPr>
        <w:t xml:space="preserve"> </w:t>
      </w:r>
      <w:hyperlink r:id="rId1571" w:history="1">
        <w:r w:rsidR="00F343C9">
          <w:rPr>
            <w:i/>
            <w:iCs/>
            <w:color w:val="0072BC"/>
            <w:lang w:val="pl"/>
          </w:rPr>
          <w:t>Treuhand GmbH &amp; Co. KG a.A. p. </w:t>
        </w:r>
        <w:r>
          <w:rPr>
            <w:i/>
            <w:iCs/>
            <w:color w:val="0072BC"/>
            <w:lang w:val="pl"/>
          </w:rPr>
          <w:t xml:space="preserve">Polsce </w:t>
        </w:r>
      </w:hyperlink>
      <w:r>
        <w:rPr>
          <w:lang w:val="pl"/>
        </w:rPr>
        <w:t>(dec.), §§ 55-62.</w:t>
      </w:r>
    </w:p>
    <w:p w:rsidR="00B71A20" w:rsidRPr="000625F6" w:rsidRDefault="000425B4" w:rsidP="00115011">
      <w:pPr>
        <w:pStyle w:val="Teksttreci0"/>
        <w:numPr>
          <w:ilvl w:val="0"/>
          <w:numId w:val="73"/>
        </w:numPr>
        <w:tabs>
          <w:tab w:val="left" w:pos="514"/>
        </w:tabs>
        <w:jc w:val="both"/>
        <w:rPr>
          <w:lang w:val="pl-PL"/>
        </w:rPr>
      </w:pPr>
      <w:r>
        <w:rPr>
          <w:lang w:val="pl"/>
        </w:rPr>
        <w:t>Utrzymujący się charakter naruszenia może zostać również ustalony w odniesieniu do każdego innego artykułu Konwencji (art. 2 a wyrok śmierci nałożony na skarżących przed datą początkową, patrz</w:t>
      </w:r>
      <w:hyperlink r:id="rId1572" w:history="1">
        <w:r>
          <w:rPr>
            <w:lang w:val="pl"/>
          </w:rPr>
          <w:t xml:space="preserve"> </w:t>
        </w:r>
        <w:r>
          <w:rPr>
            <w:i/>
            <w:iCs/>
            <w:color w:val="0072BC"/>
            <w:lang w:val="pl"/>
          </w:rPr>
          <w:t xml:space="preserve">Ilaşcu i Inni p. Mołdawii i Rosji </w:t>
        </w:r>
      </w:hyperlink>
      <w:r>
        <w:rPr>
          <w:lang w:val="pl"/>
        </w:rPr>
        <w:t>[WI], §§ 406-408; art. 8 a brak regulacji dotyczącej stałego miejsca zamieszkania osób, które zostały „wymazane” z Rejestru Stałych Mieszkańców przed datą początkową, zob.</w:t>
      </w:r>
      <w:hyperlink r:id="rId1573" w:history="1">
        <w:r>
          <w:rPr>
            <w:lang w:val="pl"/>
          </w:rPr>
          <w:t xml:space="preserve"> </w:t>
        </w:r>
        <w:r>
          <w:rPr>
            <w:i/>
            <w:iCs/>
            <w:color w:val="0072BC"/>
            <w:lang w:val="pl"/>
          </w:rPr>
          <w:t xml:space="preserve">Kurić i Inni p. Słowenii </w:t>
        </w:r>
      </w:hyperlink>
      <w:r>
        <w:rPr>
          <w:lang w:val="pl"/>
        </w:rPr>
        <w:t>[WI], §§ 240-241; zob. też art. 8 a brak możliwości uregulowania kwestii miejsca zamieszkania skarżącego,</w:t>
      </w:r>
      <w:hyperlink r:id="rId1574" w:history="1">
        <w:r>
          <w:rPr>
            <w:lang w:val="pl"/>
          </w:rPr>
          <w:t xml:space="preserve"> </w:t>
        </w:r>
        <w:r>
          <w:rPr>
            <w:i/>
            <w:iCs/>
            <w:color w:val="0072BC"/>
            <w:lang w:val="pl"/>
          </w:rPr>
          <w:t>Hoti p. Chorwacji</w:t>
        </w:r>
        <w:r>
          <w:rPr>
            <w:lang w:val="pl"/>
          </w:rPr>
          <w:t>,</w:t>
        </w:r>
      </w:hyperlink>
      <w:r>
        <w:rPr>
          <w:lang w:val="pl"/>
        </w:rPr>
        <w:t xml:space="preserve"> § 84).</w:t>
      </w:r>
    </w:p>
    <w:p w:rsidR="00B71A20" w:rsidRPr="000625F6" w:rsidRDefault="00290014" w:rsidP="00290014">
      <w:pPr>
        <w:pStyle w:val="Nagwek41"/>
        <w:keepNext/>
        <w:keepLines/>
        <w:tabs>
          <w:tab w:val="left" w:pos="318"/>
        </w:tabs>
        <w:ind w:left="426" w:hanging="426"/>
        <w:jc w:val="both"/>
        <w:rPr>
          <w:lang w:val="pl-PL"/>
        </w:rPr>
      </w:pPr>
      <w:bookmarkStart w:id="268" w:name="bookmark272"/>
      <w:bookmarkStart w:id="269" w:name="_Toc126335684"/>
      <w:bookmarkStart w:id="270" w:name="_Toc126660643"/>
      <w:r>
        <w:rPr>
          <w:lang w:val="pl-PL"/>
        </w:rPr>
        <w:t xml:space="preserve">b.  </w:t>
      </w:r>
      <w:r w:rsidR="000425B4">
        <w:rPr>
          <w:lang w:val="pl"/>
        </w:rPr>
        <w:t>„Trwający” obowiązek proceduralny dotyczący badania zaginięć, które miały miejsce przed datą początkową</w:t>
      </w:r>
      <w:bookmarkEnd w:id="268"/>
      <w:bookmarkEnd w:id="269"/>
      <w:bookmarkEnd w:id="270"/>
    </w:p>
    <w:p w:rsidR="00B71A20" w:rsidRPr="000625F6" w:rsidRDefault="000425B4" w:rsidP="00180FE3">
      <w:pPr>
        <w:pStyle w:val="Teksttreci0"/>
        <w:numPr>
          <w:ilvl w:val="0"/>
          <w:numId w:val="75"/>
        </w:numPr>
        <w:tabs>
          <w:tab w:val="left" w:pos="510"/>
        </w:tabs>
        <w:spacing w:after="220"/>
        <w:jc w:val="both"/>
        <w:rPr>
          <w:lang w:val="pl-PL"/>
        </w:rPr>
      </w:pPr>
      <w:r>
        <w:rPr>
          <w:lang w:val="pl"/>
        </w:rPr>
        <w:t>Zaginięcie nie jest aktem lub zdarzeniem „chwilowym”. Wręcz przeciwnie, Trybunał uważa zaginięcie za odrębne zjawisko, charakteryzujące się trwającym stan</w:t>
      </w:r>
      <w:r w:rsidR="00F343C9">
        <w:rPr>
          <w:lang w:val="pl"/>
        </w:rPr>
        <w:t>em niepewności i niejasności, w </w:t>
      </w:r>
      <w:r>
        <w:rPr>
          <w:lang w:val="pl"/>
        </w:rPr>
        <w:t xml:space="preserve">którym brak jest informacji, a nawet pojawia się celowe zatajanie i ukrywanie tego, co się wydarzyło. Ponadto dalszy brak ustalenia miejsca pobytu i losu zaginionego prowadzi do utrzymującej się sytuacji. Zatem proceduralny obowiązek dochodzenia potencjalnie trwać będzie tak długo, jak los osoby nie zostanie wyjaśniony; utrzymujący się brak przeprowadzenia wymaganego dochodzenia będzie traktowany jako trwające naruszenie, nawet gdy można domniemywać śmierć </w:t>
      </w:r>
      <w:hyperlink r:id="rId1575" w:history="1">
        <w:r>
          <w:rPr>
            <w:lang w:val="pl"/>
          </w:rPr>
          <w:t>(</w:t>
        </w:r>
        <w:r>
          <w:rPr>
            <w:i/>
            <w:iCs/>
            <w:color w:val="0072BC"/>
            <w:lang w:val="pl"/>
          </w:rPr>
          <w:t xml:space="preserve">Varnava i Inni p. Turcji </w:t>
        </w:r>
      </w:hyperlink>
      <w:r>
        <w:rPr>
          <w:lang w:val="pl"/>
        </w:rPr>
        <w:t xml:space="preserve">[WI], §§ 148-149). Odnośnie do powołania się na orzecznictwo w sprawie </w:t>
      </w:r>
      <w:r>
        <w:rPr>
          <w:i/>
          <w:iCs/>
          <w:lang w:val="pl"/>
        </w:rPr>
        <w:t>Varnava</w:t>
      </w:r>
      <w:r>
        <w:rPr>
          <w:lang w:val="pl"/>
        </w:rPr>
        <w:t xml:space="preserve"> patrz</w:t>
      </w:r>
      <w:hyperlink r:id="rId1576" w:history="1">
        <w:r>
          <w:rPr>
            <w:lang w:val="pl"/>
          </w:rPr>
          <w:t xml:space="preserve"> </w:t>
        </w:r>
        <w:r>
          <w:rPr>
            <w:i/>
            <w:iCs/>
            <w:color w:val="0072BC"/>
            <w:lang w:val="pl"/>
          </w:rPr>
          <w:t>Palić p. Bośni i Hercegowinie</w:t>
        </w:r>
        <w:r>
          <w:rPr>
            <w:lang w:val="pl"/>
          </w:rPr>
          <w:t>,</w:t>
        </w:r>
      </w:hyperlink>
      <w:r>
        <w:rPr>
          <w:lang w:val="pl"/>
        </w:rPr>
        <w:t xml:space="preserve"> § 46.</w:t>
      </w:r>
    </w:p>
    <w:p w:rsidR="00B71A20" w:rsidRPr="000625F6" w:rsidRDefault="00290014" w:rsidP="00F343C9">
      <w:pPr>
        <w:pStyle w:val="Nagwek41"/>
        <w:keepNext/>
        <w:keepLines/>
        <w:ind w:left="426" w:hanging="426"/>
        <w:jc w:val="both"/>
        <w:rPr>
          <w:lang w:val="pl-PL"/>
        </w:rPr>
      </w:pPr>
      <w:bookmarkStart w:id="271" w:name="bookmark276"/>
      <w:bookmarkStart w:id="272" w:name="_Toc126335685"/>
      <w:bookmarkStart w:id="273" w:name="_Toc126660644"/>
      <w:r>
        <w:rPr>
          <w:lang w:val="pl-PL"/>
        </w:rPr>
        <w:t xml:space="preserve">c.  </w:t>
      </w:r>
      <w:r w:rsidR="000425B4">
        <w:rPr>
          <w:lang w:val="pl"/>
        </w:rPr>
        <w:t>Obowiązek proceduralny wynikający z art. 2 Konwencji dotyczący zbadania przyczyn śmierci: postępowanie odnoszące się do stanu faktycznego poza jurysdykcją czasową Trybunału</w:t>
      </w:r>
      <w:bookmarkEnd w:id="271"/>
      <w:bookmarkEnd w:id="272"/>
      <w:bookmarkEnd w:id="273"/>
    </w:p>
    <w:p w:rsidR="00B71A20" w:rsidRPr="000625F6" w:rsidRDefault="000425B4" w:rsidP="00180FE3">
      <w:pPr>
        <w:pStyle w:val="Teksttreci0"/>
        <w:numPr>
          <w:ilvl w:val="0"/>
          <w:numId w:val="76"/>
        </w:numPr>
        <w:tabs>
          <w:tab w:val="left" w:pos="500"/>
        </w:tabs>
        <w:jc w:val="both"/>
        <w:rPr>
          <w:lang w:val="pl-PL"/>
        </w:rPr>
      </w:pPr>
      <w:r>
        <w:rPr>
          <w:lang w:val="pl"/>
        </w:rPr>
        <w:t>Trybunał rozróżnia obowiązek wszczęcia dochodzenia w przypadku budzących podejrzenia okoliczności śmierci lub zabójstwa od obowiązku wszczęcia dochodzenia w sprawie budzących podejrzenia okoliczności zaginięcia.</w:t>
      </w:r>
    </w:p>
    <w:p w:rsidR="00B71A20" w:rsidRPr="000625F6" w:rsidRDefault="000425B4">
      <w:pPr>
        <w:pStyle w:val="Teksttreci0"/>
        <w:jc w:val="both"/>
        <w:rPr>
          <w:lang w:val="pl-PL"/>
        </w:rPr>
      </w:pPr>
      <w:r>
        <w:rPr>
          <w:lang w:val="pl"/>
        </w:rPr>
        <w:t xml:space="preserve">Dlatego uważa się, że zobowiązanie pozytywne dotyczące przeprowadzenia skutecznego dochodzenia wynikające z art. 2 Konwencji tworzy odrębny obowiązek, który może być przypisany państwu, nawet jeśli śmierć nastąpiła przed datą początkową </w:t>
      </w:r>
      <w:hyperlink r:id="rId1577" w:history="1">
        <w:r>
          <w:rPr>
            <w:lang w:val="pl"/>
          </w:rPr>
          <w:t>(</w:t>
        </w:r>
        <w:r>
          <w:rPr>
            <w:i/>
            <w:iCs/>
            <w:color w:val="0072BC"/>
            <w:lang w:val="pl"/>
          </w:rPr>
          <w:t xml:space="preserve">Silih p. Słowenii </w:t>
        </w:r>
      </w:hyperlink>
      <w:r>
        <w:rPr>
          <w:lang w:val="pl"/>
        </w:rPr>
        <w:t>[WI], § 159 – sprawa dotyczy śmierci przed datą początkową, podczas gdy braki lub nieścisłości w prowadzeniu dochodzenia nastąpiły po tej dacie). Jego jurysdykcja czasowa do stwierdzenia zgodności z takim</w:t>
      </w:r>
      <w:r w:rsidR="00F343C9">
        <w:rPr>
          <w:lang w:val="pl"/>
        </w:rPr>
        <w:t>i obowiązkami jest wykonywana w </w:t>
      </w:r>
      <w:r>
        <w:rPr>
          <w:lang w:val="pl"/>
        </w:rPr>
        <w:t xml:space="preserve">ramach pewnych ograniczeń, związanych z zasadą pewności prawa </w:t>
      </w:r>
      <w:hyperlink r:id="rId1578" w:history="1">
        <w:r>
          <w:rPr>
            <w:lang w:val="pl"/>
          </w:rPr>
          <w:t>(</w:t>
        </w:r>
        <w:r>
          <w:rPr>
            <w:i/>
            <w:iCs/>
            <w:color w:val="0072BC"/>
            <w:lang w:val="pl"/>
          </w:rPr>
          <w:t>ibid.</w:t>
        </w:r>
        <w:r>
          <w:rPr>
            <w:lang w:val="pl"/>
          </w:rPr>
          <w:t>,</w:t>
        </w:r>
      </w:hyperlink>
      <w:r>
        <w:rPr>
          <w:lang w:val="pl"/>
        </w:rPr>
        <w:t xml:space="preserve"> §§ 161-163). Po pierwsze, jedynie działania lub zaniechania proceduralne zaistniałe po dacie początkowej mogą należeć do jurysdykcji czasowej Trybunału </w:t>
      </w:r>
      <w:hyperlink r:id="rId1579" w:history="1">
        <w:r>
          <w:rPr>
            <w:lang w:val="pl"/>
          </w:rPr>
          <w:t>(</w:t>
        </w:r>
        <w:r>
          <w:rPr>
            <w:i/>
            <w:iCs/>
            <w:color w:val="0072BC"/>
            <w:lang w:val="pl"/>
          </w:rPr>
          <w:t>ibid.</w:t>
        </w:r>
        <w:r>
          <w:rPr>
            <w:lang w:val="pl"/>
          </w:rPr>
          <w:t>,</w:t>
        </w:r>
      </w:hyperlink>
      <w:r>
        <w:rPr>
          <w:lang w:val="pl"/>
        </w:rPr>
        <w:t xml:space="preserve"> § 162). Po drugie, Trybunał podkreśla, że aby obowiązki proceduralne weszły w życie, musi zaistnieć prawdziwy związek między śmiercią a wejściem w życie Konwencji w stosunku do pozwanego państwa. Zatem aby stwierdzić, że taki związek istnieje, muszą być spełnione dwa kryteria: po pierwsze, upływ czasu od śmierci do wejścia w życie Konwencji musiał być rozsądnie krótki (nieprzekraczający dziesięciu lat), a po drugie, należy stwierdzić, że znaczna część kroków proceduralnych – w tym nie tylko przeprowadzenie skutecznego śledztwa w sprawie śmierci danej osoby, ale także wszczęcie postępowań w celu stwierdzenia przyczyny śmierci oraz pociągnięcia sprawców do odpowiedzialności – były lub powinny były zostać przeprowadzone po ratyfikacji Konwencji przez zainteresowane państwo </w:t>
      </w:r>
      <w:hyperlink r:id="rId1580" w:history="1">
        <w:r>
          <w:rPr>
            <w:lang w:val="pl"/>
          </w:rPr>
          <w:t>(</w:t>
        </w:r>
        <w:r>
          <w:rPr>
            <w:i/>
            <w:iCs/>
            <w:color w:val="0072BC"/>
            <w:lang w:val="pl"/>
          </w:rPr>
          <w:t>Janowiec i Inni p. Rosji</w:t>
        </w:r>
      </w:hyperlink>
      <w:r>
        <w:rPr>
          <w:color w:val="0072BC"/>
          <w:lang w:val="pl"/>
        </w:rPr>
        <w:t xml:space="preserve"> </w:t>
      </w:r>
      <w:r>
        <w:rPr>
          <w:lang w:val="pl"/>
        </w:rPr>
        <w:t>[WI], §§ 145-148;</w:t>
      </w:r>
      <w:hyperlink r:id="rId1581" w:history="1">
        <w:r>
          <w:rPr>
            <w:lang w:val="pl"/>
          </w:rPr>
          <w:t xml:space="preserve"> </w:t>
        </w:r>
        <w:r w:rsidR="00F343C9">
          <w:rPr>
            <w:i/>
            <w:iCs/>
            <w:color w:val="0072BC"/>
            <w:lang w:val="pl"/>
          </w:rPr>
          <w:t>Mocanu i Inni p. </w:t>
        </w:r>
        <w:r>
          <w:rPr>
            <w:i/>
            <w:iCs/>
            <w:color w:val="0072BC"/>
            <w:lang w:val="pl"/>
          </w:rPr>
          <w:t xml:space="preserve">Rumunii </w:t>
        </w:r>
      </w:hyperlink>
      <w:r>
        <w:rPr>
          <w:lang w:val="pl"/>
        </w:rPr>
        <w:t>[WI], §§ 205</w:t>
      </w:r>
      <w:r>
        <w:rPr>
          <w:lang w:val="pl"/>
        </w:rPr>
        <w:noBreakHyphen/>
        <w:t>206). Odnośnie do późniejszego zastosowania testu „prawdziwego związku” patrz np.</w:t>
      </w:r>
      <w:hyperlink r:id="rId1582" w:history="1">
        <w:r>
          <w:rPr>
            <w:i/>
            <w:iCs/>
            <w:lang w:val="pl"/>
          </w:rPr>
          <w:t xml:space="preserve"> </w:t>
        </w:r>
        <w:r>
          <w:rPr>
            <w:i/>
            <w:iCs/>
            <w:color w:val="0072BC"/>
            <w:lang w:val="pl"/>
          </w:rPr>
          <w:t>Şandru i Inni p. Rumunii</w:t>
        </w:r>
        <w:r>
          <w:rPr>
            <w:lang w:val="pl"/>
          </w:rPr>
          <w:t xml:space="preserve">, </w:t>
        </w:r>
      </w:hyperlink>
      <w:r>
        <w:rPr>
          <w:lang w:val="pl"/>
        </w:rPr>
        <w:t>§ 57;</w:t>
      </w:r>
      <w:hyperlink r:id="rId1583" w:history="1">
        <w:r>
          <w:rPr>
            <w:i/>
            <w:iCs/>
            <w:lang w:val="pl"/>
          </w:rPr>
          <w:t xml:space="preserve"> </w:t>
        </w:r>
        <w:r>
          <w:rPr>
            <w:i/>
            <w:iCs/>
            <w:color w:val="0072BC"/>
            <w:lang w:val="pl"/>
          </w:rPr>
          <w:t>Çakir i</w:t>
        </w:r>
      </w:hyperlink>
      <w:r>
        <w:rPr>
          <w:i/>
          <w:iCs/>
          <w:color w:val="0072BC"/>
          <w:lang w:val="pl"/>
        </w:rPr>
        <w:t xml:space="preserve"> </w:t>
      </w:r>
      <w:hyperlink r:id="rId1584" w:history="1">
        <w:r>
          <w:rPr>
            <w:i/>
            <w:iCs/>
            <w:color w:val="0072BC"/>
            <w:lang w:val="pl"/>
          </w:rPr>
          <w:t xml:space="preserve">Inni p. Cyprowi </w:t>
        </w:r>
      </w:hyperlink>
      <w:r>
        <w:rPr>
          <w:lang w:val="pl"/>
        </w:rPr>
        <w:t>(dec.);</w:t>
      </w:r>
      <w:hyperlink r:id="rId1585" w:history="1">
        <w:r>
          <w:rPr>
            <w:i/>
            <w:iCs/>
            <w:lang w:val="pl"/>
          </w:rPr>
          <w:t xml:space="preserve"> </w:t>
        </w:r>
        <w:r>
          <w:rPr>
            <w:i/>
            <w:iCs/>
            <w:color w:val="0072BC"/>
            <w:lang w:val="pl"/>
          </w:rPr>
          <w:t>Jelić p. Chorwacji</w:t>
        </w:r>
        <w:r>
          <w:rPr>
            <w:lang w:val="pl"/>
          </w:rPr>
          <w:t>,</w:t>
        </w:r>
      </w:hyperlink>
      <w:r>
        <w:rPr>
          <w:lang w:val="pl"/>
        </w:rPr>
        <w:t xml:space="preserve"> §§ 55</w:t>
      </w:r>
      <w:r>
        <w:rPr>
          <w:lang w:val="pl"/>
        </w:rPr>
        <w:noBreakHyphen/>
        <w:t>58;</w:t>
      </w:r>
      <w:hyperlink r:id="rId1586" w:history="1">
        <w:r>
          <w:rPr>
            <w:i/>
            <w:iCs/>
            <w:lang w:val="pl"/>
          </w:rPr>
          <w:t xml:space="preserve"> </w:t>
        </w:r>
        <w:r>
          <w:rPr>
            <w:i/>
            <w:iCs/>
            <w:color w:val="0072BC"/>
            <w:lang w:val="pl"/>
          </w:rPr>
          <w:t>Melnichuk i Inni p. Rumunii</w:t>
        </w:r>
        <w:r>
          <w:rPr>
            <w:lang w:val="pl"/>
          </w:rPr>
          <w:t>,</w:t>
        </w:r>
      </w:hyperlink>
      <w:r>
        <w:rPr>
          <w:lang w:val="pl"/>
        </w:rPr>
        <w:t xml:space="preserve"> §§ 72</w:t>
      </w:r>
      <w:r>
        <w:rPr>
          <w:lang w:val="pl"/>
        </w:rPr>
        <w:noBreakHyphen/>
        <w:t xml:space="preserve">75; </w:t>
      </w:r>
      <w:hyperlink r:id="rId1587" w:history="1">
        <w:r>
          <w:rPr>
            <w:i/>
            <w:iCs/>
            <w:color w:val="0072BC"/>
            <w:lang w:val="pl"/>
          </w:rPr>
          <w:t>Ranđelović i Inni p. Czarnogórze</w:t>
        </w:r>
        <w:r>
          <w:rPr>
            <w:lang w:val="pl"/>
          </w:rPr>
          <w:t>,</w:t>
        </w:r>
      </w:hyperlink>
      <w:r>
        <w:rPr>
          <w:lang w:val="pl"/>
        </w:rPr>
        <w:t xml:space="preserve"> §§ 92</w:t>
      </w:r>
      <w:r>
        <w:rPr>
          <w:lang w:val="pl"/>
        </w:rPr>
        <w:noBreakHyphen/>
        <w:t>94;</w:t>
      </w:r>
      <w:hyperlink r:id="rId1588" w:history="1">
        <w:r>
          <w:rPr>
            <w:i/>
            <w:iCs/>
            <w:lang w:val="pl"/>
          </w:rPr>
          <w:t xml:space="preserve"> </w:t>
        </w:r>
        <w:r>
          <w:rPr>
            <w:i/>
            <w:iCs/>
            <w:color w:val="0072BC"/>
            <w:lang w:val="pl"/>
          </w:rPr>
          <w:t xml:space="preserve">Chong i Inni p. Wielkiej Brytanii </w:t>
        </w:r>
      </w:hyperlink>
      <w:r>
        <w:rPr>
          <w:lang w:val="pl"/>
        </w:rPr>
        <w:t>(dec.), §§ 84</w:t>
      </w:r>
      <w:r>
        <w:rPr>
          <w:lang w:val="pl"/>
        </w:rPr>
        <w:noBreakHyphen/>
        <w:t>90;</w:t>
      </w:r>
      <w:hyperlink r:id="rId1589" w:history="1">
        <w:r>
          <w:rPr>
            <w:i/>
            <w:iCs/>
            <w:lang w:val="pl"/>
          </w:rPr>
          <w:t xml:space="preserve"> </w:t>
        </w:r>
        <w:r>
          <w:rPr>
            <w:i/>
            <w:iCs/>
            <w:color w:val="0072BC"/>
            <w:lang w:val="pl"/>
          </w:rPr>
          <w:t>Jurica p. Chorwacji</w:t>
        </w:r>
        <w:r>
          <w:rPr>
            <w:lang w:val="pl"/>
          </w:rPr>
          <w:t>,</w:t>
        </w:r>
      </w:hyperlink>
      <w:r>
        <w:rPr>
          <w:lang w:val="pl"/>
        </w:rPr>
        <w:t xml:space="preserve"> §§ 67</w:t>
      </w:r>
      <w:r>
        <w:rPr>
          <w:lang w:val="pl"/>
        </w:rPr>
        <w:noBreakHyphen/>
        <w:t xml:space="preserve">72 (zastosowanie testu do wymogów </w:t>
      </w:r>
      <w:r>
        <w:rPr>
          <w:lang w:val="pl"/>
        </w:rPr>
        <w:lastRenderedPageBreak/>
        <w:t>proceduralnych w świetle art. 8 w sprawie dotyczącej błędu w sztuce medycznej).</w:t>
      </w:r>
    </w:p>
    <w:p w:rsidR="00B71A20" w:rsidRPr="000625F6" w:rsidRDefault="000425B4" w:rsidP="00115011">
      <w:pPr>
        <w:pStyle w:val="Teksttreci0"/>
        <w:numPr>
          <w:ilvl w:val="0"/>
          <w:numId w:val="76"/>
        </w:numPr>
        <w:tabs>
          <w:tab w:val="left" w:pos="519"/>
        </w:tabs>
        <w:jc w:val="both"/>
        <w:rPr>
          <w:lang w:val="pl-PL"/>
        </w:rPr>
      </w:pPr>
      <w:r>
        <w:rPr>
          <w:lang w:val="pl"/>
        </w:rPr>
        <w:t>W sprawie</w:t>
      </w:r>
      <w:hyperlink r:id="rId1590" w:history="1">
        <w:r>
          <w:rPr>
            <w:i/>
            <w:iCs/>
            <w:lang w:val="pl"/>
          </w:rPr>
          <w:t xml:space="preserve"> </w:t>
        </w:r>
        <w:r>
          <w:rPr>
            <w:i/>
            <w:iCs/>
            <w:color w:val="0072BC"/>
            <w:lang w:val="pl"/>
          </w:rPr>
          <w:t>Tuna p. Turcji</w:t>
        </w:r>
        <w:r>
          <w:rPr>
            <w:lang w:val="pl"/>
          </w:rPr>
          <w:t>,</w:t>
        </w:r>
      </w:hyperlink>
      <w:r>
        <w:rPr>
          <w:lang w:val="pl"/>
        </w:rPr>
        <w:t xml:space="preserve"> dotyczącej śmierci będącej następstwem tortur, Trybunał po raz pierwszy zastosował zasady ustalone w wyroku w sprawie </w:t>
      </w:r>
      <w:r>
        <w:rPr>
          <w:i/>
          <w:iCs/>
          <w:lang w:val="pl"/>
        </w:rPr>
        <w:t>Šilih</w:t>
      </w:r>
      <w:r>
        <w:rPr>
          <w:lang w:val="pl"/>
        </w:rPr>
        <w:t xml:space="preserve"> poprzez analizę skargi proceduralnej skarżącego zgodnie z art. 2 i 3 rozpatrywanymi łącznie. Trybunał przypomniał zasady dotyczące rozdzielności zobowiązań proceduralnych, w szczególności dwa kryteria stosowane przy ustalaniu jego jurysdykcji </w:t>
      </w:r>
      <w:r>
        <w:rPr>
          <w:i/>
          <w:iCs/>
          <w:lang w:val="pl"/>
        </w:rPr>
        <w:t>ratione temporis</w:t>
      </w:r>
      <w:r>
        <w:rPr>
          <w:lang w:val="pl"/>
        </w:rPr>
        <w:t>, gdzie fakty dotyczące aspektu materialnego art. 2 i 3, jak w przedmiotowej sprawie, miały miejsce poza okresem objętym jego jurysdykcją, podczas gdy fakty dotyczące proceduralnego aspektu, tj. dalszy tok postępowania, wystąpiły, przynajmniej częściowo, w tym okresie.</w:t>
      </w:r>
    </w:p>
    <w:p w:rsidR="00B71A20" w:rsidRPr="000625F6" w:rsidRDefault="000425B4">
      <w:pPr>
        <w:pStyle w:val="Teksttreci0"/>
        <w:jc w:val="both"/>
        <w:rPr>
          <w:lang w:val="pl-PL"/>
        </w:rPr>
      </w:pPr>
      <w:r>
        <w:rPr>
          <w:lang w:val="pl"/>
        </w:rPr>
        <w:t>Przykładem późniejszego zastosowania do zarzutów proceduralnych sformułowanych na podstawie art. 3 są sprawy</w:t>
      </w:r>
      <w:hyperlink r:id="rId1591" w:history="1">
        <w:r>
          <w:rPr>
            <w:i/>
            <w:iCs/>
            <w:lang w:val="pl"/>
          </w:rPr>
          <w:t xml:space="preserve"> </w:t>
        </w:r>
        <w:r>
          <w:rPr>
            <w:i/>
            <w:iCs/>
            <w:color w:val="0072BC"/>
            <w:lang w:val="pl"/>
          </w:rPr>
          <w:t>Yatsenko</w:t>
        </w:r>
      </w:hyperlink>
      <w:r>
        <w:rPr>
          <w:i/>
          <w:iCs/>
          <w:color w:val="0072BC"/>
          <w:lang w:val="pl"/>
        </w:rPr>
        <w:t xml:space="preserve"> </w:t>
      </w:r>
      <w:hyperlink r:id="rId1592" w:history="1">
        <w:r>
          <w:rPr>
            <w:i/>
            <w:iCs/>
            <w:color w:val="0072BC"/>
            <w:lang w:val="pl"/>
          </w:rPr>
          <w:t xml:space="preserve">p. Ukrainie </w:t>
        </w:r>
      </w:hyperlink>
      <w:r>
        <w:rPr>
          <w:lang w:val="pl"/>
        </w:rPr>
        <w:t>i</w:t>
      </w:r>
      <w:hyperlink r:id="rId1593" w:history="1">
        <w:r>
          <w:rPr>
            <w:i/>
            <w:iCs/>
            <w:lang w:val="pl"/>
          </w:rPr>
          <w:t xml:space="preserve"> </w:t>
        </w:r>
        <w:r>
          <w:rPr>
            <w:i/>
            <w:iCs/>
            <w:color w:val="0072BC"/>
            <w:lang w:val="pl"/>
          </w:rPr>
          <w:t xml:space="preserve">Mocanu i Inni p. Rumunii </w:t>
        </w:r>
      </w:hyperlink>
      <w:r>
        <w:rPr>
          <w:lang w:val="pl"/>
        </w:rPr>
        <w:t>[WI], §§ 207</w:t>
      </w:r>
      <w:r>
        <w:rPr>
          <w:lang w:val="pl"/>
        </w:rPr>
        <w:noBreakHyphen/>
        <w:t>211.</w:t>
      </w:r>
    </w:p>
    <w:p w:rsidR="00B71A20" w:rsidRPr="000625F6" w:rsidRDefault="000425B4" w:rsidP="00115011">
      <w:pPr>
        <w:pStyle w:val="Teksttreci0"/>
        <w:numPr>
          <w:ilvl w:val="0"/>
          <w:numId w:val="76"/>
        </w:numPr>
        <w:tabs>
          <w:tab w:val="left" w:pos="505"/>
        </w:tabs>
        <w:spacing w:after="220"/>
        <w:jc w:val="both"/>
        <w:rPr>
          <w:lang w:val="pl-PL"/>
        </w:rPr>
      </w:pPr>
      <w:bookmarkStart w:id="274" w:name="bookmark278"/>
      <w:r>
        <w:rPr>
          <w:lang w:val="pl"/>
        </w:rPr>
        <w:t xml:space="preserve">Jednak Trybunał nie wykluczał, że w niektórych wyjątkowych sytuacjach, które nie spełniają kryterium „rzeczywistego związku”, związek ów mógł również powstać, jeżeli zaistniała potrzeba zapewnienia realnej i skutecznej ochrony gwarancji i podstawowych wartości konwencyjnych </w:t>
      </w:r>
      <w:hyperlink r:id="rId1594" w:history="1">
        <w:r>
          <w:rPr>
            <w:lang w:val="pl"/>
          </w:rPr>
          <w:t>(</w:t>
        </w:r>
        <w:r w:rsidR="0093676E">
          <w:rPr>
            <w:i/>
            <w:iCs/>
            <w:color w:val="0072BC"/>
            <w:lang w:val="pl"/>
          </w:rPr>
          <w:t>Šilih p. </w:t>
        </w:r>
        <w:r>
          <w:rPr>
            <w:i/>
            <w:iCs/>
            <w:color w:val="0072BC"/>
            <w:lang w:val="pl"/>
          </w:rPr>
          <w:t xml:space="preserve">Słowenii </w:t>
        </w:r>
      </w:hyperlink>
      <w:r>
        <w:rPr>
          <w:lang w:val="pl"/>
        </w:rPr>
        <w:t>[WI], § 163). Ten test „wartości konwencyjnych”, który funkcjonuje jako wyjątek od ogólnej zasady i przez to pozwala dodatkowo rozszerzyć jurysdykcję Trybunału o przeszłość, może być zastosowany tylko wówczas, gdy wydarzenie uruchamiające ten proces ma większy wymiar, który polega na zanegowaniu samych podstaw Konwencji (np. sprawy dotyczące ciężkich przes</w:t>
      </w:r>
      <w:r w:rsidR="00F343C9">
        <w:rPr>
          <w:lang w:val="pl"/>
        </w:rPr>
        <w:t>tępstw w </w:t>
      </w:r>
      <w:r>
        <w:rPr>
          <w:lang w:val="pl"/>
        </w:rPr>
        <w:t>świetle prawa międzynarodowego), ale wydarzenia te musiały na</w:t>
      </w:r>
      <w:r w:rsidR="0093676E">
        <w:rPr>
          <w:lang w:val="pl"/>
        </w:rPr>
        <w:t>stąpić po przyjęciu Konwencji w </w:t>
      </w:r>
      <w:r>
        <w:rPr>
          <w:lang w:val="pl"/>
        </w:rPr>
        <w:t xml:space="preserve">dniu 4 listopada 1950 r. Zatem układająca się strona nie może być pociągnięta do odpowiedzialności na podstawie Konwencji z powodu nieprzeprowadzenia dochodzenia w sprawie nawet najcięższych przestępstw w świetle prawa międzynarodowego, jeżeli miały one miejsce przed datą przyjęcia Konwencji </w:t>
      </w:r>
      <w:hyperlink r:id="rId1595" w:history="1">
        <w:r>
          <w:rPr>
            <w:lang w:val="pl"/>
          </w:rPr>
          <w:t>(</w:t>
        </w:r>
        <w:r>
          <w:rPr>
            <w:i/>
            <w:iCs/>
            <w:color w:val="0072BC"/>
            <w:lang w:val="pl"/>
          </w:rPr>
          <w:t>Janowiec i</w:t>
        </w:r>
      </w:hyperlink>
      <w:r>
        <w:rPr>
          <w:i/>
          <w:iCs/>
          <w:color w:val="0072BC"/>
          <w:lang w:val="pl"/>
        </w:rPr>
        <w:t xml:space="preserve"> </w:t>
      </w:r>
      <w:hyperlink r:id="rId1596" w:history="1">
        <w:r>
          <w:rPr>
            <w:i/>
            <w:iCs/>
            <w:color w:val="0072BC"/>
            <w:lang w:val="pl"/>
          </w:rPr>
          <w:t xml:space="preserve">Inni p. Rosji </w:t>
        </w:r>
      </w:hyperlink>
      <w:r>
        <w:rPr>
          <w:lang w:val="pl"/>
        </w:rPr>
        <w:t xml:space="preserve">[WI], §§ 149-151, sprawa dotycząca śledztwa w sprawie zbrodni katyńskiej w 1940 r., która w świetle powyższych argumentów nie mieściła się w ramach jurysdykcji </w:t>
      </w:r>
      <w:r>
        <w:rPr>
          <w:i/>
          <w:iCs/>
          <w:lang w:val="pl"/>
        </w:rPr>
        <w:t xml:space="preserve">ratione temporis </w:t>
      </w:r>
      <w:r>
        <w:rPr>
          <w:lang w:val="pl"/>
        </w:rPr>
        <w:t>Trybunału;</w:t>
      </w:r>
      <w:hyperlink r:id="rId1597" w:history="1">
        <w:r>
          <w:rPr>
            <w:lang w:val="pl"/>
          </w:rPr>
          <w:t xml:space="preserve"> </w:t>
        </w:r>
        <w:r>
          <w:rPr>
            <w:i/>
            <w:iCs/>
            <w:color w:val="0072BC"/>
            <w:lang w:val="pl"/>
          </w:rPr>
          <w:t>Chong i Inni</w:t>
        </w:r>
      </w:hyperlink>
      <w:r>
        <w:rPr>
          <w:i/>
          <w:iCs/>
          <w:color w:val="0072BC"/>
          <w:lang w:val="pl"/>
        </w:rPr>
        <w:t xml:space="preserve"> </w:t>
      </w:r>
      <w:hyperlink r:id="rId1598" w:history="1">
        <w:r>
          <w:rPr>
            <w:i/>
            <w:iCs/>
            <w:color w:val="0072BC"/>
            <w:lang w:val="pl"/>
          </w:rPr>
          <w:t xml:space="preserve">p. Wielkiej Brytanii </w:t>
        </w:r>
      </w:hyperlink>
      <w:r>
        <w:rPr>
          <w:lang w:val="pl"/>
        </w:rPr>
        <w:t>(dec.), § 91, sprawa dotycząca zabójstwa dwadzieściorga czworga nieuzbrojonych cywilów przez żołnierzy brytyjskich na Malajach w 1948 r.).</w:t>
      </w:r>
      <w:bookmarkEnd w:id="274"/>
    </w:p>
    <w:p w:rsidR="00B71A20" w:rsidRPr="00AB4484" w:rsidRDefault="00AB4484" w:rsidP="00AB4484">
      <w:pPr>
        <w:pStyle w:val="Nagwek41"/>
        <w:keepNext/>
        <w:keepLines/>
        <w:tabs>
          <w:tab w:val="left" w:pos="322"/>
        </w:tabs>
        <w:jc w:val="both"/>
        <w:rPr>
          <w:lang w:val="pl-PL"/>
        </w:rPr>
      </w:pPr>
      <w:bookmarkStart w:id="275" w:name="_Toc126335686"/>
      <w:bookmarkStart w:id="276" w:name="_Toc126660645"/>
      <w:r>
        <w:rPr>
          <w:lang w:val="pl"/>
        </w:rPr>
        <w:t xml:space="preserve">d.  </w:t>
      </w:r>
      <w:r w:rsidR="000425B4">
        <w:rPr>
          <w:lang w:val="pl"/>
        </w:rPr>
        <w:t>Wzięcie pod uwagę wcześniejszych faktów</w:t>
      </w:r>
      <w:bookmarkEnd w:id="275"/>
      <w:bookmarkEnd w:id="276"/>
    </w:p>
    <w:p w:rsidR="00B71A20" w:rsidRDefault="000425B4" w:rsidP="00180FE3">
      <w:pPr>
        <w:pStyle w:val="Teksttreci0"/>
        <w:numPr>
          <w:ilvl w:val="0"/>
          <w:numId w:val="77"/>
        </w:numPr>
        <w:tabs>
          <w:tab w:val="left" w:pos="514"/>
        </w:tabs>
        <w:spacing w:after="220"/>
        <w:jc w:val="both"/>
      </w:pPr>
      <w:bookmarkStart w:id="277" w:name="bookmark281"/>
      <w:r>
        <w:rPr>
          <w:lang w:val="pl"/>
        </w:rPr>
        <w:t xml:space="preserve">Trybunał stoi na stanowisku, że może „mieć na uwadze fakty sprzed ratyfikacji, ponieważ mogą one zostać uznane za przyczyny sytuacji rozciągającej się poza tę datę lub mogą być istotne dla zrozumienia faktów występujących po tej dacie” </w:t>
      </w:r>
      <w:hyperlink r:id="rId1599" w:history="1">
        <w:r>
          <w:rPr>
            <w:lang w:val="pl"/>
          </w:rPr>
          <w:t>(</w:t>
        </w:r>
        <w:r>
          <w:rPr>
            <w:i/>
            <w:iCs/>
            <w:color w:val="0072BC"/>
            <w:lang w:val="pl"/>
          </w:rPr>
          <w:t xml:space="preserve">Broniowski p. Polsce </w:t>
        </w:r>
      </w:hyperlink>
      <w:r>
        <w:rPr>
          <w:lang w:val="pl"/>
        </w:rPr>
        <w:t>(dec.) [WI], § 74;</w:t>
      </w:r>
      <w:hyperlink r:id="rId1600" w:history="1">
        <w:r>
          <w:rPr>
            <w:i/>
            <w:iCs/>
            <w:lang w:val="pl"/>
          </w:rPr>
          <w:t xml:space="preserve"> </w:t>
        </w:r>
        <w:r>
          <w:rPr>
            <w:i/>
            <w:iCs/>
            <w:color w:val="0072BC"/>
            <w:lang w:val="pl"/>
          </w:rPr>
          <w:t>Hoti</w:t>
        </w:r>
      </w:hyperlink>
      <w:r>
        <w:rPr>
          <w:i/>
          <w:iCs/>
          <w:color w:val="0072BC"/>
          <w:lang w:val="pl"/>
        </w:rPr>
        <w:t xml:space="preserve"> </w:t>
      </w:r>
      <w:hyperlink r:id="rId1601" w:history="1">
        <w:r w:rsidR="00F343C9">
          <w:rPr>
            <w:i/>
            <w:iCs/>
            <w:color w:val="0072BC"/>
            <w:lang w:val="pl"/>
          </w:rPr>
          <w:t>p. </w:t>
        </w:r>
        <w:r>
          <w:rPr>
            <w:i/>
            <w:iCs/>
            <w:color w:val="0072BC"/>
            <w:lang w:val="pl"/>
          </w:rPr>
          <w:t>Chorwacji</w:t>
        </w:r>
        <w:r>
          <w:rPr>
            <w:lang w:val="pl"/>
          </w:rPr>
          <w:t>,</w:t>
        </w:r>
      </w:hyperlink>
      <w:r>
        <w:rPr>
          <w:lang w:val="pl"/>
        </w:rPr>
        <w:t xml:space="preserve"> § 85).</w:t>
      </w:r>
      <w:bookmarkEnd w:id="277"/>
    </w:p>
    <w:p w:rsidR="00B71A20" w:rsidRPr="00AB4484" w:rsidRDefault="00AB4484" w:rsidP="00AB4484">
      <w:pPr>
        <w:pStyle w:val="Nagwek41"/>
        <w:keepNext/>
        <w:keepLines/>
        <w:tabs>
          <w:tab w:val="left" w:pos="317"/>
        </w:tabs>
        <w:jc w:val="both"/>
        <w:rPr>
          <w:lang w:val="pl-PL"/>
        </w:rPr>
      </w:pPr>
      <w:bookmarkStart w:id="278" w:name="_Toc126335687"/>
      <w:bookmarkStart w:id="279" w:name="_Toc126660646"/>
      <w:r>
        <w:rPr>
          <w:lang w:val="pl"/>
        </w:rPr>
        <w:t xml:space="preserve">e.  </w:t>
      </w:r>
      <w:r w:rsidR="000425B4">
        <w:rPr>
          <w:lang w:val="pl"/>
        </w:rPr>
        <w:t>Trwające postępowanie lub tymczasowe aresztowanie</w:t>
      </w:r>
      <w:bookmarkEnd w:id="278"/>
      <w:bookmarkEnd w:id="279"/>
    </w:p>
    <w:p w:rsidR="00B71A20" w:rsidRDefault="000425B4" w:rsidP="00180FE3">
      <w:pPr>
        <w:pStyle w:val="Teksttreci0"/>
        <w:numPr>
          <w:ilvl w:val="0"/>
          <w:numId w:val="78"/>
        </w:numPr>
        <w:tabs>
          <w:tab w:val="left" w:pos="514"/>
        </w:tabs>
        <w:jc w:val="both"/>
      </w:pPr>
      <w:r>
        <w:rPr>
          <w:lang w:val="pl"/>
        </w:rPr>
        <w:t>Szczególna sytuacja związana jest ze skargami dotyczącymi dłu</w:t>
      </w:r>
      <w:r w:rsidR="00F343C9">
        <w:rPr>
          <w:lang w:val="pl"/>
        </w:rPr>
        <w:t>gości postępowań sądowych (art. </w:t>
      </w:r>
      <w:r>
        <w:rPr>
          <w:lang w:val="pl"/>
        </w:rPr>
        <w:t xml:space="preserve">6 ust. 1 Konwencji) wszczętych przed ratyfikacją, ale trwających po tej dacie. Mimo że jurysdykcja Trybunału jest ograniczona do okresu następującego po dacie początkowej, często bierze on pod uwagę status postępowania do tej daty w celu uzyskania wskazówek (np. </w:t>
      </w:r>
      <w:hyperlink r:id="rId1602" w:history="1">
        <w:r>
          <w:rPr>
            <w:i/>
            <w:iCs/>
            <w:color w:val="0072BC"/>
            <w:lang w:val="pl"/>
          </w:rPr>
          <w:t xml:space="preserve">Humen p. Polsce </w:t>
        </w:r>
      </w:hyperlink>
      <w:r>
        <w:rPr>
          <w:lang w:val="pl"/>
        </w:rPr>
        <w:t>[WI], §§ 58-59;</w:t>
      </w:r>
      <w:hyperlink r:id="rId1603" w:history="1">
        <w:r>
          <w:rPr>
            <w:lang w:val="pl"/>
          </w:rPr>
          <w:t xml:space="preserve"> </w:t>
        </w:r>
        <w:r>
          <w:rPr>
            <w:i/>
            <w:iCs/>
            <w:color w:val="0072BC"/>
            <w:lang w:val="pl"/>
          </w:rPr>
          <w:t>Foti i Inni p. Włochom</w:t>
        </w:r>
        <w:r>
          <w:rPr>
            <w:lang w:val="pl"/>
          </w:rPr>
          <w:t>,</w:t>
        </w:r>
      </w:hyperlink>
      <w:r>
        <w:rPr>
          <w:lang w:val="pl"/>
        </w:rPr>
        <w:t xml:space="preserve"> § 53).</w:t>
      </w:r>
    </w:p>
    <w:p w:rsidR="00B71A20" w:rsidRPr="000625F6" w:rsidRDefault="000425B4">
      <w:pPr>
        <w:pStyle w:val="Teksttreci0"/>
        <w:jc w:val="both"/>
        <w:rPr>
          <w:lang w:val="pl-PL"/>
        </w:rPr>
      </w:pPr>
      <w:r>
        <w:rPr>
          <w:lang w:val="pl"/>
        </w:rPr>
        <w:t xml:space="preserve">Ta sama zasada ma zastosowanie do spraw dotyczących tymczasowego aresztowania rozpatrywanych w świetle art. 5 ust. 3 Konwencji </w:t>
      </w:r>
      <w:hyperlink r:id="rId1604" w:history="1">
        <w:r>
          <w:rPr>
            <w:lang w:val="pl"/>
          </w:rPr>
          <w:t>(</w:t>
        </w:r>
        <w:r>
          <w:rPr>
            <w:i/>
            <w:iCs/>
            <w:color w:val="0072BC"/>
            <w:lang w:val="pl"/>
          </w:rPr>
          <w:t>Klyakhin p. Rosji</w:t>
        </w:r>
        <w:r>
          <w:rPr>
            <w:lang w:val="pl"/>
          </w:rPr>
          <w:t>,</w:t>
        </w:r>
      </w:hyperlink>
      <w:r>
        <w:rPr>
          <w:lang w:val="pl"/>
        </w:rPr>
        <w:t xml:space="preserve"> §§ 58-59) lub warunków pozbawienia wolności rozpatrywanych w świetle art. 3 </w:t>
      </w:r>
      <w:hyperlink r:id="rId1605" w:history="1">
        <w:r>
          <w:rPr>
            <w:lang w:val="pl"/>
          </w:rPr>
          <w:t>(</w:t>
        </w:r>
        <w:r>
          <w:rPr>
            <w:i/>
            <w:iCs/>
            <w:color w:val="0072BC"/>
            <w:lang w:val="pl"/>
          </w:rPr>
          <w:t>Kalashnikov p. Rosji</w:t>
        </w:r>
        <w:r>
          <w:rPr>
            <w:lang w:val="pl"/>
          </w:rPr>
          <w:t>,</w:t>
        </w:r>
      </w:hyperlink>
      <w:r>
        <w:rPr>
          <w:lang w:val="pl"/>
        </w:rPr>
        <w:t xml:space="preserve"> § 36).</w:t>
      </w:r>
    </w:p>
    <w:p w:rsidR="00B71A20" w:rsidRPr="000625F6" w:rsidRDefault="000425B4" w:rsidP="00115011">
      <w:pPr>
        <w:pStyle w:val="Teksttreci0"/>
        <w:numPr>
          <w:ilvl w:val="0"/>
          <w:numId w:val="78"/>
        </w:numPr>
        <w:tabs>
          <w:tab w:val="left" w:pos="519"/>
        </w:tabs>
        <w:jc w:val="both"/>
        <w:rPr>
          <w:lang w:val="pl-PL"/>
        </w:rPr>
      </w:pPr>
      <w:r>
        <w:rPr>
          <w:lang w:val="pl"/>
        </w:rPr>
        <w:t xml:space="preserve">Jeśli chodzi o rzetelność postępowania, Trybunał może zbadać, czy błędy na etapie procesu mogą być naprawione za pomocą gwarancji procesowych w ramach dochodzenia prowadzonego przed datą początkową </w:t>
      </w:r>
      <w:hyperlink r:id="rId1606" w:history="1">
        <w:r>
          <w:rPr>
            <w:lang w:val="pl"/>
          </w:rPr>
          <w:t>(</w:t>
        </w:r>
        <w:r>
          <w:rPr>
            <w:i/>
            <w:iCs/>
            <w:color w:val="0072BC"/>
            <w:lang w:val="pl"/>
          </w:rPr>
          <w:t>Barberà, Messegué i Jabardo p. Hiszpanii</w:t>
        </w:r>
        <w:r>
          <w:rPr>
            <w:lang w:val="pl"/>
          </w:rPr>
          <w:t xml:space="preserve">, </w:t>
        </w:r>
      </w:hyperlink>
      <w:r>
        <w:rPr>
          <w:lang w:val="pl"/>
        </w:rPr>
        <w:t>§§ 61 i 84). W tym</w:t>
      </w:r>
      <w:r w:rsidR="00F343C9">
        <w:rPr>
          <w:lang w:val="pl"/>
        </w:rPr>
        <w:t xml:space="preserve"> zakresie sędziowie w </w:t>
      </w:r>
      <w:r>
        <w:rPr>
          <w:lang w:val="pl"/>
        </w:rPr>
        <w:t>Strasburgu traktują postępowanie jako całość (patrz też</w:t>
      </w:r>
      <w:hyperlink r:id="rId1607" w:history="1">
        <w:r>
          <w:rPr>
            <w:lang w:val="pl"/>
          </w:rPr>
          <w:t xml:space="preserve"> </w:t>
        </w:r>
        <w:r>
          <w:rPr>
            <w:i/>
            <w:iCs/>
            <w:color w:val="0072BC"/>
            <w:lang w:val="pl"/>
          </w:rPr>
          <w:t>Kerojärvi p. Finlandii</w:t>
        </w:r>
        <w:r>
          <w:rPr>
            <w:lang w:val="pl"/>
          </w:rPr>
          <w:t>,</w:t>
        </w:r>
      </w:hyperlink>
      <w:r>
        <w:rPr>
          <w:lang w:val="pl"/>
        </w:rPr>
        <w:t xml:space="preserve"> § 41).</w:t>
      </w:r>
    </w:p>
    <w:p w:rsidR="00B71A20" w:rsidRPr="000625F6" w:rsidRDefault="000425B4" w:rsidP="00115011">
      <w:pPr>
        <w:pStyle w:val="Teksttreci0"/>
        <w:numPr>
          <w:ilvl w:val="0"/>
          <w:numId w:val="78"/>
        </w:numPr>
        <w:tabs>
          <w:tab w:val="left" w:pos="510"/>
        </w:tabs>
        <w:spacing w:after="220"/>
        <w:jc w:val="both"/>
        <w:rPr>
          <w:lang w:val="pl-PL"/>
        </w:rPr>
      </w:pPr>
      <w:bookmarkStart w:id="280" w:name="bookmark284"/>
      <w:r>
        <w:rPr>
          <w:lang w:val="pl"/>
        </w:rPr>
        <w:t xml:space="preserve">Skarga proceduralna na mocy art. 5 ust. 5 nie może wchodzić w zakres czasowej jurysdykcji Trybunału, jeśli pozbawienie wolności nastąpiło przed wejściem w życie Konwencji </w:t>
      </w:r>
      <w:hyperlink r:id="rId1608" w:history="1">
        <w:r>
          <w:rPr>
            <w:lang w:val="pl"/>
          </w:rPr>
          <w:t>(</w:t>
        </w:r>
        <w:r>
          <w:rPr>
            <w:i/>
            <w:iCs/>
            <w:color w:val="0072BC"/>
            <w:lang w:val="pl"/>
          </w:rPr>
          <w:t>Korizno p. Łotwie</w:t>
        </w:r>
      </w:hyperlink>
      <w:r>
        <w:rPr>
          <w:color w:val="0072BC"/>
          <w:lang w:val="pl"/>
        </w:rPr>
        <w:t xml:space="preserve"> </w:t>
      </w:r>
      <w:r>
        <w:rPr>
          <w:lang w:val="pl"/>
        </w:rPr>
        <w:t>(dec.)).</w:t>
      </w:r>
      <w:bookmarkEnd w:id="280"/>
    </w:p>
    <w:p w:rsidR="00B71A20" w:rsidRPr="000625F6" w:rsidRDefault="00AB4484" w:rsidP="00AB4484">
      <w:pPr>
        <w:pStyle w:val="Nagwek41"/>
        <w:keepNext/>
        <w:keepLines/>
        <w:tabs>
          <w:tab w:val="left" w:pos="317"/>
        </w:tabs>
        <w:jc w:val="both"/>
        <w:rPr>
          <w:lang w:val="pl-PL"/>
        </w:rPr>
      </w:pPr>
      <w:bookmarkStart w:id="281" w:name="_Toc126335688"/>
      <w:bookmarkStart w:id="282" w:name="_Toc126660647"/>
      <w:r>
        <w:rPr>
          <w:lang w:val="pl"/>
        </w:rPr>
        <w:lastRenderedPageBreak/>
        <w:t xml:space="preserve">f.  </w:t>
      </w:r>
      <w:r w:rsidR="000425B4">
        <w:rPr>
          <w:lang w:val="pl"/>
        </w:rPr>
        <w:t>Prawo do odszkodowania za niesłuszne skazanie</w:t>
      </w:r>
      <w:bookmarkEnd w:id="281"/>
      <w:bookmarkEnd w:id="282"/>
    </w:p>
    <w:p w:rsidR="00B71A20" w:rsidRPr="000625F6" w:rsidRDefault="000425B4" w:rsidP="00180FE3">
      <w:pPr>
        <w:pStyle w:val="Teksttreci0"/>
        <w:numPr>
          <w:ilvl w:val="0"/>
          <w:numId w:val="79"/>
        </w:numPr>
        <w:tabs>
          <w:tab w:val="left" w:pos="505"/>
        </w:tabs>
        <w:spacing w:after="220"/>
        <w:jc w:val="both"/>
        <w:rPr>
          <w:lang w:val="pl-PL"/>
        </w:rPr>
      </w:pPr>
      <w:bookmarkStart w:id="283" w:name="bookmark287"/>
      <w:r>
        <w:rPr>
          <w:lang w:val="pl"/>
        </w:rPr>
        <w:t xml:space="preserve">Trybunał uznał, że posiada właściwość w zakresie badania skarg wynikających z art. 3 Protokołu nr 7, gdzie osoba została skazana przed datą początkową, ale wyrok skazujący został uchylony po tej dacie </w:t>
      </w:r>
      <w:hyperlink r:id="rId1609" w:history="1">
        <w:r>
          <w:rPr>
            <w:lang w:val="pl"/>
          </w:rPr>
          <w:t>(</w:t>
        </w:r>
        <w:r>
          <w:rPr>
            <w:i/>
            <w:iCs/>
            <w:color w:val="0072BC"/>
            <w:lang w:val="pl"/>
          </w:rPr>
          <w:t>Matveyev p. Rosji</w:t>
        </w:r>
        <w:r>
          <w:rPr>
            <w:lang w:val="pl"/>
          </w:rPr>
          <w:t>,</w:t>
        </w:r>
      </w:hyperlink>
      <w:r>
        <w:rPr>
          <w:lang w:val="pl"/>
        </w:rPr>
        <w:t xml:space="preserve"> § 38).</w:t>
      </w:r>
      <w:bookmarkEnd w:id="283"/>
    </w:p>
    <w:p w:rsidR="00B71A20" w:rsidRPr="000625F6" w:rsidRDefault="00AB4484" w:rsidP="00AB4484">
      <w:pPr>
        <w:pStyle w:val="Nagwek41"/>
        <w:keepNext/>
        <w:keepLines/>
        <w:tabs>
          <w:tab w:val="left" w:pos="317"/>
        </w:tabs>
        <w:jc w:val="both"/>
        <w:rPr>
          <w:lang w:val="pl-PL"/>
        </w:rPr>
      </w:pPr>
      <w:bookmarkStart w:id="284" w:name="_Toc126335689"/>
      <w:bookmarkStart w:id="285" w:name="_Toc126660648"/>
      <w:r>
        <w:rPr>
          <w:lang w:val="pl"/>
        </w:rPr>
        <w:t xml:space="preserve">g.  </w:t>
      </w:r>
      <w:r w:rsidR="000425B4">
        <w:rPr>
          <w:lang w:val="pl"/>
        </w:rPr>
        <w:t>Prawo do niepodlegania ponownemu sądzeniu lub karaniu</w:t>
      </w:r>
      <w:bookmarkEnd w:id="284"/>
      <w:bookmarkEnd w:id="285"/>
    </w:p>
    <w:p w:rsidR="00B71A20" w:rsidRPr="000625F6" w:rsidRDefault="000425B4" w:rsidP="00180FE3">
      <w:pPr>
        <w:pStyle w:val="Teksttreci0"/>
        <w:numPr>
          <w:ilvl w:val="0"/>
          <w:numId w:val="80"/>
        </w:numPr>
        <w:tabs>
          <w:tab w:val="left" w:pos="514"/>
        </w:tabs>
        <w:spacing w:after="220"/>
        <w:jc w:val="both"/>
        <w:rPr>
          <w:lang w:val="pl-PL"/>
        </w:rPr>
      </w:pPr>
      <w:r>
        <w:rPr>
          <w:lang w:val="pl"/>
        </w:rPr>
        <w:t xml:space="preserve">Trybunał uznał, że posiada właściwość czasową w zakresie badania skarg wynikających z art. 4 Protokołu nr 7, jeśli dana osoba została osądzona lub ukarana w drugiej turze postępowania po dacie początkowej, nawet jeśli pierwsza tura postępowania zakończyła się przed tą datą. Prawo do tego, aby nie być dwukrotnie osądzonym lub ukaranym, nie może zostać wyłączone w odniesieniu do postępowania przeprowadzonego przed </w:t>
      </w:r>
      <w:bookmarkStart w:id="286" w:name="bookmark290"/>
      <w:r>
        <w:rPr>
          <w:lang w:val="pl"/>
        </w:rPr>
        <w:t xml:space="preserve">ratyfikacją, jeśli dana osoba została po ratyfikacji Konwencji skazana za ten sam czyn zabroniony </w:t>
      </w:r>
      <w:hyperlink r:id="rId1610" w:history="1">
        <w:r>
          <w:rPr>
            <w:lang w:val="pl"/>
          </w:rPr>
          <w:t>(</w:t>
        </w:r>
        <w:r>
          <w:rPr>
            <w:i/>
            <w:iCs/>
            <w:color w:val="0072BC"/>
            <w:lang w:val="pl"/>
          </w:rPr>
          <w:t xml:space="preserve">Marguš p. Chorwacji </w:t>
        </w:r>
      </w:hyperlink>
      <w:r>
        <w:rPr>
          <w:lang w:val="pl"/>
        </w:rPr>
        <w:t>[WI], §§ 93</w:t>
      </w:r>
      <w:r>
        <w:rPr>
          <w:lang w:val="pl"/>
        </w:rPr>
        <w:noBreakHyphen/>
        <w:t>98).</w:t>
      </w:r>
      <w:bookmarkEnd w:id="286"/>
    </w:p>
    <w:p w:rsidR="00B71A20" w:rsidRDefault="000425B4">
      <w:pPr>
        <w:pStyle w:val="Nagwek21"/>
        <w:keepNext/>
        <w:keepLines/>
        <w:spacing w:after="100"/>
        <w:jc w:val="both"/>
      </w:pPr>
      <w:bookmarkStart w:id="287" w:name="_Toc126335690"/>
      <w:bookmarkStart w:id="288" w:name="_Toc126660649"/>
      <w:r>
        <w:rPr>
          <w:lang w:val="pl"/>
        </w:rPr>
        <w:t xml:space="preserve">D. </w:t>
      </w:r>
      <w:r w:rsidR="00180FE3">
        <w:rPr>
          <w:lang w:val="pl"/>
        </w:rPr>
        <w:t xml:space="preserve"> </w:t>
      </w:r>
      <w:r>
        <w:rPr>
          <w:lang w:val="pl"/>
        </w:rPr>
        <w:t xml:space="preserve">Niezgodność </w:t>
      </w:r>
      <w:r>
        <w:rPr>
          <w:i/>
          <w:iCs/>
          <w:lang w:val="pl"/>
        </w:rPr>
        <w:t>ratione materiae</w:t>
      </w:r>
      <w:bookmarkEnd w:id="287"/>
      <w:bookmarkEnd w:id="288"/>
    </w:p>
    <w:p w:rsidR="00B71A20" w:rsidRPr="000625F6" w:rsidRDefault="000425B4" w:rsidP="00115011">
      <w:pPr>
        <w:pStyle w:val="Teksttreci0"/>
        <w:numPr>
          <w:ilvl w:val="0"/>
          <w:numId w:val="80"/>
        </w:numPr>
        <w:tabs>
          <w:tab w:val="left" w:pos="519"/>
        </w:tabs>
        <w:jc w:val="both"/>
        <w:rPr>
          <w:lang w:val="pl-PL"/>
        </w:rPr>
      </w:pPr>
      <w:r>
        <w:rPr>
          <w:lang w:val="pl"/>
        </w:rPr>
        <w:t xml:space="preserve">Zgodność </w:t>
      </w:r>
      <w:r>
        <w:rPr>
          <w:i/>
          <w:iCs/>
          <w:lang w:val="pl"/>
        </w:rPr>
        <w:t>ratione materiae</w:t>
      </w:r>
      <w:r>
        <w:rPr>
          <w:lang w:val="pl"/>
        </w:rPr>
        <w:t xml:space="preserve"> z Konwencją skargi lub zarzutu wynika z właściwości rzeczowej Trybunału. Jako że kwestia możliwości zastosowania wiąże się z jurysdykcją </w:t>
      </w:r>
      <w:r>
        <w:rPr>
          <w:i/>
          <w:iCs/>
          <w:lang w:val="pl"/>
        </w:rPr>
        <w:t>ratione materiae</w:t>
      </w:r>
      <w:r>
        <w:rPr>
          <w:lang w:val="pl"/>
        </w:rPr>
        <w:t xml:space="preserve"> Trybunału, odnośną analizę należy co do zasady przeprowadzić na et</w:t>
      </w:r>
      <w:r w:rsidR="00F343C9">
        <w:rPr>
          <w:lang w:val="pl"/>
        </w:rPr>
        <w:t>apie badania dopuszczalności, o </w:t>
      </w:r>
      <w:r>
        <w:rPr>
          <w:lang w:val="pl"/>
        </w:rPr>
        <w:t>ile nie występują szczególne przesłanki włączenia tego zagadnienia do przedmiotu skargi (patrz zasady wyłożone w sprawie</w:t>
      </w:r>
      <w:hyperlink r:id="rId1611" w:history="1">
        <w:r>
          <w:rPr>
            <w:i/>
            <w:iCs/>
            <w:lang w:val="pl"/>
          </w:rPr>
          <w:t xml:space="preserve"> </w:t>
        </w:r>
        <w:r>
          <w:rPr>
            <w:i/>
            <w:iCs/>
            <w:color w:val="0072BC"/>
            <w:lang w:val="pl"/>
          </w:rPr>
          <w:t xml:space="preserve">Denisov p. Ukrainie </w:t>
        </w:r>
      </w:hyperlink>
      <w:r>
        <w:rPr>
          <w:lang w:val="pl"/>
        </w:rPr>
        <w:t>[WI], § 93, a jako przykład patrz sprawa</w:t>
      </w:r>
      <w:hyperlink r:id="rId1612" w:history="1">
        <w:r>
          <w:rPr>
            <w:i/>
            <w:iCs/>
            <w:lang w:val="pl"/>
          </w:rPr>
          <w:t xml:space="preserve"> </w:t>
        </w:r>
        <w:r>
          <w:rPr>
            <w:i/>
            <w:iCs/>
            <w:color w:val="0072BC"/>
            <w:lang w:val="pl"/>
          </w:rPr>
          <w:t>Studio Monitori i</w:t>
        </w:r>
      </w:hyperlink>
      <w:r>
        <w:rPr>
          <w:i/>
          <w:iCs/>
          <w:color w:val="0072BC"/>
          <w:lang w:val="pl"/>
        </w:rPr>
        <w:t xml:space="preserve"> </w:t>
      </w:r>
      <w:hyperlink r:id="rId1613" w:history="1">
        <w:r>
          <w:rPr>
            <w:i/>
            <w:iCs/>
            <w:color w:val="0072BC"/>
            <w:lang w:val="pl"/>
          </w:rPr>
          <w:t>Inni p. Gruzji</w:t>
        </w:r>
        <w:r>
          <w:rPr>
            <w:lang w:val="pl"/>
          </w:rPr>
          <w:t>,</w:t>
        </w:r>
      </w:hyperlink>
      <w:r>
        <w:rPr>
          <w:lang w:val="pl"/>
        </w:rPr>
        <w:t xml:space="preserve"> § 32).</w:t>
      </w:r>
    </w:p>
    <w:p w:rsidR="00B71A20" w:rsidRPr="000625F6" w:rsidRDefault="000425B4" w:rsidP="00115011">
      <w:pPr>
        <w:pStyle w:val="Teksttreci0"/>
        <w:numPr>
          <w:ilvl w:val="0"/>
          <w:numId w:val="80"/>
        </w:numPr>
        <w:tabs>
          <w:tab w:val="left" w:pos="514"/>
        </w:tabs>
        <w:jc w:val="both"/>
        <w:rPr>
          <w:lang w:val="pl-PL"/>
        </w:rPr>
      </w:pPr>
      <w:r>
        <w:rPr>
          <w:lang w:val="pl"/>
        </w:rPr>
        <w:t xml:space="preserve">Aby skarga była zgodna </w:t>
      </w:r>
      <w:r>
        <w:rPr>
          <w:i/>
          <w:iCs/>
          <w:lang w:val="pl"/>
        </w:rPr>
        <w:t>ratione materiae</w:t>
      </w:r>
      <w:r>
        <w:rPr>
          <w:lang w:val="pl"/>
        </w:rPr>
        <w:t xml:space="preserve"> z Konwencją, prawo, na które powołuje się skarżący, musi być chronione na mocy Konwencji i Protokołów do niej, które weszły w życie. Na przykład skargi są uznawane za niedopuszczalne, jeśli dotyczą prawa do otrzymania prawa jazdy </w:t>
      </w:r>
      <w:hyperlink r:id="rId1614" w:history="1">
        <w:r>
          <w:rPr>
            <w:lang w:val="pl"/>
          </w:rPr>
          <w:t>(</w:t>
        </w:r>
        <w:r>
          <w:rPr>
            <w:i/>
            <w:iCs/>
            <w:color w:val="0072BC"/>
            <w:lang w:val="pl"/>
          </w:rPr>
          <w:t>X p. Niemcom</w:t>
        </w:r>
        <w:r>
          <w:rPr>
            <w:lang w:val="pl"/>
          </w:rPr>
          <w:t>,</w:t>
        </w:r>
      </w:hyperlink>
      <w:r>
        <w:rPr>
          <w:lang w:val="pl"/>
        </w:rPr>
        <w:t xml:space="preserve"> decyzja Komisji z 7 marca 1977 r.), prawa do samostanowienia </w:t>
      </w:r>
      <w:hyperlink r:id="rId1615" w:history="1">
        <w:r>
          <w:rPr>
            <w:lang w:val="pl"/>
          </w:rPr>
          <w:t>(</w:t>
        </w:r>
        <w:r>
          <w:rPr>
            <w:i/>
            <w:iCs/>
            <w:color w:val="0072BC"/>
            <w:lang w:val="pl"/>
          </w:rPr>
          <w:t>X p. Holandii</w:t>
        </w:r>
        <w:r>
          <w:rPr>
            <w:lang w:val="pl"/>
          </w:rPr>
          <w:t>,</w:t>
        </w:r>
      </w:hyperlink>
      <w:r>
        <w:rPr>
          <w:lang w:val="pl"/>
        </w:rPr>
        <w:t xml:space="preserve"> decyzja Komisji), prawa cudzoziemców do wjazdu i pobytu na terytorium układającego się państwa </w:t>
      </w:r>
      <w:hyperlink r:id="rId1616" w:history="1">
        <w:r>
          <w:rPr>
            <w:lang w:val="pl"/>
          </w:rPr>
          <w:t>(</w:t>
        </w:r>
        <w:r w:rsidR="00F343C9">
          <w:rPr>
            <w:i/>
            <w:iCs/>
            <w:color w:val="0072BC"/>
            <w:lang w:val="pl"/>
          </w:rPr>
          <w:t>Peñafiel Salgado p. </w:t>
        </w:r>
        <w:r>
          <w:rPr>
            <w:i/>
            <w:iCs/>
            <w:color w:val="0072BC"/>
            <w:lang w:val="pl"/>
          </w:rPr>
          <w:t xml:space="preserve">Hiszpanii </w:t>
        </w:r>
      </w:hyperlink>
      <w:r>
        <w:rPr>
          <w:lang w:val="pl"/>
        </w:rPr>
        <w:t xml:space="preserve">(dec.)), lub domniemanego uniwersalnego prawa indywidualnego do ochrony określonego dziedzictwa kulturowego </w:t>
      </w:r>
      <w:hyperlink r:id="rId1617" w:history="1">
        <w:r>
          <w:rPr>
            <w:lang w:val="pl"/>
          </w:rPr>
          <w:t>(</w:t>
        </w:r>
        <w:r>
          <w:rPr>
            <w:i/>
            <w:iCs/>
            <w:color w:val="0072BC"/>
            <w:lang w:val="pl"/>
          </w:rPr>
          <w:t xml:space="preserve">Ahunbay i Inni p. Turcji </w:t>
        </w:r>
      </w:hyperlink>
      <w:r>
        <w:rPr>
          <w:lang w:val="pl"/>
        </w:rPr>
        <w:t xml:space="preserve">(dec.), §§ 21-26), </w:t>
      </w:r>
      <w:r w:rsidR="00F343C9">
        <w:rPr>
          <w:lang w:val="pl"/>
        </w:rPr>
        <w:t>ponieważ prawa te nie wchodzą w </w:t>
      </w:r>
      <w:r>
        <w:rPr>
          <w:lang w:val="pl"/>
        </w:rPr>
        <w:t>zakres praw i wolności gwarantowanych przez Konwencję.</w:t>
      </w:r>
    </w:p>
    <w:p w:rsidR="00B71A20" w:rsidRPr="000625F6" w:rsidRDefault="000425B4" w:rsidP="00115011">
      <w:pPr>
        <w:pStyle w:val="Teksttreci0"/>
        <w:numPr>
          <w:ilvl w:val="0"/>
          <w:numId w:val="80"/>
        </w:numPr>
        <w:tabs>
          <w:tab w:val="left" w:pos="505"/>
        </w:tabs>
        <w:jc w:val="both"/>
        <w:rPr>
          <w:lang w:val="pl-PL"/>
        </w:rPr>
      </w:pPr>
      <w:r>
        <w:rPr>
          <w:lang w:val="pl"/>
        </w:rPr>
        <w:t xml:space="preserve">„Prawo do obywatelstwa” podobne do prawa określonego w art. 15 Powszechnej deklaracji praw człowieka, tudzież prawo do nabycia lub zachowania określonego obywatelstwa, również nie jest gwarantowane </w:t>
      </w:r>
      <w:hyperlink r:id="rId1618" w:history="1">
        <w:r>
          <w:rPr>
            <w:lang w:val="pl"/>
          </w:rPr>
          <w:t>(</w:t>
        </w:r>
        <w:r>
          <w:rPr>
            <w:i/>
            <w:iCs/>
            <w:color w:val="0072BC"/>
            <w:lang w:val="pl"/>
          </w:rPr>
          <w:t>Petropavlovskis</w:t>
        </w:r>
      </w:hyperlink>
      <w:r>
        <w:rPr>
          <w:i/>
          <w:iCs/>
          <w:color w:val="0072BC"/>
          <w:lang w:val="pl"/>
        </w:rPr>
        <w:t xml:space="preserve"> </w:t>
      </w:r>
      <w:hyperlink r:id="rId1619" w:history="1">
        <w:r>
          <w:rPr>
            <w:i/>
            <w:iCs/>
            <w:color w:val="0072BC"/>
            <w:lang w:val="pl"/>
          </w:rPr>
          <w:t>p. Łotwie</w:t>
        </w:r>
        <w:r>
          <w:rPr>
            <w:lang w:val="pl"/>
          </w:rPr>
          <w:t>,</w:t>
        </w:r>
      </w:hyperlink>
      <w:r>
        <w:rPr>
          <w:lang w:val="pl"/>
        </w:rPr>
        <w:t xml:space="preserve"> §§ 73-74). Mimo to Trybunał nie wyklucza, by arbitralna odmowa obywatelstwa mogła w określonych okolicznościach rodzić zagadnienie w świetle art. 8 Konwencji ze względu na wpływ takiej odmowy na życie prywatne danej osoby </w:t>
      </w:r>
      <w:hyperlink r:id="rId1620" w:history="1">
        <w:r>
          <w:rPr>
            <w:lang w:val="pl"/>
          </w:rPr>
          <w:t>(</w:t>
        </w:r>
        <w:r>
          <w:rPr>
            <w:i/>
            <w:iCs/>
            <w:color w:val="0072BC"/>
            <w:lang w:val="pl"/>
          </w:rPr>
          <w:t>Slivenko i Inni</w:t>
        </w:r>
      </w:hyperlink>
      <w:r>
        <w:rPr>
          <w:i/>
          <w:iCs/>
          <w:color w:val="0072BC"/>
          <w:lang w:val="pl"/>
        </w:rPr>
        <w:t xml:space="preserve"> </w:t>
      </w:r>
      <w:hyperlink r:id="rId1621" w:history="1">
        <w:r>
          <w:rPr>
            <w:i/>
            <w:iCs/>
            <w:color w:val="0072BC"/>
            <w:lang w:val="pl"/>
          </w:rPr>
          <w:t xml:space="preserve">p. Łotwie </w:t>
        </w:r>
      </w:hyperlink>
      <w:r>
        <w:rPr>
          <w:lang w:val="pl"/>
        </w:rPr>
        <w:t>(dec.) [WI], § 77;</w:t>
      </w:r>
      <w:hyperlink r:id="rId1622" w:history="1">
        <w:r>
          <w:rPr>
            <w:i/>
            <w:iCs/>
            <w:lang w:val="pl"/>
          </w:rPr>
          <w:t xml:space="preserve"> </w:t>
        </w:r>
        <w:r>
          <w:rPr>
            <w:i/>
            <w:iCs/>
            <w:color w:val="0072BC"/>
            <w:lang w:val="pl"/>
          </w:rPr>
          <w:t>Genovese p. Malcie</w:t>
        </w:r>
        <w:r>
          <w:rPr>
            <w:lang w:val="pl"/>
          </w:rPr>
          <w:t>,</w:t>
        </w:r>
      </w:hyperlink>
      <w:r>
        <w:rPr>
          <w:lang w:val="pl"/>
        </w:rPr>
        <w:t xml:space="preserve"> § 30). Te same zasady muszą mieć zastosowanie do odebrania udzielonego wcześniej obywatelstwa, ponieważ może to prowadzić do podobnej albo wręcz większej ingerencji w prawo danej osoby do poszanowania jej życia rodzinnego i prywatnego </w:t>
      </w:r>
      <w:hyperlink r:id="rId1623" w:history="1">
        <w:r>
          <w:rPr>
            <w:lang w:val="pl"/>
          </w:rPr>
          <w:t>(</w:t>
        </w:r>
        <w:r w:rsidR="0093676E">
          <w:rPr>
            <w:i/>
            <w:iCs/>
            <w:color w:val="0072BC"/>
            <w:lang w:val="pl"/>
          </w:rPr>
          <w:t>Ramadan p. </w:t>
        </w:r>
        <w:r>
          <w:rPr>
            <w:i/>
            <w:iCs/>
            <w:color w:val="0072BC"/>
            <w:lang w:val="pl"/>
          </w:rPr>
          <w:t>Malcie</w:t>
        </w:r>
        <w:r>
          <w:rPr>
            <w:lang w:val="pl"/>
          </w:rPr>
          <w:t>,</w:t>
        </w:r>
      </w:hyperlink>
      <w:r>
        <w:rPr>
          <w:lang w:val="pl"/>
        </w:rPr>
        <w:t xml:space="preserve"> §§ 84-85;</w:t>
      </w:r>
      <w:hyperlink r:id="rId1624" w:history="1">
        <w:r>
          <w:rPr>
            <w:i/>
            <w:iCs/>
            <w:lang w:val="pl"/>
          </w:rPr>
          <w:t xml:space="preserve"> </w:t>
        </w:r>
        <w:r>
          <w:rPr>
            <w:i/>
            <w:iCs/>
            <w:color w:val="0072BC"/>
            <w:lang w:val="pl"/>
          </w:rPr>
          <w:t xml:space="preserve">K2 p. Wielkiej Brytanii </w:t>
        </w:r>
      </w:hyperlink>
      <w:r>
        <w:rPr>
          <w:lang w:val="pl"/>
        </w:rPr>
        <w:t>(dec.), §§ 49-50;</w:t>
      </w:r>
      <w:hyperlink r:id="rId1625" w:history="1">
        <w:r>
          <w:rPr>
            <w:i/>
            <w:iCs/>
            <w:lang w:val="pl"/>
          </w:rPr>
          <w:t xml:space="preserve"> </w:t>
        </w:r>
        <w:r>
          <w:rPr>
            <w:i/>
            <w:iCs/>
            <w:color w:val="0072BC"/>
            <w:lang w:val="pl"/>
          </w:rPr>
          <w:t>Ghoumid i Inni p. Francji</w:t>
        </w:r>
        <w:r>
          <w:rPr>
            <w:lang w:val="pl"/>
          </w:rPr>
          <w:t>,</w:t>
        </w:r>
      </w:hyperlink>
      <w:r>
        <w:rPr>
          <w:lang w:val="pl"/>
        </w:rPr>
        <w:t xml:space="preserve"> §§ 41-44). Trybunał orzekł ponadto, że prawo do zrzeczenia się obywatelstwa jest gwarantowane Konwencją i Protokołami do niej; nie może to jednak wykluczać możliwości, by arbitralna o</w:t>
      </w:r>
      <w:r w:rsidR="00F343C9">
        <w:rPr>
          <w:lang w:val="pl"/>
        </w:rPr>
        <w:t>dmowa w odpowiedzi na wniosek o </w:t>
      </w:r>
      <w:r>
        <w:rPr>
          <w:lang w:val="pl"/>
        </w:rPr>
        <w:t xml:space="preserve">zrzeczenie się obywatelstwa rodziła w określonych okolicznościach zagadnienie w świetle art. 8 Konwencji, jeśli taka odmowa ma wpływ na życie prywatne danej osoby </w:t>
      </w:r>
      <w:hyperlink r:id="rId1626" w:history="1">
        <w:r>
          <w:rPr>
            <w:lang w:val="pl"/>
          </w:rPr>
          <w:t>(</w:t>
        </w:r>
        <w:r>
          <w:rPr>
            <w:i/>
            <w:iCs/>
            <w:color w:val="0072BC"/>
            <w:lang w:val="pl"/>
          </w:rPr>
          <w:t>Riener p. Bułgarii</w:t>
        </w:r>
        <w:r>
          <w:rPr>
            <w:lang w:val="pl"/>
          </w:rPr>
          <w:t>,</w:t>
        </w:r>
      </w:hyperlink>
      <w:r w:rsidR="0093676E">
        <w:rPr>
          <w:lang w:val="pl"/>
        </w:rPr>
        <w:t xml:space="preserve"> §§ </w:t>
      </w:r>
      <w:r>
        <w:rPr>
          <w:lang w:val="pl"/>
        </w:rPr>
        <w:t>153-154).</w:t>
      </w:r>
    </w:p>
    <w:p w:rsidR="00B71A20" w:rsidRPr="000625F6" w:rsidRDefault="000425B4" w:rsidP="00115011">
      <w:pPr>
        <w:pStyle w:val="Teksttreci0"/>
        <w:numPr>
          <w:ilvl w:val="0"/>
          <w:numId w:val="80"/>
        </w:numPr>
        <w:tabs>
          <w:tab w:val="left" w:pos="514"/>
        </w:tabs>
        <w:jc w:val="both"/>
        <w:rPr>
          <w:lang w:val="pl-PL"/>
        </w:rPr>
      </w:pPr>
      <w:r>
        <w:rPr>
          <w:lang w:val="pl"/>
        </w:rPr>
        <w:t>Chociaż Trybunał nie jest właściwy do badania zarzucanych naruszeń praw chronionych na mocy innych dokumentów międzynarodowych, przy określaniu znaczenia terminów i pojęć w tekście Konwencji może i musi brać pod uwagę elementy prawa międzynarodowego inne niż Konwencja (patrz np.</w:t>
      </w:r>
      <w:hyperlink r:id="rId1627" w:history="1">
        <w:r>
          <w:rPr>
            <w:i/>
            <w:iCs/>
            <w:lang w:val="pl"/>
          </w:rPr>
          <w:t xml:space="preserve"> </w:t>
        </w:r>
        <w:r>
          <w:rPr>
            <w:i/>
            <w:iCs/>
            <w:color w:val="0072BC"/>
            <w:lang w:val="pl"/>
          </w:rPr>
          <w:t xml:space="preserve">N.D. i N.T. p. Hiszpanii </w:t>
        </w:r>
      </w:hyperlink>
      <w:r>
        <w:rPr>
          <w:lang w:val="pl"/>
        </w:rPr>
        <w:t>[WI], §§ 172, 174-183 i cytowane tam odniesienia;</w:t>
      </w:r>
      <w:hyperlink r:id="rId1628" w:history="1">
        <w:r>
          <w:rPr>
            <w:i/>
            <w:iCs/>
            <w:lang w:val="pl"/>
          </w:rPr>
          <w:t xml:space="preserve"> </w:t>
        </w:r>
        <w:r>
          <w:rPr>
            <w:i/>
            <w:iCs/>
            <w:color w:val="0072BC"/>
            <w:lang w:val="pl"/>
          </w:rPr>
          <w:t xml:space="preserve">Demir i Baykara p. Turcji </w:t>
        </w:r>
      </w:hyperlink>
      <w:r>
        <w:rPr>
          <w:lang w:val="pl"/>
        </w:rPr>
        <w:t>[WI], § 85;</w:t>
      </w:r>
      <w:hyperlink r:id="rId1629" w:history="1">
        <w:r>
          <w:rPr>
            <w:i/>
            <w:iCs/>
            <w:lang w:val="pl"/>
          </w:rPr>
          <w:t xml:space="preserve"> </w:t>
        </w:r>
        <w:r>
          <w:rPr>
            <w:i/>
            <w:iCs/>
            <w:color w:val="0072BC"/>
            <w:lang w:val="pl"/>
          </w:rPr>
          <w:t xml:space="preserve">Hassan p. Wielkiej Brytanii </w:t>
        </w:r>
      </w:hyperlink>
      <w:r>
        <w:rPr>
          <w:lang w:val="pl"/>
        </w:rPr>
        <w:t xml:space="preserve">[WI], §§ 99 i nast.; </w:t>
      </w:r>
      <w:hyperlink r:id="rId1630" w:history="1">
        <w:r>
          <w:rPr>
            <w:i/>
            <w:iCs/>
            <w:color w:val="0072BC"/>
            <w:lang w:val="pl"/>
          </w:rPr>
          <w:t xml:space="preserve">Blokhin p. Rosji </w:t>
        </w:r>
      </w:hyperlink>
      <w:r>
        <w:rPr>
          <w:lang w:val="pl"/>
        </w:rPr>
        <w:t>[WI], § 203).</w:t>
      </w:r>
    </w:p>
    <w:p w:rsidR="00B71A20" w:rsidRPr="000625F6" w:rsidRDefault="000425B4" w:rsidP="00115011">
      <w:pPr>
        <w:pStyle w:val="Teksttreci0"/>
        <w:numPr>
          <w:ilvl w:val="0"/>
          <w:numId w:val="80"/>
        </w:numPr>
        <w:tabs>
          <w:tab w:val="left" w:pos="510"/>
        </w:tabs>
        <w:jc w:val="both"/>
        <w:rPr>
          <w:lang w:val="pl-PL"/>
        </w:rPr>
      </w:pPr>
      <w:r>
        <w:rPr>
          <w:lang w:val="pl"/>
        </w:rPr>
        <w:t>Zgodnie z orzeczeniem w sprawie</w:t>
      </w:r>
      <w:hyperlink r:id="rId1631" w:history="1">
        <w:r>
          <w:rPr>
            <w:i/>
            <w:iCs/>
            <w:lang w:val="pl"/>
          </w:rPr>
          <w:t xml:space="preserve"> </w:t>
        </w:r>
        <w:r>
          <w:rPr>
            <w:i/>
            <w:iCs/>
            <w:color w:val="0072BC"/>
            <w:lang w:val="pl"/>
          </w:rPr>
          <w:t xml:space="preserve">Blečić p. Chorwacji </w:t>
        </w:r>
      </w:hyperlink>
      <w:r>
        <w:rPr>
          <w:lang w:val="pl"/>
        </w:rPr>
        <w:t xml:space="preserve">[WI], § 67, każde zagadnienie mające wpływ na jurysdykcję Trybunału wymaga wyjaśnienia na podstawie Konwencji, w szczególności art. 32 </w:t>
      </w:r>
      <w:hyperlink r:id="rId1632" w:history="1">
        <w:r>
          <w:rPr>
            <w:lang w:val="pl"/>
          </w:rPr>
          <w:t>(</w:t>
        </w:r>
        <w:r>
          <w:rPr>
            <w:i/>
            <w:iCs/>
            <w:color w:val="0072BC"/>
            <w:lang w:val="pl"/>
          </w:rPr>
          <w:t xml:space="preserve">Slivenko i Inni p. Łotwie </w:t>
        </w:r>
      </w:hyperlink>
      <w:r>
        <w:rPr>
          <w:lang w:val="pl"/>
        </w:rPr>
        <w:t xml:space="preserve">(dec.) [WI], § 56 i nast.), a nie oświadczeń stron w danej sprawie, a sam brak zarzutu niezgodności nie może rozszerzać tej jurysdykcji. W rezultacie Trybunał jest zobowiązany do badania, czy posiada jurysdykcję </w:t>
      </w:r>
      <w:r>
        <w:rPr>
          <w:i/>
          <w:iCs/>
          <w:lang w:val="pl"/>
        </w:rPr>
        <w:t xml:space="preserve">ratione materiae </w:t>
      </w:r>
      <w:r>
        <w:rPr>
          <w:lang w:val="pl"/>
        </w:rPr>
        <w:t xml:space="preserve">na każdym etapie postępowania, niezależnie od tego, czy rząd podniósł taki zarzut </w:t>
      </w:r>
      <w:hyperlink r:id="rId1633" w:history="1">
        <w:r>
          <w:rPr>
            <w:lang w:val="pl"/>
          </w:rPr>
          <w:t>(</w:t>
        </w:r>
        <w:r>
          <w:rPr>
            <w:i/>
            <w:iCs/>
            <w:color w:val="0072BC"/>
            <w:lang w:val="pl"/>
          </w:rPr>
          <w:t xml:space="preserve">Tănase p. Mołdawii </w:t>
        </w:r>
      </w:hyperlink>
      <w:r>
        <w:rPr>
          <w:lang w:val="pl"/>
        </w:rPr>
        <w:t xml:space="preserve">[WI], § 131). Trybunał może zatem zająć się tą kwestią z urzędu </w:t>
      </w:r>
      <w:hyperlink r:id="rId1634" w:history="1">
        <w:r>
          <w:rPr>
            <w:lang w:val="pl"/>
          </w:rPr>
          <w:t>(</w:t>
        </w:r>
        <w:r>
          <w:rPr>
            <w:i/>
            <w:iCs/>
            <w:color w:val="0072BC"/>
            <w:lang w:val="pl"/>
          </w:rPr>
          <w:t>Studio Monitori i Inni</w:t>
        </w:r>
      </w:hyperlink>
      <w:r>
        <w:rPr>
          <w:i/>
          <w:iCs/>
          <w:color w:val="0072BC"/>
          <w:lang w:val="pl"/>
        </w:rPr>
        <w:t xml:space="preserve"> </w:t>
      </w:r>
      <w:hyperlink r:id="rId1635" w:history="1">
        <w:r>
          <w:rPr>
            <w:i/>
            <w:iCs/>
            <w:color w:val="0072BC"/>
            <w:lang w:val="pl"/>
          </w:rPr>
          <w:t>p. Gruzji</w:t>
        </w:r>
        <w:r>
          <w:rPr>
            <w:lang w:val="pl"/>
          </w:rPr>
          <w:t>,</w:t>
        </w:r>
      </w:hyperlink>
      <w:r>
        <w:rPr>
          <w:lang w:val="pl"/>
        </w:rPr>
        <w:t xml:space="preserve"> § 32).</w:t>
      </w:r>
    </w:p>
    <w:p w:rsidR="00B71A20" w:rsidRPr="00F343C9" w:rsidRDefault="000425B4" w:rsidP="00115011">
      <w:pPr>
        <w:pStyle w:val="Teksttreci0"/>
        <w:numPr>
          <w:ilvl w:val="0"/>
          <w:numId w:val="80"/>
        </w:numPr>
        <w:tabs>
          <w:tab w:val="left" w:pos="500"/>
        </w:tabs>
        <w:spacing w:after="120"/>
        <w:jc w:val="both"/>
        <w:rPr>
          <w:lang w:val="pl-PL"/>
        </w:rPr>
      </w:pPr>
      <w:r>
        <w:rPr>
          <w:lang w:val="pl"/>
        </w:rPr>
        <w:t xml:space="preserve">Skargi dotyczące postanowienia Konwencji, w odniesieniu do którego pozwane państwo wniosło zastrzeżenie, są uznawane za niezgodne </w:t>
      </w:r>
      <w:r>
        <w:rPr>
          <w:i/>
          <w:iCs/>
          <w:lang w:val="pl"/>
        </w:rPr>
        <w:t>ratione materiae</w:t>
      </w:r>
      <w:r>
        <w:rPr>
          <w:lang w:val="pl"/>
        </w:rPr>
        <w:t xml:space="preserve"> z Konwencją </w:t>
      </w:r>
      <w:hyperlink r:id="rId1636" w:history="1">
        <w:r>
          <w:rPr>
            <w:lang w:val="pl"/>
          </w:rPr>
          <w:t>(</w:t>
        </w:r>
        <w:r>
          <w:rPr>
            <w:i/>
            <w:iCs/>
            <w:color w:val="0072BC"/>
            <w:lang w:val="pl"/>
          </w:rPr>
          <w:t>Benavent</w:t>
        </w:r>
      </w:hyperlink>
      <w:r>
        <w:rPr>
          <w:i/>
          <w:iCs/>
          <w:color w:val="0072BC"/>
          <w:lang w:val="pl"/>
        </w:rPr>
        <w:t xml:space="preserve"> </w:t>
      </w:r>
      <w:hyperlink r:id="rId1637" w:history="1">
        <w:r>
          <w:rPr>
            <w:i/>
            <w:iCs/>
            <w:color w:val="0072BC"/>
            <w:lang w:val="pl"/>
          </w:rPr>
          <w:t xml:space="preserve">Díaz p. Hiszpanii </w:t>
        </w:r>
      </w:hyperlink>
      <w:r>
        <w:rPr>
          <w:lang w:val="pl"/>
        </w:rPr>
        <w:t>(dec.), § 53;</w:t>
      </w:r>
      <w:hyperlink r:id="rId1638" w:history="1">
        <w:r>
          <w:rPr>
            <w:lang w:val="pl"/>
          </w:rPr>
          <w:t xml:space="preserve"> </w:t>
        </w:r>
        <w:r>
          <w:rPr>
            <w:i/>
            <w:iCs/>
            <w:color w:val="0072BC"/>
            <w:lang w:val="pl"/>
          </w:rPr>
          <w:t xml:space="preserve">Kozlova i Smirnova p. Łotwie </w:t>
        </w:r>
      </w:hyperlink>
      <w:r>
        <w:rPr>
          <w:lang w:val="pl"/>
        </w:rPr>
        <w:t xml:space="preserve">(dec.)), pod warunkiem że taka kwestia mieści się w zakresie wniesionego zastrzeżenia </w:t>
      </w:r>
      <w:hyperlink r:id="rId1639" w:history="1">
        <w:r>
          <w:rPr>
            <w:lang w:val="pl"/>
          </w:rPr>
          <w:t>(</w:t>
        </w:r>
        <w:r>
          <w:rPr>
            <w:i/>
            <w:iCs/>
            <w:color w:val="0072BC"/>
            <w:lang w:val="pl"/>
          </w:rPr>
          <w:t>Göktan p. Francji</w:t>
        </w:r>
        <w:r>
          <w:rPr>
            <w:lang w:val="pl"/>
          </w:rPr>
          <w:t>,</w:t>
        </w:r>
      </w:hyperlink>
      <w:r>
        <w:rPr>
          <w:lang w:val="pl"/>
        </w:rPr>
        <w:t xml:space="preserve"> § 51), a zastrzeżenie takie zostało uznane przez Trybunał dla celów art. 57 Konwencji </w:t>
      </w:r>
      <w:hyperlink r:id="rId1640" w:history="1">
        <w:r>
          <w:rPr>
            <w:lang w:val="pl"/>
          </w:rPr>
          <w:t>(</w:t>
        </w:r>
        <w:r>
          <w:rPr>
            <w:i/>
            <w:iCs/>
            <w:color w:val="0072BC"/>
            <w:lang w:val="pl"/>
          </w:rPr>
          <w:t>Grande Stevens i Inni p. Włochom</w:t>
        </w:r>
        <w:r>
          <w:rPr>
            <w:lang w:val="pl"/>
          </w:rPr>
          <w:t>,</w:t>
        </w:r>
      </w:hyperlink>
      <w:r>
        <w:rPr>
          <w:lang w:val="pl"/>
        </w:rPr>
        <w:t xml:space="preserve"> §§ 206 i nast.). W odniesieniu do nieuznania oświadczenia interpretacyjnego patrz</w:t>
      </w:r>
      <w:hyperlink r:id="rId1641" w:history="1">
        <w:r>
          <w:rPr>
            <w:i/>
            <w:iCs/>
            <w:lang w:val="pl"/>
          </w:rPr>
          <w:t xml:space="preserve"> </w:t>
        </w:r>
        <w:r>
          <w:rPr>
            <w:i/>
            <w:iCs/>
            <w:color w:val="0072BC"/>
            <w:lang w:val="pl"/>
          </w:rPr>
          <w:t>Belilos p. Szwajcarii</w:t>
        </w:r>
        <w:r>
          <w:rPr>
            <w:lang w:val="pl"/>
          </w:rPr>
          <w:t>.</w:t>
        </w:r>
      </w:hyperlink>
      <w:r>
        <w:rPr>
          <w:lang w:val="pl"/>
        </w:rPr>
        <w:t xml:space="preserve"> Odnośnie do zastrzeżenia dotyczącego wcześniejszych zobowiązań w ramach umowy międzynarodowej patrz</w:t>
      </w:r>
      <w:hyperlink r:id="rId1642" w:history="1">
        <w:r>
          <w:rPr>
            <w:i/>
            <w:iCs/>
            <w:lang w:val="pl"/>
          </w:rPr>
          <w:t xml:space="preserve"> </w:t>
        </w:r>
        <w:r w:rsidR="00F343C9">
          <w:rPr>
            <w:i/>
            <w:iCs/>
            <w:color w:val="0072BC"/>
            <w:lang w:val="pl"/>
          </w:rPr>
          <w:t>Slivenko i Inni p. </w:t>
        </w:r>
        <w:r>
          <w:rPr>
            <w:i/>
            <w:iCs/>
            <w:color w:val="0072BC"/>
            <w:lang w:val="pl"/>
          </w:rPr>
          <w:t xml:space="preserve">Łotwie </w:t>
        </w:r>
      </w:hyperlink>
      <w:r>
        <w:rPr>
          <w:lang w:val="pl"/>
        </w:rPr>
        <w:t>(dec.) [WI], §§ 60-61.</w:t>
      </w:r>
    </w:p>
    <w:p w:rsidR="00B71A20" w:rsidRPr="000625F6" w:rsidRDefault="000425B4" w:rsidP="00115011">
      <w:pPr>
        <w:pStyle w:val="Teksttreci0"/>
        <w:numPr>
          <w:ilvl w:val="0"/>
          <w:numId w:val="80"/>
        </w:numPr>
        <w:tabs>
          <w:tab w:val="left" w:pos="519"/>
        </w:tabs>
        <w:spacing w:after="120"/>
        <w:jc w:val="both"/>
        <w:rPr>
          <w:lang w:val="pl-PL"/>
        </w:rPr>
      </w:pPr>
      <w:r>
        <w:rPr>
          <w:lang w:val="pl"/>
        </w:rPr>
        <w:t xml:space="preserve">Ponadto Trybunał nie posiada jurysdykcji </w:t>
      </w:r>
      <w:r>
        <w:rPr>
          <w:i/>
          <w:iCs/>
          <w:lang w:val="pl"/>
        </w:rPr>
        <w:t>ratione materiae w</w:t>
      </w:r>
      <w:r>
        <w:rPr>
          <w:lang w:val="pl"/>
        </w:rPr>
        <w:t xml:space="preserve"> zakresie badania, czy układające się państwo wywiązało się z obowiązków nałożonych na nie na mocy jednego z wyroków Trybunału. Skargi na niewykonanie wyroku Trybunału lub nienaprawienie naruszenia uznanego już przez Trybunał nie mieszczą się w jego kompetencji </w:t>
      </w:r>
      <w:r>
        <w:rPr>
          <w:i/>
          <w:iCs/>
          <w:lang w:val="pl"/>
        </w:rPr>
        <w:t xml:space="preserve">ratione materiae </w:t>
      </w:r>
      <w:hyperlink r:id="rId1643" w:history="1">
        <w:r>
          <w:rPr>
            <w:lang w:val="pl"/>
          </w:rPr>
          <w:t>(</w:t>
        </w:r>
        <w:r>
          <w:rPr>
            <w:i/>
            <w:iCs/>
            <w:color w:val="0072BC"/>
            <w:lang w:val="pl"/>
          </w:rPr>
          <w:t xml:space="preserve">Bochan p. Ukrainie (nr 2) </w:t>
        </w:r>
      </w:hyperlink>
      <w:r>
        <w:rPr>
          <w:lang w:val="pl"/>
        </w:rPr>
        <w:t xml:space="preserve">[WI], § 34 (z cytowaniem </w:t>
      </w:r>
      <w:hyperlink r:id="rId1644" w:history="1">
        <w:r>
          <w:rPr>
            <w:i/>
            <w:iCs/>
            <w:color w:val="0072BC"/>
            <w:lang w:val="pl"/>
          </w:rPr>
          <w:t xml:space="preserve">Egmez p. Cyprowi </w:t>
        </w:r>
      </w:hyperlink>
      <w:r>
        <w:rPr>
          <w:lang w:val="pl"/>
        </w:rPr>
        <w:t xml:space="preserve">(dec.)) i 35). Trybunał nie może zajmować się skargami tego typu bez naruszania kompetencji Komitetu Ministrów Rady Europy, który nadzoruje wykonywanie wyroków na podstawie art. 46 ust. 2 Konwencji. Jednakże rola Komitetu Ministrów w tej sferze nie oznacza, że środki podjęte przez pozwane państwo w celu usunięcia naruszenia stwierdzonego przez Trybunał nie mogą spowodować wystąpienia nowego problemu nieobjętego wyrokiem i stanowić jako takie przedmiot nowej skargi podlegającej rozpatrzeniu przez Trybunał </w:t>
      </w:r>
      <w:hyperlink r:id="rId1645" w:history="1">
        <w:r>
          <w:rPr>
            <w:lang w:val="pl"/>
          </w:rPr>
          <w:t>(</w:t>
        </w:r>
        <w:r>
          <w:rPr>
            <w:i/>
            <w:iCs/>
            <w:color w:val="0072BC"/>
            <w:lang w:val="pl"/>
          </w:rPr>
          <w:t>Verein gegen Tierfabriken</w:t>
        </w:r>
      </w:hyperlink>
      <w:r>
        <w:rPr>
          <w:i/>
          <w:iCs/>
          <w:color w:val="0072BC"/>
          <w:lang w:val="pl"/>
        </w:rPr>
        <w:t xml:space="preserve"> </w:t>
      </w:r>
      <w:hyperlink r:id="rId1646" w:history="1">
        <w:r w:rsidR="00F343C9">
          <w:rPr>
            <w:i/>
            <w:iCs/>
            <w:color w:val="0072BC"/>
            <w:lang w:val="pl"/>
          </w:rPr>
          <w:t>Schweiz (VgT) p. </w:t>
        </w:r>
        <w:r>
          <w:rPr>
            <w:i/>
            <w:iCs/>
            <w:color w:val="0072BC"/>
            <w:lang w:val="pl"/>
          </w:rPr>
          <w:t xml:space="preserve">Szwajcarii (nr 2) </w:t>
        </w:r>
      </w:hyperlink>
      <w:r>
        <w:rPr>
          <w:lang w:val="pl"/>
        </w:rPr>
        <w:t xml:space="preserve">[WI], § 62). Innymi słowy, Trybunał może rozpoznać skargę dotyczącą tego, że wznowienie postępowania na poziomie krajowym w drodze realizacji jednego z jego orzeczeń dało początek nowemu naruszeniu Konwencji </w:t>
      </w:r>
      <w:hyperlink r:id="rId1647" w:history="1">
        <w:r>
          <w:rPr>
            <w:lang w:val="pl"/>
          </w:rPr>
          <w:t>(</w:t>
        </w:r>
        <w:r>
          <w:rPr>
            <w:i/>
            <w:iCs/>
            <w:color w:val="0072BC"/>
            <w:lang w:val="pl"/>
          </w:rPr>
          <w:t>ibid.</w:t>
        </w:r>
        <w:r>
          <w:rPr>
            <w:lang w:val="pl"/>
          </w:rPr>
          <w:t>;</w:t>
        </w:r>
      </w:hyperlink>
      <w:hyperlink r:id="rId1648" w:history="1">
        <w:r>
          <w:rPr>
            <w:i/>
            <w:iCs/>
            <w:lang w:val="pl"/>
          </w:rPr>
          <w:t xml:space="preserve"> </w:t>
        </w:r>
        <w:r>
          <w:rPr>
            <w:i/>
            <w:iCs/>
            <w:color w:val="0072BC"/>
            <w:lang w:val="pl"/>
          </w:rPr>
          <w:t>Lyons i Inni p. Wielkiej</w:t>
        </w:r>
      </w:hyperlink>
      <w:r>
        <w:rPr>
          <w:i/>
          <w:iCs/>
          <w:color w:val="0072BC"/>
          <w:lang w:val="pl"/>
        </w:rPr>
        <w:t xml:space="preserve"> </w:t>
      </w:r>
      <w:hyperlink r:id="rId1649" w:history="1">
        <w:r>
          <w:rPr>
            <w:i/>
            <w:iCs/>
            <w:color w:val="0072BC"/>
            <w:lang w:val="pl"/>
          </w:rPr>
          <w:t xml:space="preserve">Brytanii </w:t>
        </w:r>
      </w:hyperlink>
      <w:r>
        <w:rPr>
          <w:lang w:val="pl"/>
        </w:rPr>
        <w:t xml:space="preserve">(dec.)). Trybunał może być właściwy do zbadania zarzutu dotyczącego odmowy przez sąd krajowy wznowienia postępowania cywilnego lub karnego po wcześniejszym stwierdzeniu przez Trybunał naruszenia art. 6, o ile ten zarzut dotyczy „nowej kwestii” nierozstrzygniętej pierwszym wyrokiem, np. zarzucanej niesprawiedliwości dalszego postępowania przed tym sądem krajowym </w:t>
      </w:r>
      <w:hyperlink r:id="rId1650" w:history="1">
        <w:r>
          <w:rPr>
            <w:lang w:val="pl"/>
          </w:rPr>
          <w:t>(</w:t>
        </w:r>
        <w:r>
          <w:rPr>
            <w:i/>
            <w:iCs/>
            <w:color w:val="0072BC"/>
            <w:lang w:val="pl"/>
          </w:rPr>
          <w:t xml:space="preserve">Bochan p. Ukrainie (nr 2) </w:t>
        </w:r>
      </w:hyperlink>
      <w:r w:rsidR="00F343C9">
        <w:rPr>
          <w:lang w:val="pl"/>
        </w:rPr>
        <w:t>[WI], §§ 35</w:t>
      </w:r>
      <w:r w:rsidR="00F343C9">
        <w:rPr>
          <w:lang w:val="pl"/>
        </w:rPr>
        <w:noBreakHyphen/>
        <w:t>39, w </w:t>
      </w:r>
      <w:r>
        <w:rPr>
          <w:lang w:val="pl"/>
        </w:rPr>
        <w:t>kontekście cywilnym;</w:t>
      </w:r>
      <w:hyperlink r:id="rId1651" w:history="1">
        <w:r>
          <w:rPr>
            <w:i/>
            <w:iCs/>
            <w:lang w:val="pl"/>
          </w:rPr>
          <w:t xml:space="preserve"> </w:t>
        </w:r>
        <w:r>
          <w:rPr>
            <w:i/>
            <w:iCs/>
            <w:color w:val="0072BC"/>
            <w:lang w:val="pl"/>
          </w:rPr>
          <w:t>Moreira Ferreira p. Portugalii</w:t>
        </w:r>
      </w:hyperlink>
      <w:r>
        <w:rPr>
          <w:i/>
          <w:iCs/>
          <w:color w:val="0072BC"/>
          <w:lang w:val="pl"/>
        </w:rPr>
        <w:t xml:space="preserve"> </w:t>
      </w:r>
      <w:hyperlink r:id="rId1652" w:history="1">
        <w:r>
          <w:rPr>
            <w:i/>
            <w:iCs/>
            <w:color w:val="0072BC"/>
            <w:lang w:val="pl"/>
          </w:rPr>
          <w:t xml:space="preserve">(nr 2) </w:t>
        </w:r>
      </w:hyperlink>
      <w:r>
        <w:rPr>
          <w:lang w:val="pl"/>
        </w:rPr>
        <w:t>[WI], §§ 52</w:t>
      </w:r>
      <w:r>
        <w:rPr>
          <w:lang w:val="pl"/>
        </w:rPr>
        <w:noBreakHyphen/>
        <w:t xml:space="preserve">58, w kontekście karnym). Trybunał może też być właściwy do zbadania zarzucanego braku skuteczności nowego postępowania przygotowawczego podjętego po wyroku stwierdzającym naruszenie art. 3 w aspekcie proceduralnym </w:t>
      </w:r>
      <w:hyperlink r:id="rId1653" w:history="1">
        <w:r>
          <w:rPr>
            <w:lang w:val="pl"/>
          </w:rPr>
          <w:t>(</w:t>
        </w:r>
        <w:r>
          <w:rPr>
            <w:i/>
            <w:iCs/>
            <w:color w:val="0072BC"/>
            <w:lang w:val="pl"/>
          </w:rPr>
          <w:t>V.D. p. Chorwacji (nr 2)</w:t>
        </w:r>
        <w:r>
          <w:rPr>
            <w:lang w:val="pl"/>
          </w:rPr>
          <w:t>,</w:t>
        </w:r>
      </w:hyperlink>
      <w:r>
        <w:rPr>
          <w:lang w:val="pl"/>
        </w:rPr>
        <w:t xml:space="preserve"> §§ 46-54).</w:t>
      </w:r>
    </w:p>
    <w:p w:rsidR="00B71A20" w:rsidRPr="000625F6" w:rsidRDefault="000425B4" w:rsidP="00115011">
      <w:pPr>
        <w:pStyle w:val="Teksttreci0"/>
        <w:numPr>
          <w:ilvl w:val="0"/>
          <w:numId w:val="80"/>
        </w:numPr>
        <w:tabs>
          <w:tab w:val="left" w:pos="514"/>
        </w:tabs>
        <w:spacing w:after="120"/>
        <w:jc w:val="both"/>
        <w:rPr>
          <w:lang w:val="pl-PL"/>
        </w:rPr>
      </w:pPr>
      <w:r>
        <w:rPr>
          <w:lang w:val="pl"/>
        </w:rPr>
        <w:t xml:space="preserve">Należy zwrócić uwagę, że zdecydowana większość decyzji stwierdzających, że skargi są niedopuszczalne z uwagi niezgodność </w:t>
      </w:r>
      <w:r>
        <w:rPr>
          <w:i/>
          <w:iCs/>
          <w:lang w:val="pl"/>
        </w:rPr>
        <w:t>ratione materiae</w:t>
      </w:r>
      <w:r>
        <w:rPr>
          <w:lang w:val="pl"/>
        </w:rPr>
        <w:t>, odnosi się do zakresu postanowień Konwencji lub Protokołów do niej, w szczególności art. 2 Konwencji (prawo do życia), art. 3 (zakaz tortur), art. 4 Konwencji (zakaz niewolnictwa i pracy przymusowej), art. 5</w:t>
      </w:r>
      <w:r w:rsidR="00F343C9">
        <w:rPr>
          <w:lang w:val="pl"/>
        </w:rPr>
        <w:t xml:space="preserve"> Konwencji (prawo do wolności i </w:t>
      </w:r>
      <w:r>
        <w:rPr>
          <w:lang w:val="pl"/>
        </w:rPr>
        <w:t>bezpieczeństwa), art. 6 Konwencji (prawo do rzetelnego rozpatrzenia sprawy), art. 7 (zakaz karania bez podstawy prawnej), art. 8 (prawo do poszanowania życia prywatnego i rodzinnego; patrz np.</w:t>
      </w:r>
      <w:hyperlink r:id="rId1654" w:history="1">
        <w:r>
          <w:rPr>
            <w:i/>
            <w:iCs/>
            <w:lang w:val="pl"/>
          </w:rPr>
          <w:t xml:space="preserve"> </w:t>
        </w:r>
        <w:r>
          <w:rPr>
            <w:i/>
            <w:iCs/>
            <w:color w:val="0072BC"/>
            <w:lang w:val="pl"/>
          </w:rPr>
          <w:t xml:space="preserve">Denisov p. Ukrainie </w:t>
        </w:r>
      </w:hyperlink>
      <w:r>
        <w:rPr>
          <w:lang w:val="pl"/>
        </w:rPr>
        <w:t>[WI], § 134), art. 9 (wolność myśli, sumienia i wyznania), art. 10 (wolność wyrażania opinii), art. 11 (wolność zgromadzeń i stowarzyszania się), a także art. 1 Protokołu nr 1 do Konwencji (ochrona własności) i innych artykułów. Zakres stosowania tych art</w:t>
      </w:r>
      <w:r w:rsidR="00F343C9">
        <w:rPr>
          <w:lang w:val="pl"/>
        </w:rPr>
        <w:t>ykułów został przeanalizowany w </w:t>
      </w:r>
      <w:r>
        <w:rPr>
          <w:lang w:val="pl"/>
        </w:rPr>
        <w:t xml:space="preserve">poszczególnych przewodnikach po orzecznictwie (dostępnych na stronie Trybunału: </w:t>
      </w:r>
      <w:r>
        <w:rPr>
          <w:color w:val="0072BC"/>
          <w:lang w:val="pl"/>
        </w:rPr>
        <w:t xml:space="preserve">www.echr.coe.int </w:t>
      </w:r>
      <w:r>
        <w:rPr>
          <w:lang w:val="pl"/>
        </w:rPr>
        <w:t>– Case-law – Case-law analysis):</w:t>
      </w:r>
    </w:p>
    <w:p w:rsidR="00B71A20" w:rsidRPr="000625F6" w:rsidRDefault="000425B4" w:rsidP="00115011">
      <w:pPr>
        <w:pStyle w:val="Teksttreci0"/>
        <w:numPr>
          <w:ilvl w:val="0"/>
          <w:numId w:val="81"/>
        </w:numPr>
        <w:tabs>
          <w:tab w:val="left" w:pos="878"/>
          <w:tab w:val="right" w:pos="1411"/>
          <w:tab w:val="left" w:pos="1556"/>
          <w:tab w:val="left" w:pos="1806"/>
          <w:tab w:val="left" w:pos="2434"/>
          <w:tab w:val="right" w:pos="4176"/>
        </w:tabs>
        <w:spacing w:after="40"/>
        <w:ind w:firstLine="600"/>
        <w:jc w:val="both"/>
        <w:rPr>
          <w:lang w:val="pl-PL"/>
        </w:rPr>
      </w:pPr>
      <w:r>
        <w:rPr>
          <w:lang w:val="pl"/>
        </w:rPr>
        <w:t>Przewodnik na temat</w:t>
      </w:r>
      <w:hyperlink r:id="rId1655" w:history="1">
        <w:r>
          <w:rPr>
            <w:lang w:val="pl"/>
          </w:rPr>
          <w:t xml:space="preserve"> </w:t>
        </w:r>
        <w:r>
          <w:rPr>
            <w:color w:val="0072BC"/>
            <w:lang w:val="pl"/>
          </w:rPr>
          <w:t>art. 2 Konwencji</w:t>
        </w:r>
        <w:r>
          <w:rPr>
            <w:lang w:val="pl"/>
          </w:rPr>
          <w:t>;</w:t>
        </w:r>
      </w:hyperlink>
      <w:r>
        <w:rPr>
          <w:lang w:val="pl"/>
        </w:rPr>
        <w:tab/>
      </w:r>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 w:val="right" w:pos="4176"/>
        </w:tabs>
        <w:spacing w:after="40"/>
        <w:ind w:firstLine="600"/>
        <w:jc w:val="both"/>
        <w:rPr>
          <w:lang w:val="pl-PL"/>
        </w:rPr>
      </w:pPr>
      <w:r>
        <w:rPr>
          <w:lang w:val="pl"/>
        </w:rPr>
        <w:t>Przewodnik na temat</w:t>
      </w:r>
      <w:hyperlink r:id="rId1656" w:history="1">
        <w:r>
          <w:rPr>
            <w:lang w:val="pl"/>
          </w:rPr>
          <w:t xml:space="preserve"> </w:t>
        </w:r>
        <w:r>
          <w:rPr>
            <w:color w:val="0072BC"/>
            <w:lang w:val="pl"/>
          </w:rPr>
          <w:t>art. 4 Konwencji</w:t>
        </w:r>
        <w:r>
          <w:rPr>
            <w:lang w:val="pl"/>
          </w:rPr>
          <w:t>;</w:t>
        </w:r>
      </w:hyperlink>
      <w:r>
        <w:rPr>
          <w:lang w:val="pl"/>
        </w:rPr>
        <w:tab/>
      </w:r>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 w:val="right" w:pos="4176"/>
        </w:tabs>
        <w:spacing w:after="40"/>
        <w:ind w:firstLine="600"/>
        <w:jc w:val="both"/>
        <w:rPr>
          <w:lang w:val="pl-PL"/>
        </w:rPr>
      </w:pPr>
      <w:r>
        <w:rPr>
          <w:lang w:val="pl"/>
        </w:rPr>
        <w:t>Przewodnik na temat</w:t>
      </w:r>
      <w:hyperlink r:id="rId1657" w:history="1">
        <w:r>
          <w:rPr>
            <w:lang w:val="pl"/>
          </w:rPr>
          <w:t xml:space="preserve"> </w:t>
        </w:r>
        <w:r>
          <w:rPr>
            <w:color w:val="0072BC"/>
            <w:lang w:val="pl"/>
          </w:rPr>
          <w:t>art. 5 Konwencji</w:t>
        </w:r>
        <w:r>
          <w:rPr>
            <w:lang w:val="pl"/>
          </w:rPr>
          <w:t>;</w:t>
        </w:r>
      </w:hyperlink>
      <w:r>
        <w:rPr>
          <w:lang w:val="pl"/>
        </w:rPr>
        <w:tab/>
      </w:r>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58" w:history="1">
        <w:r>
          <w:rPr>
            <w:lang w:val="pl"/>
          </w:rPr>
          <w:t xml:space="preserve"> </w:t>
        </w:r>
        <w:r>
          <w:rPr>
            <w:color w:val="0072BC"/>
            <w:lang w:val="pl"/>
          </w:rPr>
          <w:t>art. 6 (aspekt cywilny)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s>
        <w:spacing w:after="40"/>
        <w:ind w:firstLine="600"/>
        <w:jc w:val="both"/>
        <w:rPr>
          <w:lang w:val="pl-PL"/>
        </w:rPr>
      </w:pPr>
      <w:r>
        <w:rPr>
          <w:lang w:val="pl"/>
        </w:rPr>
        <w:lastRenderedPageBreak/>
        <w:t>Przewodnik na temat</w:t>
      </w:r>
      <w:hyperlink r:id="rId1659" w:history="1">
        <w:r>
          <w:rPr>
            <w:lang w:val="pl"/>
          </w:rPr>
          <w:t xml:space="preserve"> </w:t>
        </w:r>
        <w:r>
          <w:rPr>
            <w:color w:val="0072BC"/>
            <w:lang w:val="pl"/>
          </w:rPr>
          <w:t>art. 6 (aspekt karny) Konwencji</w:t>
        </w:r>
        <w:r>
          <w:rPr>
            <w:lang w:val="pl"/>
          </w:rPr>
          <w:t>;</w:t>
        </w:r>
      </w:hyperlink>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60" w:history="1">
        <w:r>
          <w:rPr>
            <w:lang w:val="pl"/>
          </w:rPr>
          <w:t xml:space="preserve"> </w:t>
        </w:r>
        <w:r>
          <w:rPr>
            <w:color w:val="0072BC"/>
            <w:lang w:val="pl"/>
          </w:rPr>
          <w:t>art. 7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61" w:history="1">
        <w:r>
          <w:rPr>
            <w:lang w:val="pl"/>
          </w:rPr>
          <w:t xml:space="preserve"> </w:t>
        </w:r>
        <w:r>
          <w:rPr>
            <w:color w:val="0072BC"/>
            <w:lang w:val="pl"/>
          </w:rPr>
          <w:t>art. 8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62" w:history="1">
        <w:r>
          <w:rPr>
            <w:lang w:val="pl"/>
          </w:rPr>
          <w:t xml:space="preserve"> </w:t>
        </w:r>
        <w:r>
          <w:rPr>
            <w:color w:val="0072BC"/>
            <w:lang w:val="pl"/>
          </w:rPr>
          <w:t>art. 9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63" w:history="1">
        <w:r>
          <w:rPr>
            <w:lang w:val="pl"/>
          </w:rPr>
          <w:t xml:space="preserve"> </w:t>
        </w:r>
        <w:r>
          <w:rPr>
            <w:color w:val="0072BC"/>
            <w:lang w:val="pl"/>
          </w:rPr>
          <w:t>art. 10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 w:val="right" w:pos="1411"/>
          <w:tab w:val="left" w:pos="1556"/>
          <w:tab w:val="left" w:pos="1806"/>
          <w:tab w:val="left" w:pos="2434"/>
        </w:tabs>
        <w:spacing w:after="40"/>
        <w:ind w:firstLine="600"/>
        <w:jc w:val="both"/>
        <w:rPr>
          <w:lang w:val="pl-PL"/>
        </w:rPr>
      </w:pPr>
      <w:r>
        <w:rPr>
          <w:lang w:val="pl"/>
        </w:rPr>
        <w:t>Przewodnik na temat</w:t>
      </w:r>
      <w:hyperlink r:id="rId1664" w:history="1">
        <w:r>
          <w:rPr>
            <w:lang w:val="pl"/>
          </w:rPr>
          <w:t xml:space="preserve"> </w:t>
        </w:r>
        <w:r>
          <w:rPr>
            <w:color w:val="0072BC"/>
            <w:lang w:val="pl"/>
          </w:rPr>
          <w:t>art. 11 Konwencji</w:t>
        </w:r>
        <w:r>
          <w:rPr>
            <w:lang w:val="pl"/>
          </w:rPr>
          <w:t>;</w:t>
        </w:r>
      </w:hyperlink>
      <w:r>
        <w:rPr>
          <w:lang w:val="pl"/>
        </w:rPr>
        <w:tab/>
      </w:r>
      <w:r>
        <w:rPr>
          <w:lang w:val="pl"/>
        </w:rPr>
        <w:tab/>
      </w:r>
      <w:r>
        <w:rPr>
          <w:lang w:val="pl"/>
        </w:rPr>
        <w:tab/>
      </w:r>
    </w:p>
    <w:p w:rsidR="00B71A20" w:rsidRPr="000625F6" w:rsidRDefault="000425B4" w:rsidP="00115011">
      <w:pPr>
        <w:pStyle w:val="Teksttreci0"/>
        <w:numPr>
          <w:ilvl w:val="0"/>
          <w:numId w:val="81"/>
        </w:numPr>
        <w:tabs>
          <w:tab w:val="left" w:pos="878"/>
        </w:tabs>
        <w:spacing w:after="40"/>
        <w:ind w:firstLine="600"/>
        <w:rPr>
          <w:lang w:val="pl-PL"/>
        </w:rPr>
      </w:pPr>
      <w:r>
        <w:rPr>
          <w:lang w:val="pl"/>
        </w:rPr>
        <w:t>Przewodnik na temat</w:t>
      </w:r>
      <w:hyperlink r:id="rId1665" w:history="1">
        <w:r>
          <w:rPr>
            <w:lang w:val="pl"/>
          </w:rPr>
          <w:t xml:space="preserve"> </w:t>
        </w:r>
        <w:r>
          <w:rPr>
            <w:color w:val="0072BC"/>
            <w:lang w:val="pl"/>
          </w:rPr>
          <w:t xml:space="preserve">art. 13 </w:t>
        </w:r>
        <w:r w:rsidRPr="0074490E">
          <w:rPr>
            <w:color w:val="0072BC"/>
            <w:lang w:val="pl"/>
          </w:rPr>
          <w:t>Konwencji</w:t>
        </w:r>
        <w:r>
          <w:rPr>
            <w:lang w:val="pl"/>
          </w:rPr>
          <w:t>;</w:t>
        </w:r>
      </w:hyperlink>
    </w:p>
    <w:p w:rsidR="00B71A20" w:rsidRPr="000625F6" w:rsidRDefault="000425B4" w:rsidP="00115011">
      <w:pPr>
        <w:pStyle w:val="Teksttreci0"/>
        <w:numPr>
          <w:ilvl w:val="0"/>
          <w:numId w:val="81"/>
        </w:numPr>
        <w:tabs>
          <w:tab w:val="left" w:pos="878"/>
        </w:tabs>
        <w:spacing w:after="40"/>
        <w:ind w:left="880" w:hanging="280"/>
        <w:rPr>
          <w:lang w:val="pl-PL"/>
        </w:rPr>
      </w:pPr>
      <w:r>
        <w:rPr>
          <w:lang w:val="pl"/>
        </w:rPr>
        <w:t>Przewodnik na temat</w:t>
      </w:r>
      <w:hyperlink r:id="rId1666" w:history="1">
        <w:r>
          <w:rPr>
            <w:lang w:val="pl"/>
          </w:rPr>
          <w:t xml:space="preserve"> </w:t>
        </w:r>
        <w:r>
          <w:rPr>
            <w:color w:val="0072BC"/>
            <w:lang w:val="pl"/>
          </w:rPr>
          <w:t>art. 14 Europejskiej Konwencji Praw Człowieka oraz art. 1</w:t>
        </w:r>
      </w:hyperlink>
      <w:r>
        <w:rPr>
          <w:color w:val="0072BC"/>
          <w:lang w:val="pl"/>
        </w:rPr>
        <w:t xml:space="preserve"> </w:t>
      </w:r>
      <w:hyperlink r:id="rId1667" w:history="1">
        <w:r>
          <w:rPr>
            <w:color w:val="0072BC"/>
            <w:lang w:val="pl"/>
          </w:rPr>
          <w:t>Protokołu nr 12 do Konwencji</w:t>
        </w:r>
        <w:r>
          <w:rPr>
            <w:lang w:val="pl"/>
          </w:rPr>
          <w:t>;</w:t>
        </w:r>
      </w:hyperlink>
    </w:p>
    <w:p w:rsidR="0074490E" w:rsidRPr="0074490E" w:rsidRDefault="0074490E" w:rsidP="00115011">
      <w:pPr>
        <w:pStyle w:val="Spistreci0"/>
        <w:numPr>
          <w:ilvl w:val="0"/>
          <w:numId w:val="81"/>
        </w:numPr>
        <w:tabs>
          <w:tab w:val="left" w:pos="878"/>
          <w:tab w:val="right" w:pos="1426"/>
          <w:tab w:val="right" w:pos="1690"/>
          <w:tab w:val="right" w:pos="2328"/>
          <w:tab w:val="center" w:pos="2534"/>
          <w:tab w:val="left" w:pos="2902"/>
          <w:tab w:val="right" w:pos="3991"/>
          <w:tab w:val="right" w:pos="4107"/>
        </w:tabs>
        <w:spacing w:after="40"/>
        <w:ind w:left="0" w:firstLine="600"/>
        <w:rPr>
          <w:lang w:val="pl-PL"/>
        </w:rPr>
      </w:pPr>
      <w:r w:rsidRPr="0074490E">
        <w:rPr>
          <w:lang w:val="pl-PL"/>
        </w:rPr>
        <w:t xml:space="preserve">Przewodnik na temat </w:t>
      </w:r>
      <w:hyperlink r:id="rId1668" w:history="1">
        <w:r w:rsidRPr="0074490E">
          <w:rPr>
            <w:rStyle w:val="Hipercze"/>
            <w:color w:val="0072BC"/>
            <w:u w:val="none"/>
            <w:lang w:val="pl-PL"/>
          </w:rPr>
          <w:t>art. 1 Protokołu nr 1</w:t>
        </w:r>
      </w:hyperlink>
      <w:r w:rsidRPr="0074490E">
        <w:rPr>
          <w:lang w:val="pl-PL"/>
        </w:rPr>
        <w:t>;</w:t>
      </w:r>
    </w:p>
    <w:p w:rsidR="0074490E" w:rsidRPr="0074490E" w:rsidRDefault="0074490E" w:rsidP="00115011">
      <w:pPr>
        <w:pStyle w:val="Spistreci0"/>
        <w:numPr>
          <w:ilvl w:val="0"/>
          <w:numId w:val="81"/>
        </w:numPr>
        <w:tabs>
          <w:tab w:val="left" w:pos="878"/>
          <w:tab w:val="right" w:pos="1426"/>
          <w:tab w:val="right" w:pos="1690"/>
          <w:tab w:val="right" w:pos="2328"/>
          <w:tab w:val="center" w:pos="2534"/>
          <w:tab w:val="left" w:pos="2902"/>
          <w:tab w:val="right" w:pos="3991"/>
          <w:tab w:val="right" w:pos="4107"/>
        </w:tabs>
        <w:spacing w:after="40"/>
        <w:ind w:left="0" w:firstLine="600"/>
        <w:rPr>
          <w:lang w:val="pl-PL"/>
        </w:rPr>
      </w:pPr>
      <w:r w:rsidRPr="0074490E">
        <w:rPr>
          <w:lang w:val="pl-PL"/>
        </w:rPr>
        <w:t xml:space="preserve">Przewodnik na temat </w:t>
      </w:r>
      <w:hyperlink r:id="rId1669" w:history="1">
        <w:r w:rsidRPr="0001308B">
          <w:rPr>
            <w:rStyle w:val="Hipercze"/>
            <w:color w:val="0072BC"/>
            <w:u w:val="none"/>
            <w:lang w:val="pl-PL"/>
          </w:rPr>
          <w:t>art. 2 Protokołu nr 1</w:t>
        </w:r>
      </w:hyperlink>
      <w:r w:rsidRPr="0074490E">
        <w:rPr>
          <w:lang w:val="pl-PL"/>
        </w:rPr>
        <w:t>;</w:t>
      </w:r>
    </w:p>
    <w:p w:rsidR="0074490E" w:rsidRDefault="0074490E" w:rsidP="00115011">
      <w:pPr>
        <w:pStyle w:val="Spistreci0"/>
        <w:numPr>
          <w:ilvl w:val="0"/>
          <w:numId w:val="81"/>
        </w:numPr>
        <w:tabs>
          <w:tab w:val="left" w:pos="878"/>
          <w:tab w:val="right" w:pos="1426"/>
          <w:tab w:val="right" w:pos="1690"/>
          <w:tab w:val="right" w:pos="2328"/>
          <w:tab w:val="center" w:pos="2534"/>
          <w:tab w:val="left" w:pos="2902"/>
          <w:tab w:val="right" w:pos="3991"/>
          <w:tab w:val="right" w:pos="4107"/>
        </w:tabs>
        <w:spacing w:after="40"/>
        <w:ind w:left="0" w:firstLine="600"/>
        <w:rPr>
          <w:lang w:val="pl-PL"/>
        </w:rPr>
      </w:pPr>
      <w:r w:rsidRPr="0074490E">
        <w:rPr>
          <w:lang w:val="pl-PL"/>
        </w:rPr>
        <w:t xml:space="preserve">Przewodnik na temat </w:t>
      </w:r>
      <w:hyperlink r:id="rId1670" w:history="1">
        <w:r w:rsidRPr="0001308B">
          <w:rPr>
            <w:rStyle w:val="Hipercze"/>
            <w:color w:val="0072BC"/>
            <w:u w:val="none"/>
            <w:lang w:val="pl-PL"/>
          </w:rPr>
          <w:t>art. 3 Protokołu nr 1</w:t>
        </w:r>
      </w:hyperlink>
      <w:r w:rsidRPr="0074490E">
        <w:rPr>
          <w:lang w:val="pl-PL"/>
        </w:rPr>
        <w:t>;</w:t>
      </w:r>
    </w:p>
    <w:p w:rsidR="0074490E" w:rsidRDefault="0074490E" w:rsidP="00115011">
      <w:pPr>
        <w:pStyle w:val="Spistreci0"/>
        <w:numPr>
          <w:ilvl w:val="0"/>
          <w:numId w:val="81"/>
        </w:numPr>
        <w:tabs>
          <w:tab w:val="left" w:pos="878"/>
          <w:tab w:val="right" w:pos="1426"/>
          <w:tab w:val="right" w:pos="1690"/>
          <w:tab w:val="right" w:pos="2328"/>
          <w:tab w:val="center" w:pos="2534"/>
          <w:tab w:val="left" w:pos="2902"/>
          <w:tab w:val="right" w:pos="3991"/>
          <w:tab w:val="right" w:pos="4107"/>
        </w:tabs>
        <w:spacing w:after="40"/>
        <w:ind w:left="0" w:firstLine="600"/>
        <w:rPr>
          <w:lang w:val="pl-PL"/>
        </w:rPr>
      </w:pPr>
      <w:r w:rsidRPr="0074490E">
        <w:rPr>
          <w:lang w:val="pl-PL"/>
        </w:rPr>
        <w:t xml:space="preserve">Przewodnik na temat </w:t>
      </w:r>
      <w:hyperlink r:id="rId1671" w:history="1">
        <w:r w:rsidRPr="0001308B">
          <w:rPr>
            <w:rStyle w:val="Hipercze"/>
            <w:color w:val="0072BC"/>
            <w:u w:val="none"/>
            <w:lang w:val="pl-PL"/>
          </w:rPr>
          <w:t>art. 4 Protokołu nr 4</w:t>
        </w:r>
      </w:hyperlink>
      <w:r w:rsidRPr="0074490E">
        <w:rPr>
          <w:lang w:val="pl-PL"/>
        </w:rPr>
        <w:t>;</w:t>
      </w:r>
    </w:p>
    <w:p w:rsidR="0074490E" w:rsidRPr="0074490E" w:rsidRDefault="0074490E" w:rsidP="00115011">
      <w:pPr>
        <w:pStyle w:val="Spistreci0"/>
        <w:numPr>
          <w:ilvl w:val="0"/>
          <w:numId w:val="81"/>
        </w:numPr>
        <w:tabs>
          <w:tab w:val="left" w:pos="878"/>
          <w:tab w:val="right" w:pos="1426"/>
          <w:tab w:val="right" w:pos="1690"/>
          <w:tab w:val="right" w:pos="2328"/>
          <w:tab w:val="center" w:pos="2534"/>
          <w:tab w:val="left" w:pos="2902"/>
          <w:tab w:val="right" w:pos="3991"/>
          <w:tab w:val="right" w:pos="4107"/>
        </w:tabs>
        <w:spacing w:after="40"/>
        <w:ind w:left="0" w:firstLine="600"/>
        <w:rPr>
          <w:lang w:val="pl-PL"/>
        </w:rPr>
      </w:pPr>
      <w:r w:rsidRPr="0074490E">
        <w:rPr>
          <w:lang w:val="pl-PL"/>
        </w:rPr>
        <w:t xml:space="preserve">Przewodnik na temat </w:t>
      </w:r>
      <w:hyperlink r:id="rId1672" w:history="1">
        <w:r w:rsidRPr="0001308B">
          <w:rPr>
            <w:rStyle w:val="Hipercze"/>
            <w:color w:val="0072BC"/>
            <w:u w:val="none"/>
            <w:lang w:val="pl-PL"/>
          </w:rPr>
          <w:t>art. 4 Protokołu nr 7</w:t>
        </w:r>
      </w:hyperlink>
      <w:r w:rsidRPr="0074490E">
        <w:rPr>
          <w:lang w:val="pl-PL"/>
        </w:rPr>
        <w:t xml:space="preserve">. </w:t>
      </w:r>
    </w:p>
    <w:p w:rsidR="00B71A20" w:rsidRPr="0074490E" w:rsidRDefault="00B71A20" w:rsidP="0074490E">
      <w:pPr>
        <w:pStyle w:val="Spistreci0"/>
        <w:tabs>
          <w:tab w:val="left" w:pos="878"/>
          <w:tab w:val="right" w:pos="1426"/>
          <w:tab w:val="right" w:pos="1690"/>
          <w:tab w:val="right" w:pos="2328"/>
          <w:tab w:val="center" w:pos="2534"/>
          <w:tab w:val="left" w:pos="2902"/>
          <w:tab w:val="right" w:pos="3991"/>
          <w:tab w:val="right" w:pos="4107"/>
        </w:tabs>
        <w:spacing w:after="40"/>
        <w:rPr>
          <w:lang w:val="pl-PL"/>
        </w:rPr>
        <w:sectPr w:rsidR="00B71A20" w:rsidRPr="0074490E">
          <w:pgSz w:w="11900" w:h="16840"/>
          <w:pgMar w:top="1431" w:right="1394" w:bottom="1417" w:left="1400" w:header="0" w:footer="3" w:gutter="0"/>
          <w:cols w:space="720"/>
          <w:noEndnote/>
          <w:docGrid w:linePitch="360"/>
          <w15:footnoteColumns w:val="1"/>
        </w:sectPr>
      </w:pPr>
    </w:p>
    <w:p w:rsidR="00B71A20" w:rsidRPr="0074490E" w:rsidRDefault="00180FE3" w:rsidP="005F16E0">
      <w:pPr>
        <w:pStyle w:val="Nagwek11"/>
        <w:keepNext/>
        <w:keepLines/>
        <w:tabs>
          <w:tab w:val="left" w:pos="519"/>
        </w:tabs>
        <w:spacing w:after="220"/>
        <w:rPr>
          <w:lang w:val="pl-PL"/>
        </w:rPr>
      </w:pPr>
      <w:bookmarkStart w:id="289" w:name="bookmark294"/>
      <w:bookmarkStart w:id="290" w:name="bookmark293"/>
      <w:bookmarkStart w:id="291" w:name="_Toc126335691"/>
      <w:bookmarkStart w:id="292" w:name="_Toc126660650"/>
      <w:r>
        <w:rPr>
          <w:lang w:val="pl"/>
        </w:rPr>
        <w:lastRenderedPageBreak/>
        <w:t xml:space="preserve">III.  </w:t>
      </w:r>
      <w:r w:rsidR="000425B4">
        <w:rPr>
          <w:lang w:val="pl"/>
        </w:rPr>
        <w:t>Niedopuszczalność na podstawie przedmiotu skargi</w:t>
      </w:r>
      <w:bookmarkEnd w:id="289"/>
      <w:bookmarkEnd w:id="290"/>
      <w:bookmarkEnd w:id="291"/>
      <w:bookmarkEnd w:id="292"/>
    </w:p>
    <w:p w:rsidR="00B71A20" w:rsidRPr="000625F6" w:rsidRDefault="00180FE3">
      <w:pPr>
        <w:pStyle w:val="Nagwek21"/>
        <w:keepNext/>
        <w:keepLines/>
        <w:spacing w:after="207"/>
        <w:rPr>
          <w:lang w:val="pl-PL"/>
        </w:rPr>
      </w:pPr>
      <w:bookmarkStart w:id="293" w:name="_Toc126335692"/>
      <w:bookmarkStart w:id="294" w:name="_Toc126660651"/>
      <w:r>
        <w:rPr>
          <w:lang w:val="pl"/>
        </w:rPr>
        <w:t xml:space="preserve">A.  </w:t>
      </w:r>
      <w:r w:rsidR="000425B4">
        <w:rPr>
          <w:lang w:val="pl"/>
        </w:rPr>
        <w:t>Skarga w sposób oczywisty nieuzasadniona</w:t>
      </w:r>
      <w:bookmarkEnd w:id="293"/>
      <w:bookmarkEnd w:id="294"/>
    </w:p>
    <w:tbl>
      <w:tblPr>
        <w:tblStyle w:val="Tabela-Siatka"/>
        <w:tblW w:w="0" w:type="auto"/>
        <w:shd w:val="clear" w:color="auto" w:fill="FAFAFA"/>
        <w:tblLook w:val="04A0" w:firstRow="1" w:lastRow="0" w:firstColumn="1" w:lastColumn="0" w:noHBand="0" w:noVBand="1"/>
      </w:tblPr>
      <w:tblGrid>
        <w:gridCol w:w="9090"/>
      </w:tblGrid>
      <w:tr w:rsidR="00102FD5" w:rsidRPr="00A653C0" w:rsidTr="0024595F">
        <w:trPr>
          <w:trHeight w:val="1221"/>
        </w:trPr>
        <w:tc>
          <w:tcPr>
            <w:tcW w:w="9090" w:type="dxa"/>
            <w:tcBorders>
              <w:bottom w:val="single" w:sz="4" w:space="0" w:color="auto"/>
            </w:tcBorders>
            <w:shd w:val="clear" w:color="auto" w:fill="FAFAFA"/>
          </w:tcPr>
          <w:p w:rsidR="00102FD5" w:rsidRPr="00102FD5" w:rsidRDefault="00102FD5" w:rsidP="00102FD5">
            <w:pPr>
              <w:pStyle w:val="Teksttreci0"/>
              <w:spacing w:before="120"/>
              <w:rPr>
                <w:b/>
                <w:bCs/>
                <w:color w:val="00548C"/>
                <w:lang w:val="pl"/>
              </w:rPr>
            </w:pPr>
            <w:r w:rsidRPr="00102FD5">
              <w:rPr>
                <w:b/>
                <w:bCs/>
                <w:color w:val="00548C"/>
                <w:lang w:val="pl"/>
              </w:rPr>
              <w:t>Artykuł 35 ust. 3 lit. a Konwencji – Wymogi dopuszczalności</w:t>
            </w:r>
          </w:p>
          <w:p w:rsidR="00102FD5" w:rsidRPr="00102FD5" w:rsidRDefault="00102FD5" w:rsidP="0093676E">
            <w:pPr>
              <w:pStyle w:val="Teksttreci0"/>
              <w:ind w:left="596"/>
              <w:jc w:val="both"/>
              <w:rPr>
                <w:b/>
                <w:bCs/>
                <w:color w:val="00548C"/>
                <w:lang w:val="pl"/>
              </w:rPr>
            </w:pPr>
            <w:r w:rsidRPr="00102FD5">
              <w:rPr>
                <w:color w:val="262626"/>
                <w:sz w:val="20"/>
                <w:szCs w:val="20"/>
                <w:lang w:val="pl"/>
              </w:rPr>
              <w:t>„3. Trybunał uznaje za niedopuszczalną każdą skargę indywidualną wniesioną w trybie artykułu 34, jeśli uważa, że:</w:t>
            </w:r>
          </w:p>
          <w:p w:rsidR="00102FD5" w:rsidRPr="00102FD5" w:rsidRDefault="00102FD5" w:rsidP="00BF5DF2">
            <w:pPr>
              <w:pStyle w:val="Teksttreci0"/>
              <w:spacing w:after="120"/>
              <w:ind w:left="595"/>
              <w:jc w:val="both"/>
              <w:rPr>
                <w:lang w:val="pl-PL"/>
              </w:rPr>
            </w:pPr>
            <w:r w:rsidRPr="00102FD5">
              <w:rPr>
                <w:color w:val="262626"/>
                <w:sz w:val="20"/>
                <w:szCs w:val="20"/>
                <w:lang w:val="pl"/>
              </w:rPr>
              <w:t>a) skarga (...) jest w sposób oczywisty nieuzasadniona (...);”</w:t>
            </w:r>
          </w:p>
        </w:tc>
      </w:tr>
      <w:tr w:rsidR="00102FD5" w:rsidRPr="00A653C0" w:rsidTr="0024595F">
        <w:trPr>
          <w:trHeight w:val="1063"/>
        </w:trPr>
        <w:tc>
          <w:tcPr>
            <w:tcW w:w="9090" w:type="dxa"/>
            <w:tcBorders>
              <w:bottom w:val="single" w:sz="4" w:space="0" w:color="auto"/>
            </w:tcBorders>
            <w:shd w:val="clear" w:color="auto" w:fill="FAFAFA"/>
          </w:tcPr>
          <w:p w:rsidR="00102FD5" w:rsidRPr="00102FD5" w:rsidRDefault="00102FD5" w:rsidP="00102FD5">
            <w:pPr>
              <w:pStyle w:val="Teksttreci0"/>
              <w:spacing w:before="120" w:after="120"/>
              <w:rPr>
                <w:b/>
                <w:bCs/>
                <w:color w:val="00548C"/>
                <w:lang w:val="pl"/>
              </w:rPr>
            </w:pPr>
            <w:r w:rsidRPr="00102FD5">
              <w:rPr>
                <w:b/>
                <w:bCs/>
                <w:color w:val="00548C"/>
                <w:lang w:val="pl"/>
              </w:rPr>
              <w:t>Słowa klucze w bazie HUDOC</w:t>
            </w:r>
          </w:p>
          <w:p w:rsidR="00102FD5" w:rsidRPr="00102FD5" w:rsidRDefault="00102FD5" w:rsidP="00102FD5">
            <w:pPr>
              <w:pStyle w:val="Teksttreci0"/>
              <w:spacing w:after="240"/>
              <w:ind w:left="596"/>
              <w:jc w:val="both"/>
              <w:rPr>
                <w:lang w:val="pl-PL"/>
              </w:rPr>
            </w:pPr>
            <w:r w:rsidRPr="00102FD5">
              <w:rPr>
                <w:color w:val="262626"/>
                <w:sz w:val="20"/>
                <w:szCs w:val="20"/>
                <w:lang w:val="pl"/>
              </w:rPr>
              <w:t>Skarga w sposób oczywisty nieuzasadniona (35-3-a)</w:t>
            </w:r>
          </w:p>
        </w:tc>
      </w:tr>
    </w:tbl>
    <w:p w:rsidR="00B71A20" w:rsidRDefault="00BF5DF2" w:rsidP="00BF5DF2">
      <w:pPr>
        <w:pStyle w:val="Nagwek31"/>
        <w:keepNext/>
        <w:keepLines/>
        <w:tabs>
          <w:tab w:val="left" w:pos="331"/>
        </w:tabs>
        <w:spacing w:before="240" w:after="100"/>
      </w:pPr>
      <w:bookmarkStart w:id="295" w:name="bookmark299"/>
      <w:bookmarkStart w:id="296" w:name="_Toc126335693"/>
      <w:bookmarkStart w:id="297" w:name="_Toc126660652"/>
      <w:r>
        <w:rPr>
          <w:lang w:val="pl"/>
        </w:rPr>
        <w:t xml:space="preserve">1.  </w:t>
      </w:r>
      <w:r w:rsidR="000425B4">
        <w:rPr>
          <w:lang w:val="pl"/>
        </w:rPr>
        <w:t>Ogólne wprowadzenie</w:t>
      </w:r>
      <w:bookmarkEnd w:id="295"/>
      <w:bookmarkEnd w:id="296"/>
      <w:bookmarkEnd w:id="297"/>
    </w:p>
    <w:p w:rsidR="00B71A20" w:rsidRPr="000625F6" w:rsidRDefault="000425B4" w:rsidP="00BF5DF2">
      <w:pPr>
        <w:pStyle w:val="Teksttreci0"/>
        <w:numPr>
          <w:ilvl w:val="0"/>
          <w:numId w:val="83"/>
        </w:numPr>
        <w:tabs>
          <w:tab w:val="left" w:pos="519"/>
        </w:tabs>
        <w:jc w:val="both"/>
        <w:rPr>
          <w:lang w:val="pl-PL"/>
        </w:rPr>
      </w:pPr>
      <w:r>
        <w:rPr>
          <w:lang w:val="pl"/>
        </w:rPr>
        <w:t>Nawet w przypadku, gdy skarga jest zgodna z Konwencją oraz wszystkie formalne warunki dopuszczalności zostały spełnione, Trybunał może uznać ją za niedopuszczalną z przyczyn związanych z jej przedmiotem. Zdecydowanie najczęstszą przyczynę stanowi uznanie skargi za w sposób oczywisty nieuzasadnioną. Prawdą jest, że użycie pojęcia „w sposób oczywisty” w rozumieniu art. 35</w:t>
      </w:r>
      <w:r w:rsidR="00F343C9">
        <w:rPr>
          <w:lang w:val="pl"/>
        </w:rPr>
        <w:t xml:space="preserve"> ust. 3 lit. </w:t>
      </w:r>
      <w:r>
        <w:rPr>
          <w:lang w:val="pl"/>
        </w:rPr>
        <w:t>a może powodować zamieszanie: traktując je dosłownie, można rozumieć, że skarga zostanie uznana za niedopuszczalną na tej podstawie tylko wtedy, gdy dla przeciętnego czytelnika oczywiste jest, że jest ona zbyt daleko idąca i bezpodstawna. Jak jednak wyraźnie wynika z utrwalonego i bogatego orzecznictwa instytucji konwencyjnych (czyli Trybunału i, przed dniem 1 listopada 1998 r., Europejskiej Komisji Praw Człowieka), wyrażenie to należy rozumieć szerzej, w odniesieniu do ostatecznego wyniku sprawy. W rzeczywistości każda skarga zostanie uznana za „w sposób oczywisty nieuzasadnioną”, jeśli wstępne zbadanie jej treści nie ujawni żadnych oznak naruszenia praw gwarantowanych przez Konwencję, w wyniku czego może ona zostać już na samym początku uznana za niedopuszczalną bez przystąpienia do formalnego badania jej co do przedmiotu (które zazwyczaj kończy się wydaniem wyroku).</w:t>
      </w:r>
    </w:p>
    <w:p w:rsidR="00B71A20" w:rsidRPr="000625F6" w:rsidRDefault="000425B4" w:rsidP="00115011">
      <w:pPr>
        <w:pStyle w:val="Teksttreci0"/>
        <w:numPr>
          <w:ilvl w:val="0"/>
          <w:numId w:val="83"/>
        </w:numPr>
        <w:tabs>
          <w:tab w:val="left" w:pos="519"/>
        </w:tabs>
        <w:jc w:val="both"/>
        <w:rPr>
          <w:lang w:val="pl-PL"/>
        </w:rPr>
      </w:pPr>
      <w:r>
        <w:rPr>
          <w:lang w:val="pl"/>
        </w:rPr>
        <w:t xml:space="preserve">Trybunał, w celu stwierdzenia, czy skarga jest w sposób oczywisty nieuzasadniona, czasami musi wysłuchać uwag stron oraz przedstawić obszerne i szczegółowe uzasadnienie swojej decyzji. Nie zmienia to jednak nic w odniesieniu do „w sposób oczywisty” nieuzasadnionego charakteru skargi </w:t>
      </w:r>
      <w:hyperlink r:id="rId1673" w:history="1">
        <w:r>
          <w:rPr>
            <w:lang w:val="pl"/>
          </w:rPr>
          <w:t>(</w:t>
        </w:r>
        <w:r>
          <w:rPr>
            <w:i/>
            <w:iCs/>
            <w:color w:val="0072BC"/>
            <w:lang w:val="pl"/>
          </w:rPr>
          <w:t xml:space="preserve">Mentzen p. Łotwie </w:t>
        </w:r>
      </w:hyperlink>
      <w:r>
        <w:rPr>
          <w:lang w:val="pl"/>
        </w:rPr>
        <w:t>(dec.)).</w:t>
      </w:r>
    </w:p>
    <w:p w:rsidR="00B71A20" w:rsidRPr="000625F6" w:rsidRDefault="000425B4" w:rsidP="00115011">
      <w:pPr>
        <w:pStyle w:val="Teksttreci0"/>
        <w:numPr>
          <w:ilvl w:val="0"/>
          <w:numId w:val="83"/>
        </w:numPr>
        <w:tabs>
          <w:tab w:val="left" w:pos="519"/>
        </w:tabs>
        <w:jc w:val="both"/>
        <w:rPr>
          <w:lang w:val="pl-PL"/>
        </w:rPr>
      </w:pPr>
      <w:r>
        <w:rPr>
          <w:lang w:val="pl"/>
        </w:rPr>
        <w:t>Skargi w sposób oczywisty nieuzasadnione są w większości automatycznie (</w:t>
      </w:r>
      <w:r>
        <w:rPr>
          <w:i/>
          <w:iCs/>
          <w:lang w:val="pl"/>
        </w:rPr>
        <w:t>de plano</w:t>
      </w:r>
      <w:r>
        <w:rPr>
          <w:lang w:val="pl"/>
        </w:rPr>
        <w:t xml:space="preserve">) uznawane za niedopuszczalne przez skład jednego sędziego lub komitet trzech sędziów (art. 27 i 28 Konwencji). Jednak niektóre skargi tego typu są badane przez Izbę, a w wyjątkowych przypadkach nawet przez Wielką Izbę </w:t>
      </w:r>
      <w:hyperlink r:id="rId1674" w:history="1">
        <w:r>
          <w:rPr>
            <w:lang w:val="pl"/>
          </w:rPr>
          <w:t>(</w:t>
        </w:r>
        <w:r>
          <w:rPr>
            <w:i/>
            <w:iCs/>
            <w:color w:val="0072BC"/>
            <w:lang w:val="pl"/>
          </w:rPr>
          <w:t xml:space="preserve">Gratzinger i Gratzingerova p. Czechom </w:t>
        </w:r>
      </w:hyperlink>
      <w:r>
        <w:rPr>
          <w:lang w:val="pl"/>
        </w:rPr>
        <w:t>(dec.) [WI], §§ 78-8</w:t>
      </w:r>
      <w:r w:rsidR="00F343C9">
        <w:rPr>
          <w:lang w:val="pl"/>
        </w:rPr>
        <w:t>6, w odniesieniu do art. 6 ust. </w:t>
      </w:r>
      <w:r>
        <w:rPr>
          <w:lang w:val="pl"/>
        </w:rPr>
        <w:t>1;</w:t>
      </w:r>
      <w:hyperlink r:id="rId1675" w:history="1">
        <w:r>
          <w:rPr>
            <w:lang w:val="pl"/>
          </w:rPr>
          <w:t xml:space="preserve"> </w:t>
        </w:r>
        <w:r>
          <w:rPr>
            <w:i/>
            <w:iCs/>
            <w:color w:val="0072BC"/>
            <w:lang w:val="pl"/>
          </w:rPr>
          <w:t xml:space="preserve">Demopoulos i Inni p. Turcji </w:t>
        </w:r>
      </w:hyperlink>
      <w:r>
        <w:rPr>
          <w:lang w:val="pl"/>
        </w:rPr>
        <w:t>(dec.) [WI], §§ 130-138, w odniesieniu do art. 8;</w:t>
      </w:r>
      <w:hyperlink r:id="rId1676" w:history="1">
        <w:r>
          <w:rPr>
            <w:lang w:val="pl"/>
          </w:rPr>
          <w:t xml:space="preserve"> </w:t>
        </w:r>
        <w:r>
          <w:rPr>
            <w:i/>
            <w:iCs/>
            <w:color w:val="0072BC"/>
            <w:lang w:val="pl"/>
          </w:rPr>
          <w:t>Hanan</w:t>
        </w:r>
      </w:hyperlink>
      <w:r>
        <w:rPr>
          <w:i/>
          <w:iCs/>
          <w:color w:val="0072BC"/>
          <w:lang w:val="pl"/>
        </w:rPr>
        <w:t xml:space="preserve"> </w:t>
      </w:r>
      <w:hyperlink r:id="rId1677" w:history="1">
        <w:r>
          <w:rPr>
            <w:i/>
            <w:iCs/>
            <w:color w:val="0072BC"/>
            <w:lang w:val="pl"/>
          </w:rPr>
          <w:t xml:space="preserve">p. Niemcom </w:t>
        </w:r>
      </w:hyperlink>
      <w:r w:rsidR="00F343C9">
        <w:rPr>
          <w:lang w:val="pl"/>
        </w:rPr>
        <w:t>[WI], § </w:t>
      </w:r>
      <w:r>
        <w:rPr>
          <w:lang w:val="pl"/>
        </w:rPr>
        <w:t>152, w odniesieniu do zarzucanego braku niezależności postępowania przygotowawczego wszczętego w Niemczech).</w:t>
      </w:r>
    </w:p>
    <w:p w:rsidR="00B71A20" w:rsidRPr="000625F6" w:rsidRDefault="000425B4" w:rsidP="00115011">
      <w:pPr>
        <w:pStyle w:val="Teksttreci0"/>
        <w:numPr>
          <w:ilvl w:val="0"/>
          <w:numId w:val="83"/>
        </w:numPr>
        <w:tabs>
          <w:tab w:val="left" w:pos="519"/>
        </w:tabs>
        <w:jc w:val="both"/>
        <w:rPr>
          <w:lang w:val="pl-PL"/>
        </w:rPr>
      </w:pPr>
      <w:r>
        <w:rPr>
          <w:lang w:val="pl"/>
        </w:rPr>
        <w:t>Pojęcie „w sposób oczywisty nieuzasadniona” może odnosić się do skargi jako całości albo do konkretnego zarzutu w szerszym kontekście sprawy. W niektórych przypadkach część skargi może zostać bowiem odrzucona ze względu na jej charakter „czwartej instancji”, natomiast pozostała część zostaje uznana za dopuszczalną, co może nawet skutkować stwier</w:t>
      </w:r>
      <w:r w:rsidR="00F343C9">
        <w:rPr>
          <w:lang w:val="pl"/>
        </w:rPr>
        <w:t>dzeniem naruszenia Konwencji. W </w:t>
      </w:r>
      <w:r>
        <w:rPr>
          <w:lang w:val="pl"/>
        </w:rPr>
        <w:t>związku z powyższym bardziej precyzyjne jest stosowanie określenia „w sposób oczywisty nieuzasadnione zarzuty”.</w:t>
      </w:r>
    </w:p>
    <w:p w:rsidR="00B71A20" w:rsidRPr="000625F6" w:rsidRDefault="000425B4" w:rsidP="00115011">
      <w:pPr>
        <w:pStyle w:val="Teksttreci0"/>
        <w:numPr>
          <w:ilvl w:val="0"/>
          <w:numId w:val="83"/>
        </w:numPr>
        <w:tabs>
          <w:tab w:val="left" w:pos="519"/>
        </w:tabs>
        <w:spacing w:after="120"/>
        <w:jc w:val="both"/>
        <w:rPr>
          <w:lang w:val="pl-PL"/>
        </w:rPr>
      </w:pPr>
      <w:r>
        <w:rPr>
          <w:lang w:val="pl"/>
        </w:rPr>
        <w:t xml:space="preserve">Aby zrozumieć znaczenie i zakres pojęcia „w sposób oczywisty nieuzasadniona”, należy pamiętać, że jedną z podstawowych zasad leżących u podstaw całego systemu Konwencji jest zasada </w:t>
      </w:r>
      <w:r>
        <w:rPr>
          <w:lang w:val="pl"/>
        </w:rPr>
        <w:lastRenderedPageBreak/>
        <w:t>subsydiarności. W kontekście Europejskiego Trybunału Praw Człowieka oznacza to, że zadanie zapewnienia poszanowania, wdrażania i egzekwowania pra</w:t>
      </w:r>
      <w:r w:rsidR="00F343C9">
        <w:rPr>
          <w:lang w:val="pl"/>
        </w:rPr>
        <w:t>w zawartych w Konwencji spada w </w:t>
      </w:r>
      <w:r>
        <w:rPr>
          <w:lang w:val="pl"/>
        </w:rPr>
        <w:t xml:space="preserve">pierwszej kolejności na władze układających się państw, a nie na Trybunał. Trybunał może interweniować jedynie w przypadku, gdy organy krajowe nie wypełnią swoich obowiązków </w:t>
      </w:r>
      <w:hyperlink r:id="rId1678" w:history="1">
        <w:r>
          <w:rPr>
            <w:lang w:val="pl"/>
          </w:rPr>
          <w:t>(</w:t>
        </w:r>
        <w:r>
          <w:rPr>
            <w:i/>
            <w:iCs/>
            <w:color w:val="0072BC"/>
            <w:lang w:val="pl"/>
          </w:rPr>
          <w:t xml:space="preserve">Scordino p. Włochom (nr 1) </w:t>
        </w:r>
      </w:hyperlink>
      <w:r>
        <w:rPr>
          <w:lang w:val="pl"/>
        </w:rPr>
        <w:t xml:space="preserve">[WI], § 140). Najwłaściwszym byłoby zatem zbadanie okoliczności sprawy w miarę możliwości na poziomie krajowym, tak, aby umożliwić władzom krajowym – które ze względu na bezpośredni i stały kontakt z ośrodkami decyzyjnymi w swoich państwach mają ku temu najlepsze możliwości – podjęcie działań w celu wyeliminowania zarzucanego naruszenia Konwencji </w:t>
      </w:r>
      <w:hyperlink r:id="rId1679" w:history="1">
        <w:r>
          <w:rPr>
            <w:lang w:val="pl"/>
          </w:rPr>
          <w:t>(</w:t>
        </w:r>
        <w:r w:rsidR="00F343C9">
          <w:rPr>
            <w:i/>
            <w:iCs/>
            <w:color w:val="0072BC"/>
            <w:lang w:val="pl"/>
          </w:rPr>
          <w:t>Dubská i </w:t>
        </w:r>
        <w:r>
          <w:rPr>
            <w:i/>
            <w:iCs/>
            <w:color w:val="0072BC"/>
            <w:lang w:val="pl"/>
          </w:rPr>
          <w:t>Krejzová</w:t>
        </w:r>
      </w:hyperlink>
      <w:r>
        <w:rPr>
          <w:i/>
          <w:iCs/>
          <w:color w:val="0072BC"/>
          <w:lang w:val="pl"/>
        </w:rPr>
        <w:t xml:space="preserve"> </w:t>
      </w:r>
      <w:hyperlink r:id="rId1680" w:history="1">
        <w:r>
          <w:rPr>
            <w:i/>
            <w:iCs/>
            <w:color w:val="0072BC"/>
            <w:lang w:val="pl"/>
          </w:rPr>
          <w:t xml:space="preserve">p. Czechom </w:t>
        </w:r>
      </w:hyperlink>
      <w:r>
        <w:rPr>
          <w:lang w:val="pl"/>
        </w:rPr>
        <w:t>[WI], § 175).</w:t>
      </w:r>
    </w:p>
    <w:p w:rsidR="00B71A20" w:rsidRPr="000625F6" w:rsidRDefault="000425B4" w:rsidP="00115011">
      <w:pPr>
        <w:pStyle w:val="Teksttreci0"/>
        <w:numPr>
          <w:ilvl w:val="0"/>
          <w:numId w:val="83"/>
        </w:numPr>
        <w:tabs>
          <w:tab w:val="left" w:pos="505"/>
        </w:tabs>
        <w:spacing w:after="220"/>
        <w:jc w:val="both"/>
        <w:rPr>
          <w:lang w:val="pl-PL"/>
        </w:rPr>
      </w:pPr>
      <w:bookmarkStart w:id="298" w:name="bookmark302"/>
      <w:r>
        <w:rPr>
          <w:lang w:val="pl"/>
        </w:rPr>
        <w:t>W sposób oczywisty nieuzasadnione zarzuty można podzielić na cztery kategorie: zarzuty „czwartej instancji”, zarzuty, gdzie w sposób wyraźny lub widoczny naruszenie nie miało miejsca, zarzuty bezpodstawne oraz zarzuty nieprawdziwe lub nieokreślone.</w:t>
      </w:r>
      <w:bookmarkEnd w:id="298"/>
    </w:p>
    <w:p w:rsidR="00B71A20" w:rsidRDefault="00BF5DF2" w:rsidP="00BF5DF2">
      <w:pPr>
        <w:pStyle w:val="Nagwek31"/>
        <w:keepNext/>
        <w:keepLines/>
        <w:tabs>
          <w:tab w:val="left" w:pos="331"/>
        </w:tabs>
        <w:spacing w:after="120"/>
        <w:jc w:val="both"/>
      </w:pPr>
      <w:bookmarkStart w:id="299" w:name="_Toc126335694"/>
      <w:bookmarkStart w:id="300" w:name="_Toc126660653"/>
      <w:r>
        <w:rPr>
          <w:lang w:val="pl"/>
        </w:rPr>
        <w:t xml:space="preserve">2.  </w:t>
      </w:r>
      <w:r w:rsidR="000425B4">
        <w:rPr>
          <w:lang w:val="pl"/>
        </w:rPr>
        <w:t>„Czwarta instancja”</w:t>
      </w:r>
      <w:r w:rsidR="000425B4">
        <w:rPr>
          <w:vertAlign w:val="superscript"/>
          <w:lang w:val="pl"/>
        </w:rPr>
        <w:footnoteReference w:id="12"/>
      </w:r>
      <w:bookmarkEnd w:id="299"/>
      <w:bookmarkEnd w:id="300"/>
    </w:p>
    <w:p w:rsidR="00B71A20" w:rsidRPr="000625F6" w:rsidRDefault="000425B4" w:rsidP="00BF5DF2">
      <w:pPr>
        <w:pStyle w:val="Teksttreci0"/>
        <w:numPr>
          <w:ilvl w:val="0"/>
          <w:numId w:val="84"/>
        </w:numPr>
        <w:tabs>
          <w:tab w:val="left" w:pos="505"/>
        </w:tabs>
        <w:spacing w:after="120"/>
        <w:jc w:val="both"/>
        <w:rPr>
          <w:lang w:val="pl-PL"/>
        </w:rPr>
      </w:pPr>
      <w:r>
        <w:rPr>
          <w:lang w:val="pl"/>
        </w:rPr>
        <w:t xml:space="preserve">Szczególna kategoria skarg wnoszonych do Trybunału obejmuje skargi powszechnie określane jako skargi „czwartej instancji”. To pojęcie – które nie występuje w samym tekście Konwencji, a zostało ustalone w orzecznictwie instytucji konwencyjnych </w:t>
      </w:r>
      <w:hyperlink r:id="rId1681" w:history="1">
        <w:r>
          <w:rPr>
            <w:lang w:val="pl"/>
          </w:rPr>
          <w:t>(</w:t>
        </w:r>
        <w:r>
          <w:rPr>
            <w:i/>
            <w:iCs/>
            <w:color w:val="0072BC"/>
            <w:lang w:val="pl"/>
          </w:rPr>
          <w:t>Kemmache p. Francji (nr 3)</w:t>
        </w:r>
        <w:r>
          <w:rPr>
            <w:lang w:val="pl"/>
          </w:rPr>
          <w:t>,</w:t>
        </w:r>
      </w:hyperlink>
      <w:r>
        <w:rPr>
          <w:lang w:val="pl"/>
        </w:rPr>
        <w:t xml:space="preserve"> § 44) – nosi znamiona paradoksu, ponieważ kładzie nacisk na to, czym Trybunał nie jest: nie jest bowiem ani sądem apelacyjnym, ani sądem który może uchylić orzeczenie wydane przez sądy państw-stron Konwencji, ani sądem mającym prawo do ponownego rozpatrywania spraw już rozpatrzonych przez te sądy, ani też nie może rozpatrzyć spraw w sposób, w jaki to czyni Sąd Najwyższy. Skargi czwartej instancji wynikają więc z błędnego rozumienia przez skarżących roli Trybunału i charakteru mechanizmu sądowego ustanowionego przez Konwencję.</w:t>
      </w:r>
    </w:p>
    <w:p w:rsidR="00B71A20" w:rsidRDefault="000425B4" w:rsidP="00115011">
      <w:pPr>
        <w:pStyle w:val="Teksttreci0"/>
        <w:numPr>
          <w:ilvl w:val="0"/>
          <w:numId w:val="84"/>
        </w:numPr>
        <w:tabs>
          <w:tab w:val="left" w:pos="514"/>
        </w:tabs>
        <w:spacing w:after="120"/>
        <w:jc w:val="both"/>
      </w:pPr>
      <w:r>
        <w:rPr>
          <w:lang w:val="pl"/>
        </w:rPr>
        <w:t xml:space="preserve">Konwencja, pomimo jej szczególnych cech, pozostaje traktatem międzynarodowym, który podlega takim samym zasadom, jak inne umowy międzypaństwowe, w szczególności tym określonym w Konwencji wiedeńskiej o prawie traktatów </w:t>
      </w:r>
      <w:hyperlink r:id="rId1682" w:history="1">
        <w:r>
          <w:rPr>
            <w:lang w:val="pl"/>
          </w:rPr>
          <w:t>(</w:t>
        </w:r>
        <w:r>
          <w:rPr>
            <w:i/>
            <w:iCs/>
            <w:color w:val="0072BC"/>
            <w:lang w:val="pl"/>
          </w:rPr>
          <w:t xml:space="preserve">Demir i Baykara p. Turcji </w:t>
        </w:r>
      </w:hyperlink>
      <w:r>
        <w:rPr>
          <w:lang w:val="pl"/>
        </w:rPr>
        <w:t>[WI], § 65). Trybunał nie może więc przekraczać granic ogólnych uprawnień powierzonych mu przez układające się państwa z ich suwerennej woli. Ograniczenia te zostały określone w art. 19 Konwencji, który stanowi:</w:t>
      </w:r>
    </w:p>
    <w:p w:rsidR="00B71A20" w:rsidRPr="000625F6" w:rsidRDefault="000425B4">
      <w:pPr>
        <w:pStyle w:val="Teksttreci0"/>
        <w:spacing w:after="120"/>
        <w:ind w:left="600"/>
        <w:jc w:val="both"/>
        <w:rPr>
          <w:sz w:val="20"/>
          <w:szCs w:val="20"/>
          <w:lang w:val="pl-PL"/>
        </w:rPr>
      </w:pPr>
      <w:r>
        <w:rPr>
          <w:sz w:val="20"/>
          <w:szCs w:val="20"/>
          <w:lang w:val="pl"/>
        </w:rPr>
        <w:t>„W celu zapewnienia przestrzegania zobowiązań wynikających dla Wy</w:t>
      </w:r>
      <w:r w:rsidR="00F47073">
        <w:rPr>
          <w:sz w:val="20"/>
          <w:szCs w:val="20"/>
          <w:lang w:val="pl"/>
        </w:rPr>
        <w:t>sokich Układających się Stron z </w:t>
      </w:r>
      <w:r>
        <w:rPr>
          <w:sz w:val="20"/>
          <w:szCs w:val="20"/>
          <w:lang w:val="pl"/>
        </w:rPr>
        <w:t>Konwencji i jej Protokołów tworzy się Europejski Trybunał Praw Człowieka (...)”.</w:t>
      </w:r>
    </w:p>
    <w:p w:rsidR="00B71A20" w:rsidRPr="000625F6" w:rsidRDefault="000425B4" w:rsidP="00115011">
      <w:pPr>
        <w:pStyle w:val="Teksttreci0"/>
        <w:numPr>
          <w:ilvl w:val="0"/>
          <w:numId w:val="84"/>
        </w:numPr>
        <w:tabs>
          <w:tab w:val="left" w:pos="514"/>
        </w:tabs>
        <w:spacing w:after="120"/>
        <w:jc w:val="both"/>
        <w:rPr>
          <w:lang w:val="pl-PL"/>
        </w:rPr>
      </w:pPr>
      <w:r>
        <w:rPr>
          <w:lang w:val="pl"/>
        </w:rPr>
        <w:t>W związku z tym władza Trybunału ogranicza się do weryfikacji, czy układające się państwa wywiązują się z obowiązków dotyczących praw człowieka, do których przestrzegania zobowiązały się, przystępując do Konwencji (i Protokołów do niej). Ponadto, w związku z brakiem uprawnień do podjęcia bezpośredniej interwencji w ramach systemów prawnych układających się państw, Trybunał musi szanować autonomię tych systemów. Oznacza to, że do jego zadań nie należy zajmowanie się błędami co do faktów lub prawa rzekomo popełnionymi przez sąd krajowy, chy</w:t>
      </w:r>
      <w:r w:rsidR="00F343C9">
        <w:rPr>
          <w:lang w:val="pl"/>
        </w:rPr>
        <w:t>ba że – i tylko – w zakresie, w </w:t>
      </w:r>
      <w:r>
        <w:rPr>
          <w:lang w:val="pl"/>
        </w:rPr>
        <w:t xml:space="preserve">jakim mogą one powodować naruszenie praw i wolności chronionych przez Konwencję. Nie może on sam oceniać faktów, które doprowadziły sąd do podjęcia takiej a nie innej decyzji. Gdyby było inaczej, Trybunał działałby jako sąd trzeciej lub czwartej instancji, co stanowiłoby przekroczenie granic jego działania </w:t>
      </w:r>
      <w:hyperlink r:id="rId1683" w:history="1">
        <w:r>
          <w:rPr>
            <w:lang w:val="pl"/>
          </w:rPr>
          <w:t>(</w:t>
        </w:r>
        <w:r>
          <w:rPr>
            <w:i/>
            <w:iCs/>
            <w:color w:val="0072BC"/>
            <w:lang w:val="pl"/>
          </w:rPr>
          <w:t xml:space="preserve">García Ruiz p. Hiszpanii </w:t>
        </w:r>
      </w:hyperlink>
      <w:r>
        <w:rPr>
          <w:lang w:val="pl"/>
        </w:rPr>
        <w:t>[WI], § 28;</w:t>
      </w:r>
      <w:hyperlink r:id="rId1684" w:history="1">
        <w:r>
          <w:rPr>
            <w:i/>
            <w:iCs/>
            <w:lang w:val="pl"/>
          </w:rPr>
          <w:t xml:space="preserve"> </w:t>
        </w:r>
        <w:r>
          <w:rPr>
            <w:i/>
            <w:iCs/>
            <w:color w:val="0072BC"/>
            <w:lang w:val="pl"/>
          </w:rPr>
          <w:t>De Tommaso</w:t>
        </w:r>
      </w:hyperlink>
      <w:r>
        <w:rPr>
          <w:i/>
          <w:iCs/>
          <w:color w:val="0072BC"/>
          <w:lang w:val="pl"/>
        </w:rPr>
        <w:t xml:space="preserve"> </w:t>
      </w:r>
      <w:hyperlink r:id="rId1685" w:history="1">
        <w:r>
          <w:rPr>
            <w:i/>
            <w:iCs/>
            <w:color w:val="0072BC"/>
            <w:lang w:val="pl"/>
          </w:rPr>
          <w:t xml:space="preserve">p. Włochom </w:t>
        </w:r>
      </w:hyperlink>
      <w:r>
        <w:rPr>
          <w:lang w:val="pl"/>
        </w:rPr>
        <w:t>[WI], § 170).</w:t>
      </w:r>
    </w:p>
    <w:p w:rsidR="00B71A20" w:rsidRPr="000625F6" w:rsidRDefault="000425B4" w:rsidP="00115011">
      <w:pPr>
        <w:pStyle w:val="Teksttreci0"/>
        <w:numPr>
          <w:ilvl w:val="0"/>
          <w:numId w:val="84"/>
        </w:numPr>
        <w:tabs>
          <w:tab w:val="left" w:pos="514"/>
        </w:tabs>
        <w:spacing w:after="120"/>
        <w:jc w:val="both"/>
        <w:rPr>
          <w:lang w:val="pl-PL"/>
        </w:rPr>
      </w:pPr>
      <w:r>
        <w:rPr>
          <w:lang w:val="pl"/>
        </w:rPr>
        <w:t xml:space="preserve">W świetle powyższych rozważań Trybunał co do zasady </w:t>
      </w:r>
      <w:r w:rsidR="00D9513C">
        <w:rPr>
          <w:lang w:val="pl"/>
        </w:rPr>
        <w:t>nie może kwestionować ustaleń i </w:t>
      </w:r>
      <w:r>
        <w:rPr>
          <w:lang w:val="pl"/>
        </w:rPr>
        <w:t>wniosków sądów krajowych w zakresie:</w:t>
      </w:r>
    </w:p>
    <w:p w:rsidR="00B71A20" w:rsidRDefault="000425B4" w:rsidP="00D9513C">
      <w:pPr>
        <w:pStyle w:val="Teksttreci0"/>
        <w:numPr>
          <w:ilvl w:val="0"/>
          <w:numId w:val="85"/>
        </w:numPr>
        <w:tabs>
          <w:tab w:val="left" w:pos="869"/>
        </w:tabs>
        <w:spacing w:after="60" w:line="276" w:lineRule="auto"/>
        <w:ind w:firstLine="601"/>
        <w:jc w:val="both"/>
      </w:pPr>
      <w:r>
        <w:rPr>
          <w:lang w:val="pl"/>
        </w:rPr>
        <w:t>ustalenia stanu faktycznego sprawy;</w:t>
      </w:r>
    </w:p>
    <w:p w:rsidR="00B71A20" w:rsidRPr="000625F6" w:rsidRDefault="000425B4" w:rsidP="00D9513C">
      <w:pPr>
        <w:pStyle w:val="Teksttreci0"/>
        <w:numPr>
          <w:ilvl w:val="0"/>
          <w:numId w:val="85"/>
        </w:numPr>
        <w:tabs>
          <w:tab w:val="left" w:pos="869"/>
        </w:tabs>
        <w:spacing w:after="60" w:line="276" w:lineRule="auto"/>
        <w:ind w:firstLine="601"/>
        <w:jc w:val="both"/>
        <w:rPr>
          <w:lang w:val="pl-PL"/>
        </w:rPr>
      </w:pPr>
      <w:r>
        <w:rPr>
          <w:lang w:val="pl"/>
        </w:rPr>
        <w:t>interpretacji i stosowania prawa krajowego;</w:t>
      </w:r>
    </w:p>
    <w:p w:rsidR="00B71A20" w:rsidRPr="000625F6" w:rsidRDefault="000425B4" w:rsidP="00D9513C">
      <w:pPr>
        <w:pStyle w:val="Teksttreci0"/>
        <w:numPr>
          <w:ilvl w:val="0"/>
          <w:numId w:val="85"/>
        </w:numPr>
        <w:tabs>
          <w:tab w:val="left" w:pos="869"/>
        </w:tabs>
        <w:spacing w:after="60" w:line="276" w:lineRule="auto"/>
        <w:ind w:firstLine="601"/>
        <w:jc w:val="both"/>
        <w:rPr>
          <w:lang w:val="pl-PL"/>
        </w:rPr>
      </w:pPr>
      <w:r>
        <w:rPr>
          <w:lang w:val="pl"/>
        </w:rPr>
        <w:t>dopuszczalności i oceny dowodów w ramach rozprawy;</w:t>
      </w:r>
    </w:p>
    <w:p w:rsidR="00B71A20" w:rsidRPr="000625F6" w:rsidRDefault="000425B4" w:rsidP="00D9513C">
      <w:pPr>
        <w:pStyle w:val="Teksttreci0"/>
        <w:numPr>
          <w:ilvl w:val="0"/>
          <w:numId w:val="85"/>
        </w:numPr>
        <w:tabs>
          <w:tab w:val="left" w:pos="857"/>
        </w:tabs>
        <w:spacing w:after="60"/>
        <w:ind w:firstLine="578"/>
        <w:jc w:val="both"/>
        <w:rPr>
          <w:lang w:val="pl-PL"/>
        </w:rPr>
      </w:pPr>
      <w:r>
        <w:rPr>
          <w:lang w:val="pl"/>
        </w:rPr>
        <w:lastRenderedPageBreak/>
        <w:t>słuszności merytorycznego rozstrzygnięcia sporu cywilnego;</w:t>
      </w:r>
    </w:p>
    <w:p w:rsidR="00B71A20" w:rsidRPr="000625F6" w:rsidRDefault="000425B4" w:rsidP="00115011">
      <w:pPr>
        <w:pStyle w:val="Teksttreci0"/>
        <w:numPr>
          <w:ilvl w:val="0"/>
          <w:numId w:val="85"/>
        </w:numPr>
        <w:tabs>
          <w:tab w:val="left" w:pos="857"/>
        </w:tabs>
        <w:ind w:firstLine="580"/>
        <w:jc w:val="both"/>
        <w:rPr>
          <w:lang w:val="pl-PL"/>
        </w:rPr>
      </w:pPr>
      <w:r>
        <w:rPr>
          <w:lang w:val="pl"/>
        </w:rPr>
        <w:t>przypisania winy lub uniewinnienia oskarżonego w postępowaniu karnym.</w:t>
      </w:r>
    </w:p>
    <w:p w:rsidR="00B71A20" w:rsidRPr="000625F6" w:rsidRDefault="000425B4" w:rsidP="00115011">
      <w:pPr>
        <w:pStyle w:val="Teksttreci0"/>
        <w:numPr>
          <w:ilvl w:val="0"/>
          <w:numId w:val="84"/>
        </w:numPr>
        <w:tabs>
          <w:tab w:val="left" w:pos="534"/>
        </w:tabs>
        <w:jc w:val="both"/>
        <w:rPr>
          <w:lang w:val="pl-PL"/>
        </w:rPr>
      </w:pPr>
      <w:r>
        <w:rPr>
          <w:lang w:val="pl"/>
        </w:rPr>
        <w:t xml:space="preserve">Trybunał może, jako wyjątek od tej reguły, zakwestionować tego rodzaju ustalenia i wnioski jedynie wówczas, gdy mają one charakter rażąco i oczywiście arbitralny, stoją w sprzeczności ze sprawiedliwością i zdrowym rozsądkiem oraz powodują naruszenie Konwencji </w:t>
      </w:r>
      <w:hyperlink r:id="rId1686" w:history="1">
        <w:r>
          <w:rPr>
            <w:lang w:val="pl"/>
          </w:rPr>
          <w:t>(</w:t>
        </w:r>
        <w:r>
          <w:rPr>
            <w:i/>
            <w:iCs/>
            <w:color w:val="0072BC"/>
            <w:lang w:val="pl"/>
          </w:rPr>
          <w:t xml:space="preserve">De Tommaso p. Włochom </w:t>
        </w:r>
      </w:hyperlink>
      <w:r>
        <w:rPr>
          <w:lang w:val="pl"/>
        </w:rPr>
        <w:t>[WI], § 170;</w:t>
      </w:r>
      <w:hyperlink r:id="rId1687" w:history="1">
        <w:r>
          <w:rPr>
            <w:i/>
            <w:iCs/>
            <w:lang w:val="pl"/>
          </w:rPr>
          <w:t xml:space="preserve"> </w:t>
        </w:r>
        <w:r>
          <w:rPr>
            <w:i/>
            <w:iCs/>
            <w:color w:val="0072BC"/>
            <w:lang w:val="pl"/>
          </w:rPr>
          <w:t xml:space="preserve">Kononov p. Łotwie </w:t>
        </w:r>
      </w:hyperlink>
      <w:r>
        <w:rPr>
          <w:lang w:val="pl"/>
        </w:rPr>
        <w:t>[WI], § 189).</w:t>
      </w:r>
    </w:p>
    <w:p w:rsidR="00B71A20" w:rsidRDefault="000425B4" w:rsidP="00115011">
      <w:pPr>
        <w:pStyle w:val="Teksttreci0"/>
        <w:numPr>
          <w:ilvl w:val="0"/>
          <w:numId w:val="84"/>
        </w:numPr>
        <w:tabs>
          <w:tab w:val="left" w:pos="524"/>
        </w:tabs>
        <w:jc w:val="both"/>
      </w:pPr>
      <w:r>
        <w:rPr>
          <w:lang w:val="pl"/>
        </w:rPr>
        <w:t>Skargi czwartej instancji mogą być wnoszone w oparciu o każde postanowienie materialne Konwencji i niezależnie od sfery prawnej, do której należą postępowania na poziomie krajowym. Doktryna czwartej instancji została zastosowana np. w następujących sprawach:</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dotyczące pozbawienia wolności </w:t>
      </w:r>
      <w:hyperlink r:id="rId1688" w:history="1">
        <w:r>
          <w:rPr>
            <w:lang w:val="pl"/>
          </w:rPr>
          <w:t>(</w:t>
        </w:r>
        <w:r>
          <w:rPr>
            <w:i/>
            <w:iCs/>
            <w:color w:val="0072BC"/>
            <w:lang w:val="pl"/>
          </w:rPr>
          <w:t>Thimothawes p. Belgii</w:t>
        </w:r>
        <w:r>
          <w:rPr>
            <w:lang w:val="pl"/>
          </w:rPr>
          <w:t>,</w:t>
        </w:r>
      </w:hyperlink>
      <w:r>
        <w:rPr>
          <w:lang w:val="pl"/>
        </w:rPr>
        <w:t xml:space="preserve"> § 71);</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cywilne </w:t>
      </w:r>
      <w:hyperlink r:id="rId1689" w:history="1">
        <w:r>
          <w:rPr>
            <w:lang w:val="pl"/>
          </w:rPr>
          <w:t>(</w:t>
        </w:r>
        <w:r>
          <w:rPr>
            <w:i/>
            <w:iCs/>
            <w:color w:val="0072BC"/>
            <w:lang w:val="pl"/>
          </w:rPr>
          <w:t xml:space="preserve">García Ruiz p. Hiszpanii </w:t>
        </w:r>
      </w:hyperlink>
      <w:r>
        <w:rPr>
          <w:lang w:val="pl"/>
        </w:rPr>
        <w:t>[WI], § 28;</w:t>
      </w:r>
      <w:hyperlink r:id="rId1690" w:history="1">
        <w:r>
          <w:rPr>
            <w:i/>
            <w:iCs/>
            <w:lang w:val="pl"/>
          </w:rPr>
          <w:t xml:space="preserve"> </w:t>
        </w:r>
        <w:r>
          <w:rPr>
            <w:i/>
            <w:iCs/>
            <w:color w:val="0072BC"/>
            <w:lang w:val="pl"/>
          </w:rPr>
          <w:t>Hasan Tunç i Inni p. Turcji</w:t>
        </w:r>
        <w:r>
          <w:rPr>
            <w:lang w:val="pl"/>
          </w:rPr>
          <w:t>,</w:t>
        </w:r>
      </w:hyperlink>
      <w:r>
        <w:rPr>
          <w:lang w:val="pl"/>
        </w:rPr>
        <w:t xml:space="preserve"> §§ 54</w:t>
      </w:r>
      <w:r>
        <w:rPr>
          <w:lang w:val="pl"/>
        </w:rPr>
        <w:noBreakHyphen/>
        <w:t>56);</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karne </w:t>
      </w:r>
      <w:hyperlink r:id="rId1691" w:history="1">
        <w:r>
          <w:rPr>
            <w:lang w:val="pl"/>
          </w:rPr>
          <w:t>(</w:t>
        </w:r>
        <w:r>
          <w:rPr>
            <w:i/>
            <w:iCs/>
            <w:color w:val="0072BC"/>
            <w:lang w:val="pl"/>
          </w:rPr>
          <w:t>Perlala p. Grecji</w:t>
        </w:r>
        <w:r>
          <w:rPr>
            <w:lang w:val="pl"/>
          </w:rPr>
          <w:t>,</w:t>
        </w:r>
      </w:hyperlink>
      <w:r>
        <w:rPr>
          <w:lang w:val="pl"/>
        </w:rPr>
        <w:t xml:space="preserve"> § 25;</w:t>
      </w:r>
      <w:hyperlink r:id="rId1692" w:history="1">
        <w:r>
          <w:rPr>
            <w:i/>
            <w:iCs/>
            <w:lang w:val="pl"/>
          </w:rPr>
          <w:t xml:space="preserve"> </w:t>
        </w:r>
        <w:r>
          <w:rPr>
            <w:i/>
            <w:iCs/>
            <w:color w:val="0072BC"/>
            <w:lang w:val="pl"/>
          </w:rPr>
          <w:t>Khan p. Wielkiej Brytanii</w:t>
        </w:r>
        <w:r>
          <w:rPr>
            <w:lang w:val="pl"/>
          </w:rPr>
          <w:t>,</w:t>
        </w:r>
      </w:hyperlink>
      <w:r>
        <w:rPr>
          <w:lang w:val="pl"/>
        </w:rPr>
        <w:t xml:space="preserve"> § 34);</w:t>
      </w:r>
    </w:p>
    <w:p w:rsidR="00B71A20" w:rsidRPr="000625F6" w:rsidRDefault="000425B4" w:rsidP="00115011">
      <w:pPr>
        <w:pStyle w:val="Teksttreci0"/>
        <w:numPr>
          <w:ilvl w:val="0"/>
          <w:numId w:val="86"/>
        </w:numPr>
        <w:tabs>
          <w:tab w:val="left" w:pos="857"/>
        </w:tabs>
        <w:spacing w:after="40"/>
        <w:ind w:left="880" w:hanging="300"/>
        <w:jc w:val="both"/>
        <w:rPr>
          <w:lang w:val="pl-PL"/>
        </w:rPr>
      </w:pPr>
      <w:r>
        <w:rPr>
          <w:lang w:val="pl"/>
        </w:rPr>
        <w:t xml:space="preserve">sprawy dotyczące środków prewencyjnych </w:t>
      </w:r>
      <w:r>
        <w:rPr>
          <w:i/>
          <w:iCs/>
          <w:lang w:val="pl"/>
        </w:rPr>
        <w:t xml:space="preserve">praeter delictum </w:t>
      </w:r>
      <w:hyperlink r:id="rId1693" w:history="1">
        <w:r>
          <w:rPr>
            <w:lang w:val="pl"/>
          </w:rPr>
          <w:t>(</w:t>
        </w:r>
        <w:r>
          <w:rPr>
            <w:i/>
            <w:iCs/>
            <w:color w:val="0072BC"/>
            <w:lang w:val="pl"/>
          </w:rPr>
          <w:t xml:space="preserve">De Tommaso p. Włochom </w:t>
        </w:r>
      </w:hyperlink>
      <w:r>
        <w:rPr>
          <w:lang w:val="pl"/>
        </w:rPr>
        <w:t>[WI], §§ 156</w:t>
      </w:r>
      <w:r>
        <w:rPr>
          <w:lang w:val="pl"/>
        </w:rPr>
        <w:noBreakHyphen/>
        <w:t>173);</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podatkowe </w:t>
      </w:r>
      <w:hyperlink r:id="rId1694" w:history="1">
        <w:r>
          <w:rPr>
            <w:lang w:val="pl"/>
          </w:rPr>
          <w:t>(</w:t>
        </w:r>
        <w:r>
          <w:rPr>
            <w:i/>
            <w:iCs/>
            <w:color w:val="0072BC"/>
            <w:lang w:val="pl"/>
          </w:rPr>
          <w:t>Dukmedjian p. Francji</w:t>
        </w:r>
        <w:r>
          <w:rPr>
            <w:lang w:val="pl"/>
          </w:rPr>
          <w:t>,</w:t>
        </w:r>
      </w:hyperlink>
      <w:r>
        <w:rPr>
          <w:lang w:val="pl"/>
        </w:rPr>
        <w:t xml:space="preserve"> §§ 71</w:t>
      </w:r>
      <w:r>
        <w:rPr>
          <w:lang w:val="pl"/>
        </w:rPr>
        <w:noBreakHyphen/>
        <w:t>75;</w:t>
      </w:r>
      <w:hyperlink r:id="rId1695" w:history="1">
        <w:r>
          <w:rPr>
            <w:i/>
            <w:iCs/>
            <w:lang w:val="pl"/>
          </w:rPr>
          <w:t xml:space="preserve"> </w:t>
        </w:r>
        <w:r>
          <w:rPr>
            <w:i/>
            <w:iCs/>
            <w:color w:val="0072BC"/>
            <w:lang w:val="pl"/>
          </w:rPr>
          <w:t>Segame SA p. Francji</w:t>
        </w:r>
        <w:r>
          <w:rPr>
            <w:lang w:val="pl"/>
          </w:rPr>
          <w:t>,</w:t>
        </w:r>
      </w:hyperlink>
      <w:r>
        <w:rPr>
          <w:lang w:val="pl"/>
        </w:rPr>
        <w:t xml:space="preserve"> §§ 61</w:t>
      </w:r>
      <w:r>
        <w:rPr>
          <w:lang w:val="pl"/>
        </w:rPr>
        <w:noBreakHyphen/>
        <w:t>65);</w:t>
      </w:r>
    </w:p>
    <w:p w:rsidR="00B71A20" w:rsidRPr="000625F6" w:rsidRDefault="000425B4" w:rsidP="00115011">
      <w:pPr>
        <w:pStyle w:val="Teksttreci0"/>
        <w:numPr>
          <w:ilvl w:val="0"/>
          <w:numId w:val="86"/>
        </w:numPr>
        <w:tabs>
          <w:tab w:val="left" w:pos="857"/>
        </w:tabs>
        <w:spacing w:after="40"/>
        <w:ind w:left="880" w:hanging="300"/>
        <w:jc w:val="both"/>
        <w:rPr>
          <w:lang w:val="pl-PL"/>
        </w:rPr>
      </w:pPr>
      <w:r>
        <w:rPr>
          <w:lang w:val="pl"/>
        </w:rPr>
        <w:t xml:space="preserve">sprawy dotyczące kwestii społecznych </w:t>
      </w:r>
      <w:hyperlink r:id="rId1696" w:history="1">
        <w:r>
          <w:rPr>
            <w:lang w:val="pl"/>
          </w:rPr>
          <w:t>(</w:t>
        </w:r>
        <w:r>
          <w:rPr>
            <w:i/>
            <w:iCs/>
            <w:color w:val="0072BC"/>
            <w:lang w:val="pl"/>
          </w:rPr>
          <w:t>Marion p. Francji</w:t>
        </w:r>
        <w:r>
          <w:rPr>
            <w:lang w:val="pl"/>
          </w:rPr>
          <w:t>,</w:t>
        </w:r>
      </w:hyperlink>
      <w:r>
        <w:rPr>
          <w:lang w:val="pl"/>
        </w:rPr>
        <w:t xml:space="preserve"> § 22;</w:t>
      </w:r>
      <w:hyperlink r:id="rId1697" w:history="1">
        <w:r>
          <w:rPr>
            <w:i/>
            <w:iCs/>
            <w:lang w:val="pl"/>
          </w:rPr>
          <w:t xml:space="preserve"> </w:t>
        </w:r>
        <w:r>
          <w:rPr>
            <w:i/>
            <w:iCs/>
            <w:color w:val="0072BC"/>
            <w:lang w:val="pl"/>
          </w:rPr>
          <w:t xml:space="preserve">Spycher p. Szwajcarii </w:t>
        </w:r>
      </w:hyperlink>
      <w:r>
        <w:rPr>
          <w:lang w:val="pl"/>
        </w:rPr>
        <w:t>(dec.), §§ 27-32);</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administracyjne </w:t>
      </w:r>
      <w:hyperlink r:id="rId1698" w:history="1">
        <w:r>
          <w:rPr>
            <w:lang w:val="pl"/>
          </w:rPr>
          <w:t>(</w:t>
        </w:r>
        <w:r>
          <w:rPr>
            <w:i/>
            <w:iCs/>
            <w:color w:val="0072BC"/>
            <w:lang w:val="pl"/>
          </w:rPr>
          <w:t xml:space="preserve">Centro Europa 7 S.r.l. i Di Stefano p. Włochom </w:t>
        </w:r>
      </w:hyperlink>
      <w:r>
        <w:rPr>
          <w:lang w:val="pl"/>
        </w:rPr>
        <w:t>[WI], §§ 196-199);</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dotyczące odpowiedzialności państwa </w:t>
      </w:r>
      <w:hyperlink r:id="rId1699" w:history="1">
        <w:r>
          <w:rPr>
            <w:lang w:val="pl"/>
          </w:rPr>
          <w:t>(</w:t>
        </w:r>
        <w:r>
          <w:rPr>
            <w:i/>
            <w:iCs/>
            <w:color w:val="0072BC"/>
            <w:lang w:val="pl"/>
          </w:rPr>
          <w:t>Schipani i Inni p. Włochom</w:t>
        </w:r>
        <w:r>
          <w:rPr>
            <w:lang w:val="pl"/>
          </w:rPr>
          <w:t>,</w:t>
        </w:r>
      </w:hyperlink>
      <w:r>
        <w:rPr>
          <w:lang w:val="pl"/>
        </w:rPr>
        <w:t xml:space="preserve"> §§ 59-61);</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dyscyplinarne </w:t>
      </w:r>
      <w:hyperlink r:id="rId1700" w:history="1">
        <w:r>
          <w:rPr>
            <w:lang w:val="pl"/>
          </w:rPr>
          <w:t>(</w:t>
        </w:r>
        <w:r>
          <w:rPr>
            <w:i/>
            <w:iCs/>
            <w:color w:val="0072BC"/>
            <w:lang w:val="pl"/>
          </w:rPr>
          <w:t xml:space="preserve">Pentagiotis p. Grecji </w:t>
        </w:r>
      </w:hyperlink>
      <w:r>
        <w:rPr>
          <w:lang w:val="pl"/>
        </w:rPr>
        <w:t>(dec.));</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dotyczące prawa głosu </w:t>
      </w:r>
      <w:hyperlink r:id="rId1701" w:history="1">
        <w:r>
          <w:rPr>
            <w:lang w:val="pl"/>
          </w:rPr>
          <w:t>(</w:t>
        </w:r>
        <w:r>
          <w:rPr>
            <w:i/>
            <w:iCs/>
            <w:color w:val="0072BC"/>
            <w:lang w:val="pl"/>
          </w:rPr>
          <w:t>Ādamsons p. Łotwie</w:t>
        </w:r>
        <w:r>
          <w:rPr>
            <w:lang w:val="pl"/>
          </w:rPr>
          <w:t>,</w:t>
        </w:r>
      </w:hyperlink>
      <w:r>
        <w:rPr>
          <w:lang w:val="pl"/>
        </w:rPr>
        <w:t xml:space="preserve"> § 118);</w:t>
      </w:r>
    </w:p>
    <w:p w:rsidR="00B71A20" w:rsidRPr="000625F6" w:rsidRDefault="000425B4" w:rsidP="00115011">
      <w:pPr>
        <w:pStyle w:val="Teksttreci0"/>
        <w:numPr>
          <w:ilvl w:val="0"/>
          <w:numId w:val="86"/>
        </w:numPr>
        <w:tabs>
          <w:tab w:val="left" w:pos="857"/>
        </w:tabs>
        <w:spacing w:after="40"/>
        <w:ind w:left="880" w:hanging="300"/>
        <w:jc w:val="both"/>
        <w:rPr>
          <w:lang w:val="pl-PL"/>
        </w:rPr>
      </w:pPr>
      <w:r>
        <w:rPr>
          <w:lang w:val="pl"/>
        </w:rPr>
        <w:t xml:space="preserve">sprawy dotyczące wjazdu, pobytu i wydalenia cudzoziemców </w:t>
      </w:r>
      <w:hyperlink r:id="rId1702" w:history="1">
        <w:r>
          <w:rPr>
            <w:lang w:val="pl"/>
          </w:rPr>
          <w:t>(</w:t>
        </w:r>
        <w:r>
          <w:rPr>
            <w:i/>
            <w:iCs/>
            <w:color w:val="0072BC"/>
            <w:lang w:val="pl"/>
          </w:rPr>
          <w:t>Sisojeva i Inni</w:t>
        </w:r>
      </w:hyperlink>
      <w:r>
        <w:rPr>
          <w:i/>
          <w:iCs/>
          <w:color w:val="0072BC"/>
          <w:lang w:val="pl"/>
        </w:rPr>
        <w:t xml:space="preserve"> </w:t>
      </w:r>
      <w:hyperlink r:id="rId1703" w:history="1">
        <w:r>
          <w:rPr>
            <w:i/>
            <w:iCs/>
            <w:color w:val="0072BC"/>
            <w:lang w:val="pl"/>
          </w:rPr>
          <w:t xml:space="preserve">p. Łotwie </w:t>
        </w:r>
      </w:hyperlink>
      <w:r>
        <w:rPr>
          <w:lang w:val="pl"/>
        </w:rPr>
        <w:t>(skreślenie) [WI], § 89;</w:t>
      </w:r>
      <w:hyperlink r:id="rId1704" w:history="1">
        <w:r>
          <w:rPr>
            <w:lang w:val="pl"/>
          </w:rPr>
          <w:t xml:space="preserve"> </w:t>
        </w:r>
        <w:r>
          <w:rPr>
            <w:i/>
            <w:iCs/>
            <w:color w:val="0072BC"/>
            <w:lang w:val="pl"/>
          </w:rPr>
          <w:t xml:space="preserve">Ilias i Ahmed p. Węgrom </w:t>
        </w:r>
      </w:hyperlink>
      <w:r>
        <w:rPr>
          <w:lang w:val="pl"/>
        </w:rPr>
        <w:t>[WI], §§ 147, 150);</w:t>
      </w:r>
    </w:p>
    <w:p w:rsidR="00B71A20" w:rsidRPr="000625F6" w:rsidRDefault="000425B4" w:rsidP="00115011">
      <w:pPr>
        <w:pStyle w:val="Teksttreci0"/>
        <w:numPr>
          <w:ilvl w:val="0"/>
          <w:numId w:val="86"/>
        </w:numPr>
        <w:tabs>
          <w:tab w:val="left" w:pos="857"/>
        </w:tabs>
        <w:spacing w:after="40"/>
        <w:ind w:firstLine="580"/>
        <w:jc w:val="both"/>
        <w:rPr>
          <w:lang w:val="pl-PL"/>
        </w:rPr>
      </w:pPr>
      <w:r>
        <w:rPr>
          <w:lang w:val="pl"/>
        </w:rPr>
        <w:t xml:space="preserve">sprawy dotyczące zgromadzeń </w:t>
      </w:r>
      <w:hyperlink r:id="rId1705" w:history="1">
        <w:r>
          <w:rPr>
            <w:lang w:val="pl"/>
          </w:rPr>
          <w:t>(</w:t>
        </w:r>
        <w:r>
          <w:rPr>
            <w:i/>
            <w:iCs/>
            <w:color w:val="0072BC"/>
            <w:lang w:val="pl"/>
          </w:rPr>
          <w:t>Mushegh Saghatelyan p. Armenii</w:t>
        </w:r>
        <w:r>
          <w:rPr>
            <w:lang w:val="pl"/>
          </w:rPr>
          <w:t>,</w:t>
        </w:r>
      </w:hyperlink>
      <w:r>
        <w:rPr>
          <w:lang w:val="pl"/>
        </w:rPr>
        <w:t xml:space="preserve"> § 241);</w:t>
      </w:r>
    </w:p>
    <w:p w:rsidR="00B71A20" w:rsidRPr="000625F6" w:rsidRDefault="000425B4" w:rsidP="00115011">
      <w:pPr>
        <w:pStyle w:val="Teksttreci0"/>
        <w:numPr>
          <w:ilvl w:val="0"/>
          <w:numId w:val="86"/>
        </w:numPr>
        <w:tabs>
          <w:tab w:val="left" w:pos="857"/>
        </w:tabs>
        <w:ind w:left="880" w:hanging="300"/>
        <w:jc w:val="both"/>
        <w:rPr>
          <w:lang w:val="pl-PL"/>
        </w:rPr>
      </w:pPr>
      <w:r>
        <w:rPr>
          <w:lang w:val="pl"/>
        </w:rPr>
        <w:t xml:space="preserve">sprawy dotyczące art. 1 Protokołu nr 1 </w:t>
      </w:r>
      <w:hyperlink r:id="rId1706" w:history="1">
        <w:r>
          <w:rPr>
            <w:lang w:val="pl"/>
          </w:rPr>
          <w:t>(</w:t>
        </w:r>
        <w:r>
          <w:rPr>
            <w:i/>
            <w:iCs/>
            <w:color w:val="0072BC"/>
            <w:lang w:val="pl"/>
          </w:rPr>
          <w:t xml:space="preserve">Anheuser-Busch Inc. p. Portugalii </w:t>
        </w:r>
      </w:hyperlink>
      <w:r>
        <w:rPr>
          <w:lang w:val="pl"/>
        </w:rPr>
        <w:t>[WI], §§ 83-86).</w:t>
      </w:r>
    </w:p>
    <w:p w:rsidR="00B71A20" w:rsidRPr="000625F6" w:rsidRDefault="000425B4" w:rsidP="00115011">
      <w:pPr>
        <w:pStyle w:val="Teksttreci0"/>
        <w:numPr>
          <w:ilvl w:val="0"/>
          <w:numId w:val="84"/>
        </w:numPr>
        <w:tabs>
          <w:tab w:val="left" w:pos="534"/>
        </w:tabs>
        <w:jc w:val="both"/>
        <w:rPr>
          <w:lang w:val="pl-PL"/>
        </w:rPr>
      </w:pPr>
      <w:r>
        <w:rPr>
          <w:lang w:val="pl"/>
        </w:rPr>
        <w:t xml:space="preserve">Jednakże większość skarg czwartej instancji składanych jest na podstawie art. 6 ust. 1 Konwencji dotyczącego prawa do „sprawiedliwego procesu” w postępowaniach cywilnych i karnych. Należy pamiętać – ponieważ bardzo często jest to źródłem niezrozumienia ze strony skarżących – że „sprawiedliwość” w rozumieniu art. 6 ust. 1 nie stanowi sprawiedliwości „materialnej” (koncepcja, która ma częściowo wymiar prawny, a częściowo etyczny i może być stosowana jedynie przez sędziego orzekającego w sprawie), ale sprawiedliwość „proceduralną”. To przekłada się w praktyce na postępowania kontradyktoryjne, w ramach których rozpatrywane są </w:t>
      </w:r>
      <w:r w:rsidR="00F343C9">
        <w:rPr>
          <w:lang w:val="pl"/>
        </w:rPr>
        <w:t>wnioski składane przez strony i </w:t>
      </w:r>
      <w:r>
        <w:rPr>
          <w:lang w:val="pl"/>
        </w:rPr>
        <w:t xml:space="preserve">wnoszone do sądu na równych zasadach </w:t>
      </w:r>
      <w:hyperlink r:id="rId1707" w:history="1">
        <w:r>
          <w:rPr>
            <w:lang w:val="pl"/>
          </w:rPr>
          <w:t>(</w:t>
        </w:r>
        <w:r>
          <w:rPr>
            <w:i/>
            <w:iCs/>
            <w:color w:val="0072BC"/>
            <w:lang w:val="pl"/>
          </w:rPr>
          <w:t>Star Cate – Epilekta Gevmata i Inni</w:t>
        </w:r>
      </w:hyperlink>
      <w:r>
        <w:rPr>
          <w:i/>
          <w:iCs/>
          <w:color w:val="0072BC"/>
          <w:lang w:val="pl"/>
        </w:rPr>
        <w:t xml:space="preserve"> </w:t>
      </w:r>
      <w:hyperlink r:id="rId1708" w:history="1">
        <w:r>
          <w:rPr>
            <w:i/>
            <w:iCs/>
            <w:color w:val="0072BC"/>
            <w:lang w:val="pl"/>
          </w:rPr>
          <w:t xml:space="preserve">p. Grecji </w:t>
        </w:r>
      </w:hyperlink>
      <w:r>
        <w:rPr>
          <w:lang w:val="pl"/>
        </w:rPr>
        <w:t>(dec.)).</w:t>
      </w:r>
    </w:p>
    <w:p w:rsidR="00B71A20" w:rsidRPr="000625F6" w:rsidRDefault="000425B4" w:rsidP="00115011">
      <w:pPr>
        <w:pStyle w:val="Teksttreci0"/>
        <w:numPr>
          <w:ilvl w:val="0"/>
          <w:numId w:val="84"/>
        </w:numPr>
        <w:tabs>
          <w:tab w:val="left" w:pos="529"/>
        </w:tabs>
        <w:spacing w:after="220"/>
        <w:jc w:val="both"/>
        <w:rPr>
          <w:lang w:val="pl-PL"/>
        </w:rPr>
      </w:pPr>
      <w:bookmarkStart w:id="301" w:name="bookmark305"/>
      <w:r>
        <w:rPr>
          <w:lang w:val="pl"/>
        </w:rPr>
        <w:t>W związku z powyższym zarzuty czwartej instancji wniesione w oparciu o art. 6 ust. 1 Konwencji zostaną oddalone przez Trybunał ze względu na fakt, iż skarżąc</w:t>
      </w:r>
      <w:r w:rsidR="00F343C9">
        <w:rPr>
          <w:lang w:val="pl"/>
        </w:rPr>
        <w:t>y miał możliwość skorzystania z </w:t>
      </w:r>
      <w:r>
        <w:rPr>
          <w:lang w:val="pl"/>
        </w:rPr>
        <w:t xml:space="preserve">postępowania kontradyktoryjnego, tj. na poszczególnych etapach tego postępowania skarżący miał możliwość przedstawienia argumentów i dowodów, które uważał za istotne w swojej sprawie; miał możliwość skutecznego zakwestionowania argumentów i dowodów przedstawionych przez stronę przeciwną; wszystkie jego argumenty, które, patrząc obiektywnie, były istotne dla rozstrzygnięcia sprawy, zostały należycie wysłuchane i zbadane przez sądy; faktyczne i prawne podstawy zaskarżonego orzeczenia zostały szczegółowo określone; a w związku z powyższym postępowanie jako całość było rzetelne </w:t>
      </w:r>
      <w:hyperlink r:id="rId1709" w:history="1">
        <w:r>
          <w:rPr>
            <w:lang w:val="pl"/>
          </w:rPr>
          <w:t>(</w:t>
        </w:r>
        <w:r>
          <w:rPr>
            <w:i/>
            <w:iCs/>
            <w:color w:val="0072BC"/>
            <w:lang w:val="pl"/>
          </w:rPr>
          <w:t xml:space="preserve">García Ruiz p. Hiszpanii </w:t>
        </w:r>
      </w:hyperlink>
      <w:r>
        <w:rPr>
          <w:lang w:val="pl"/>
        </w:rPr>
        <w:t>[WI];</w:t>
      </w:r>
      <w:hyperlink r:id="rId1710" w:history="1">
        <w:r>
          <w:rPr>
            <w:i/>
            <w:iCs/>
            <w:lang w:val="pl"/>
          </w:rPr>
          <w:t xml:space="preserve"> </w:t>
        </w:r>
        <w:r>
          <w:rPr>
            <w:i/>
            <w:iCs/>
            <w:color w:val="0072BC"/>
            <w:lang w:val="pl"/>
          </w:rPr>
          <w:t xml:space="preserve">De Tommaso p. Włochom </w:t>
        </w:r>
      </w:hyperlink>
      <w:r>
        <w:rPr>
          <w:lang w:val="pl"/>
        </w:rPr>
        <w:t>[WI], § 172).</w:t>
      </w:r>
      <w:bookmarkEnd w:id="301"/>
    </w:p>
    <w:p w:rsidR="00B71A20" w:rsidRPr="00926851" w:rsidRDefault="00D9513C" w:rsidP="00D9513C">
      <w:pPr>
        <w:pStyle w:val="Nagwek31"/>
        <w:keepNext/>
        <w:keepLines/>
        <w:tabs>
          <w:tab w:val="left" w:pos="284"/>
          <w:tab w:val="left" w:pos="340"/>
        </w:tabs>
        <w:spacing w:after="100"/>
        <w:jc w:val="both"/>
        <w:rPr>
          <w:lang w:val="pl-PL"/>
        </w:rPr>
      </w:pPr>
      <w:bookmarkStart w:id="302" w:name="_Toc126335695"/>
      <w:bookmarkStart w:id="303" w:name="_Toc126660654"/>
      <w:r>
        <w:rPr>
          <w:lang w:val="pl"/>
        </w:rPr>
        <w:t xml:space="preserve">3.  </w:t>
      </w:r>
      <w:r w:rsidR="000425B4">
        <w:rPr>
          <w:lang w:val="pl"/>
        </w:rPr>
        <w:t>Wyraźny lub widoczny brak naruszenia</w:t>
      </w:r>
      <w:bookmarkEnd w:id="302"/>
      <w:bookmarkEnd w:id="303"/>
    </w:p>
    <w:p w:rsidR="00B71A20" w:rsidRPr="000625F6" w:rsidRDefault="000425B4" w:rsidP="00115011">
      <w:pPr>
        <w:pStyle w:val="Teksttreci0"/>
        <w:numPr>
          <w:ilvl w:val="0"/>
          <w:numId w:val="84"/>
        </w:numPr>
        <w:tabs>
          <w:tab w:val="left" w:pos="534"/>
        </w:tabs>
        <w:spacing w:after="220"/>
        <w:jc w:val="both"/>
        <w:rPr>
          <w:lang w:val="pl-PL"/>
        </w:rPr>
      </w:pPr>
      <w:r>
        <w:rPr>
          <w:lang w:val="pl"/>
        </w:rPr>
        <w:t xml:space="preserve">Zarzut skarżącego zostanie również uznany za w sposób oczywisty nieuzasadniony, jeżeli pomimo spełnienia wszystkich formalnych przesłanek dopuszczalności, zgodności z Konwencją i faktu, że nie stanowi on </w:t>
      </w:r>
      <w:bookmarkStart w:id="304" w:name="bookmark308"/>
      <w:r>
        <w:rPr>
          <w:lang w:val="pl"/>
        </w:rPr>
        <w:t xml:space="preserve">zarzutu czwartej instancji, nie wynika z niego jakiekolwiek naruszenie praw </w:t>
      </w:r>
      <w:r>
        <w:rPr>
          <w:lang w:val="pl"/>
        </w:rPr>
        <w:lastRenderedPageBreak/>
        <w:t>gwarantowanych przez Konwencję. W takich przypadkach rola Trybunału będzie polegać na zbadaniu przedmiotu skargi i stwierdzeniu, iż nie uwidacznia on naruszenia, oraz uznaniu tej skargi za niedopuszczalną bez konieczności prowadzenia dalszego postępowania. Można wyróżnić trzy rodzaje zarzutów, kiedy przyjmuje się takie podejście.</w:t>
      </w:r>
      <w:bookmarkEnd w:id="304"/>
    </w:p>
    <w:p w:rsidR="00B71A20" w:rsidRPr="000625F6" w:rsidRDefault="000425B4" w:rsidP="00926851">
      <w:pPr>
        <w:pStyle w:val="Nagwek41"/>
        <w:keepNext/>
        <w:keepLines/>
        <w:tabs>
          <w:tab w:val="left" w:pos="284"/>
        </w:tabs>
        <w:spacing w:after="120"/>
        <w:jc w:val="both"/>
        <w:rPr>
          <w:lang w:val="pl-PL"/>
        </w:rPr>
      </w:pPr>
      <w:bookmarkStart w:id="305" w:name="_Toc126335696"/>
      <w:bookmarkStart w:id="306" w:name="_Toc126660655"/>
      <w:r>
        <w:rPr>
          <w:lang w:val="pl"/>
        </w:rPr>
        <w:t>a.</w:t>
      </w:r>
      <w:r w:rsidR="00A67931">
        <w:rPr>
          <w:lang w:val="pl"/>
        </w:rPr>
        <w:t xml:space="preserve"> </w:t>
      </w:r>
      <w:r w:rsidR="00AB4484">
        <w:rPr>
          <w:lang w:val="pl"/>
        </w:rPr>
        <w:t xml:space="preserve"> </w:t>
      </w:r>
      <w:r>
        <w:rPr>
          <w:lang w:val="pl"/>
        </w:rPr>
        <w:t>Brak widocznej arbitralności lub niesprawiedliwości</w:t>
      </w:r>
      <w:bookmarkEnd w:id="305"/>
      <w:bookmarkEnd w:id="306"/>
    </w:p>
    <w:p w:rsidR="00B71A20" w:rsidRPr="000625F6" w:rsidRDefault="000425B4" w:rsidP="00115011">
      <w:pPr>
        <w:pStyle w:val="Teksttreci0"/>
        <w:numPr>
          <w:ilvl w:val="0"/>
          <w:numId w:val="84"/>
        </w:numPr>
        <w:tabs>
          <w:tab w:val="left" w:pos="510"/>
        </w:tabs>
        <w:spacing w:after="120"/>
        <w:jc w:val="both"/>
        <w:rPr>
          <w:lang w:val="pl-PL"/>
        </w:rPr>
      </w:pPr>
      <w:r>
        <w:rPr>
          <w:lang w:val="pl"/>
        </w:rPr>
        <w:t>Zgodnie z zasadą subsydiarności to do władz krajowych w pierwszej kolejności należy zapewnienie przestrzegania praw podstawowych zawartych w Konwencji. W związku z tym ustalenie stanu faktycznego sprawy i wykładnia prawa krajowego co do zasady należą wyłącznie do sądów krajowych i innych organów, których ustalenia i wnioski w tym zakresie są dla Trybunału wiążące. Jednakże wpisana w system Konwencji zasada skuteczności praw oznacza, że Trybunał może i powinien upewnić się, że proces orzekania, stanowiący podstawę do wniesienia skargi, był sprawiedliwy i nie miał charakteru arbitralnego (w zależności od sprawy, proces ten może mieć charakter administracyjny lub sądowy, albo odnosić się do obu aspektów jednocześnie).</w:t>
      </w:r>
    </w:p>
    <w:p w:rsidR="00B71A20" w:rsidRPr="000625F6" w:rsidRDefault="000425B4" w:rsidP="00115011">
      <w:pPr>
        <w:pStyle w:val="Teksttreci0"/>
        <w:numPr>
          <w:ilvl w:val="0"/>
          <w:numId w:val="84"/>
        </w:numPr>
        <w:tabs>
          <w:tab w:val="left" w:pos="510"/>
        </w:tabs>
        <w:spacing w:after="120"/>
        <w:jc w:val="both"/>
        <w:rPr>
          <w:lang w:val="pl-PL"/>
        </w:rPr>
      </w:pPr>
      <w:r>
        <w:rPr>
          <w:lang w:val="pl"/>
        </w:rPr>
        <w:t xml:space="preserve">W związku z powyższym Trybunał może uznać za w sposób oczywisty nieuzasadniony zarzut rozpatrzony co do istoty przez właściwe sądy krajowe w toku postępowania, który spełnia </w:t>
      </w:r>
      <w:r>
        <w:rPr>
          <w:i/>
          <w:iCs/>
          <w:lang w:val="pl"/>
        </w:rPr>
        <w:t>a priori</w:t>
      </w:r>
      <w:r>
        <w:rPr>
          <w:lang w:val="pl"/>
        </w:rPr>
        <w:t xml:space="preserve"> następujące warunki (przy braku dowodów świadczących, że jest inaczej):</w:t>
      </w:r>
    </w:p>
    <w:p w:rsidR="00B71A20" w:rsidRPr="000625F6" w:rsidRDefault="000425B4" w:rsidP="0093676E">
      <w:pPr>
        <w:pStyle w:val="Teksttreci0"/>
        <w:numPr>
          <w:ilvl w:val="0"/>
          <w:numId w:val="87"/>
        </w:numPr>
        <w:spacing w:after="60" w:line="257" w:lineRule="auto"/>
        <w:ind w:left="880" w:hanging="300"/>
        <w:jc w:val="both"/>
        <w:rPr>
          <w:lang w:val="pl-PL"/>
        </w:rPr>
      </w:pPr>
      <w:r>
        <w:rPr>
          <w:lang w:val="pl"/>
        </w:rPr>
        <w:t>postępowanie było prowadzone przed organami powołanymi do tego celu na mocy przepisów prawa krajowego;</w:t>
      </w:r>
    </w:p>
    <w:p w:rsidR="00B71A20" w:rsidRPr="000625F6" w:rsidRDefault="000425B4" w:rsidP="0093676E">
      <w:pPr>
        <w:pStyle w:val="Teksttreci0"/>
        <w:numPr>
          <w:ilvl w:val="0"/>
          <w:numId w:val="87"/>
        </w:numPr>
        <w:spacing w:after="60" w:line="257" w:lineRule="auto"/>
        <w:ind w:left="880" w:hanging="300"/>
        <w:jc w:val="both"/>
        <w:rPr>
          <w:lang w:val="pl-PL"/>
        </w:rPr>
      </w:pPr>
      <w:r>
        <w:rPr>
          <w:lang w:val="pl"/>
        </w:rPr>
        <w:t>postępowanie było prowadzone zgodnie z wymogami proceduralnymi prawa krajowego;</w:t>
      </w:r>
    </w:p>
    <w:p w:rsidR="00B71A20" w:rsidRPr="000625F6" w:rsidRDefault="000425B4" w:rsidP="0093676E">
      <w:pPr>
        <w:pStyle w:val="Teksttreci0"/>
        <w:numPr>
          <w:ilvl w:val="0"/>
          <w:numId w:val="87"/>
        </w:numPr>
        <w:spacing w:after="60" w:line="257" w:lineRule="auto"/>
        <w:ind w:left="880" w:hanging="300"/>
        <w:jc w:val="both"/>
        <w:rPr>
          <w:lang w:val="pl-PL"/>
        </w:rPr>
      </w:pPr>
      <w:r>
        <w:rPr>
          <w:lang w:val="pl"/>
        </w:rPr>
        <w:t>zainteresowana strona miała możliwość przytoczenia argumentów i dowodów, które zostały odpowiednio rozpatrzone przez dany organ;</w:t>
      </w:r>
    </w:p>
    <w:p w:rsidR="00B71A20" w:rsidRPr="000625F6" w:rsidRDefault="000425B4" w:rsidP="0093676E">
      <w:pPr>
        <w:pStyle w:val="Teksttreci0"/>
        <w:numPr>
          <w:ilvl w:val="0"/>
          <w:numId w:val="87"/>
        </w:numPr>
        <w:spacing w:after="60" w:line="257" w:lineRule="auto"/>
        <w:ind w:left="880" w:hanging="300"/>
        <w:jc w:val="both"/>
        <w:rPr>
          <w:lang w:val="pl-PL"/>
        </w:rPr>
      </w:pPr>
      <w:r>
        <w:rPr>
          <w:lang w:val="pl"/>
        </w:rPr>
        <w:t>właściwe organy zbadały i uwzględniły wszystkie okoliczno</w:t>
      </w:r>
      <w:r w:rsidR="00F343C9">
        <w:rPr>
          <w:lang w:val="pl"/>
        </w:rPr>
        <w:t>ści faktyczne i prawne, które z </w:t>
      </w:r>
      <w:r>
        <w:rPr>
          <w:lang w:val="pl"/>
        </w:rPr>
        <w:t>obiektywnego punktu widzenia były istotne dla sprawiedliwego rozstrzygnięcia sprawy;</w:t>
      </w:r>
    </w:p>
    <w:p w:rsidR="00B71A20" w:rsidRPr="000625F6" w:rsidRDefault="000425B4" w:rsidP="0093676E">
      <w:pPr>
        <w:pStyle w:val="Teksttreci0"/>
        <w:numPr>
          <w:ilvl w:val="0"/>
          <w:numId w:val="87"/>
        </w:numPr>
        <w:spacing w:after="220" w:line="276" w:lineRule="auto"/>
        <w:ind w:left="880" w:hanging="300"/>
        <w:jc w:val="both"/>
        <w:rPr>
          <w:lang w:val="pl-PL"/>
        </w:rPr>
      </w:pPr>
      <w:r>
        <w:rPr>
          <w:lang w:val="pl"/>
        </w:rPr>
        <w:t>postępowanie zakończyło się wydaniem uzasadnionego orzeczenia.</w:t>
      </w:r>
    </w:p>
    <w:p w:rsidR="00B71A20" w:rsidRPr="000625F6" w:rsidRDefault="000425B4" w:rsidP="00926851">
      <w:pPr>
        <w:pStyle w:val="Nagwek41"/>
        <w:keepNext/>
        <w:keepLines/>
        <w:tabs>
          <w:tab w:val="left" w:pos="284"/>
        </w:tabs>
        <w:spacing w:after="120"/>
        <w:jc w:val="both"/>
        <w:rPr>
          <w:lang w:val="pl-PL"/>
        </w:rPr>
      </w:pPr>
      <w:bookmarkStart w:id="307" w:name="_Toc126335697"/>
      <w:bookmarkStart w:id="308" w:name="_Toc126660656"/>
      <w:r>
        <w:rPr>
          <w:lang w:val="pl"/>
        </w:rPr>
        <w:t>b.</w:t>
      </w:r>
      <w:bookmarkStart w:id="309" w:name="bookmark311"/>
      <w:r w:rsidR="00A67931">
        <w:rPr>
          <w:lang w:val="pl"/>
        </w:rPr>
        <w:t xml:space="preserve"> </w:t>
      </w:r>
      <w:r w:rsidR="00AB4484">
        <w:rPr>
          <w:lang w:val="pl"/>
        </w:rPr>
        <w:t xml:space="preserve"> </w:t>
      </w:r>
      <w:r>
        <w:rPr>
          <w:lang w:val="pl"/>
        </w:rPr>
        <w:t>Brak widocznej nieproporcjonalności pomiędzy celami i środkami</w:t>
      </w:r>
      <w:bookmarkEnd w:id="307"/>
      <w:bookmarkEnd w:id="308"/>
      <w:bookmarkEnd w:id="309"/>
    </w:p>
    <w:p w:rsidR="00B71A20" w:rsidRPr="000625F6" w:rsidRDefault="000425B4" w:rsidP="00115011">
      <w:pPr>
        <w:pStyle w:val="Teksttreci0"/>
        <w:numPr>
          <w:ilvl w:val="0"/>
          <w:numId w:val="84"/>
        </w:numPr>
        <w:tabs>
          <w:tab w:val="left" w:pos="514"/>
        </w:tabs>
        <w:spacing w:after="120"/>
        <w:jc w:val="both"/>
        <w:rPr>
          <w:lang w:val="pl-PL"/>
        </w:rPr>
      </w:pPr>
      <w:r>
        <w:rPr>
          <w:lang w:val="pl"/>
        </w:rPr>
        <w:t>W przypadku gdy prawo określone w Konwencji, na które powołuje się skarżący, nie ma charakteru absolutnego i podlega ograniczeniom, które są albo wyraźne (w sposób wyraźny wymienione w Konwencji) albo dorozumiane (określone w orzecznictwie Trybunału), Trybunał często jest zmuszony do dokonania oceny, czy zarzucana ingerencja była proporcjonalna.</w:t>
      </w:r>
    </w:p>
    <w:p w:rsidR="00B71A20" w:rsidRPr="000625F6" w:rsidRDefault="000425B4" w:rsidP="00115011">
      <w:pPr>
        <w:pStyle w:val="Teksttreci0"/>
        <w:numPr>
          <w:ilvl w:val="0"/>
          <w:numId w:val="84"/>
        </w:numPr>
        <w:tabs>
          <w:tab w:val="left" w:pos="514"/>
        </w:tabs>
        <w:spacing w:after="120"/>
        <w:jc w:val="both"/>
        <w:rPr>
          <w:lang w:val="pl-PL"/>
        </w:rPr>
      </w:pPr>
      <w:r>
        <w:rPr>
          <w:lang w:val="pl"/>
        </w:rPr>
        <w:t xml:space="preserve">W grupie przepisów wyraźnie określających dopuszczalne ograniczenia można wymienić podgrupę czterech artykułów: art. 8 (prawo do poszanowania życia prywatnego i rodzinnego), art. 9 (wolność myśli, sumienia i wyznania), art. 10 (wolność słowa) </w:t>
      </w:r>
      <w:r w:rsidR="00F343C9">
        <w:rPr>
          <w:lang w:val="pl"/>
        </w:rPr>
        <w:t>i art. 11 (wolność zgromadzeń i </w:t>
      </w:r>
      <w:r>
        <w:rPr>
          <w:lang w:val="pl"/>
        </w:rPr>
        <w:t>stowarzyszania się). Wszystkie te artykuły mają taką samą strukturę: pierwszy ustęp zawiera opis przedmiotowego prawa podstawowego, a drugi ustęp określa okoliczności, w których państwo może ograniczyć możliwość korzystania z tego prawa. Treść drugiego ustępu nie jest identyczna w każdym przypadku, jednak jego struktura jest taka sama. Na przykład w odniesieniu do prawa do poszanowania życia prywatnego i rodzinnego art. 8 ust. 2 stanowi:</w:t>
      </w:r>
    </w:p>
    <w:p w:rsidR="00B71A20" w:rsidRPr="000625F6" w:rsidRDefault="000425B4">
      <w:pPr>
        <w:pStyle w:val="Teksttreci0"/>
        <w:spacing w:after="120"/>
        <w:ind w:left="580"/>
        <w:jc w:val="both"/>
        <w:rPr>
          <w:sz w:val="20"/>
          <w:szCs w:val="20"/>
          <w:lang w:val="pl-PL"/>
        </w:rPr>
      </w:pPr>
      <w:r>
        <w:rPr>
          <w:sz w:val="20"/>
          <w:szCs w:val="20"/>
          <w:lang w:val="pl"/>
        </w:rPr>
        <w:t>„Niedopuszczalna jest ingerencja władzy publicznej w korzystanie z tego prawa, z wyjątkiem przypadków przewidzianych przez ustawę i koniecznych w demokratycznym społeczeństwie z uwagi na bezpieczeństwo państwowe, bezpieczeństwo publiczne lub dobrobyt gospodarczy kraju, ochronę porządku i zapobieganie przestępstwom, ochronę zdrowia i moralności lub ochronę praw i wolności innych osób”.</w:t>
      </w:r>
    </w:p>
    <w:p w:rsidR="00B71A20" w:rsidRPr="000625F6" w:rsidRDefault="000425B4">
      <w:pPr>
        <w:pStyle w:val="Teksttreci0"/>
        <w:spacing w:after="120"/>
        <w:jc w:val="both"/>
        <w:rPr>
          <w:lang w:val="pl-PL"/>
        </w:rPr>
      </w:pPr>
      <w:r>
        <w:rPr>
          <w:lang w:val="pl"/>
        </w:rPr>
        <w:t>Artykuł 2 Protokołu nr 4 (swobodny przepływ osób) również należy do tej kategorii przepisów, jako że trzeci ustęp tego przepisu jest uregulowany w taki sam sposób.</w:t>
      </w:r>
    </w:p>
    <w:p w:rsidR="00B71A20" w:rsidRPr="000625F6" w:rsidRDefault="000425B4" w:rsidP="00115011">
      <w:pPr>
        <w:pStyle w:val="Teksttreci0"/>
        <w:numPr>
          <w:ilvl w:val="0"/>
          <w:numId w:val="84"/>
        </w:numPr>
        <w:tabs>
          <w:tab w:val="left" w:pos="510"/>
        </w:tabs>
        <w:spacing w:after="120"/>
        <w:jc w:val="both"/>
        <w:rPr>
          <w:lang w:val="pl-PL"/>
        </w:rPr>
      </w:pPr>
      <w:r>
        <w:rPr>
          <w:lang w:val="pl"/>
        </w:rPr>
        <w:t xml:space="preserve">Trybunał, rozpatrując ingerencję władz publicznych w którekolwiek z wymienionych powyżej </w:t>
      </w:r>
      <w:r>
        <w:rPr>
          <w:lang w:val="pl"/>
        </w:rPr>
        <w:lastRenderedPageBreak/>
        <w:t>praw, zawsze analizuje tę kwestię w trzech etapach. Jeżeli rzeczywiście doszło do „ingerencji” ze strony państwa (i jest to odrębna kwestia, którą należy zająć się w pierwszej kolejności, jako że odpowiedź nie zawsze jest oczywista), Trybunał stara się odpowiedzieć na trzy kolejne pytania:</w:t>
      </w:r>
    </w:p>
    <w:p w:rsidR="00B71A20" w:rsidRPr="000625F6" w:rsidRDefault="000425B4" w:rsidP="00115011">
      <w:pPr>
        <w:pStyle w:val="Teksttreci0"/>
        <w:numPr>
          <w:ilvl w:val="0"/>
          <w:numId w:val="88"/>
        </w:numPr>
        <w:tabs>
          <w:tab w:val="left" w:pos="854"/>
        </w:tabs>
        <w:spacing w:after="60" w:line="257" w:lineRule="auto"/>
        <w:ind w:left="880" w:hanging="300"/>
        <w:jc w:val="both"/>
        <w:rPr>
          <w:lang w:val="pl-PL"/>
        </w:rPr>
      </w:pPr>
      <w:r>
        <w:rPr>
          <w:lang w:val="pl"/>
        </w:rPr>
        <w:t>Czy ingerencja była zgodna z „prawem”, które było wystarczająco dostępne i przewidywalne?</w:t>
      </w:r>
    </w:p>
    <w:p w:rsidR="00B71A20" w:rsidRPr="000625F6" w:rsidRDefault="000425B4" w:rsidP="00115011">
      <w:pPr>
        <w:pStyle w:val="Teksttreci0"/>
        <w:numPr>
          <w:ilvl w:val="0"/>
          <w:numId w:val="88"/>
        </w:numPr>
        <w:tabs>
          <w:tab w:val="left" w:pos="854"/>
        </w:tabs>
        <w:spacing w:after="60" w:line="257" w:lineRule="auto"/>
        <w:ind w:left="880" w:hanging="300"/>
        <w:jc w:val="both"/>
        <w:rPr>
          <w:lang w:val="pl-PL"/>
        </w:rPr>
      </w:pPr>
      <w:r>
        <w:rPr>
          <w:lang w:val="pl"/>
        </w:rPr>
        <w:t>Jeśli tak, to czy miała ona na celu realizację co najmniej jednego z enumeratywnie wymienionych „uprawnionych celów” (których lista zmienia się w zależności od artykułu)?</w:t>
      </w:r>
    </w:p>
    <w:p w:rsidR="00B71A20" w:rsidRPr="000625F6" w:rsidRDefault="000425B4" w:rsidP="00115011">
      <w:pPr>
        <w:pStyle w:val="Teksttreci0"/>
        <w:numPr>
          <w:ilvl w:val="0"/>
          <w:numId w:val="88"/>
        </w:numPr>
        <w:tabs>
          <w:tab w:val="left" w:pos="854"/>
        </w:tabs>
        <w:spacing w:after="120"/>
        <w:ind w:left="880" w:hanging="300"/>
        <w:jc w:val="both"/>
        <w:rPr>
          <w:lang w:val="pl-PL"/>
        </w:rPr>
      </w:pPr>
      <w:r>
        <w:rPr>
          <w:lang w:val="pl"/>
        </w:rPr>
        <w:t>Jeśli tak, to czy ingerencja była „konieczna w demokratycznym społeczeństwie” dla osiągnięcia tego celu? Innymi słowy, czy istniał stosunek proporcjonalności pomiędzy celem a przedmiotowymi ograniczeniami?</w:t>
      </w:r>
    </w:p>
    <w:p w:rsidR="00B71A20" w:rsidRPr="000625F6" w:rsidRDefault="000425B4" w:rsidP="0010257B">
      <w:pPr>
        <w:pStyle w:val="Teksttreci0"/>
        <w:numPr>
          <w:ilvl w:val="0"/>
          <w:numId w:val="89"/>
        </w:numPr>
        <w:tabs>
          <w:tab w:val="left" w:pos="510"/>
        </w:tabs>
        <w:spacing w:after="120"/>
        <w:jc w:val="both"/>
        <w:rPr>
          <w:lang w:val="pl-PL"/>
        </w:rPr>
      </w:pPr>
      <w:r>
        <w:rPr>
          <w:lang w:val="pl"/>
        </w:rPr>
        <w:t>Ingerencję uznaje się za zgodną z Konwencją jedynie w przy</w:t>
      </w:r>
      <w:r w:rsidR="00F343C9">
        <w:rPr>
          <w:lang w:val="pl"/>
        </w:rPr>
        <w:t>padku, gdy odpowiedź na każde z </w:t>
      </w:r>
      <w:r>
        <w:rPr>
          <w:lang w:val="pl"/>
        </w:rPr>
        <w:t xml:space="preserve">powyższych trzech pytań jest twierdząca. Jeśli tak nie jest, zostanie stwierdzone naruszenie. Odnośnie do trzeciego pytania, Trybunał musi wziąć pod uwagę margines oceny po stronie państwa, którego zakres różni się w zależności od okoliczności, charakteru chronionego prawa i charakteru ingerencji </w:t>
      </w:r>
      <w:hyperlink r:id="rId1711" w:history="1">
        <w:r>
          <w:rPr>
            <w:lang w:val="pl"/>
          </w:rPr>
          <w:t>(</w:t>
        </w:r>
        <w:r>
          <w:rPr>
            <w:i/>
            <w:iCs/>
            <w:color w:val="0072BC"/>
            <w:lang w:val="pl"/>
          </w:rPr>
          <w:t xml:space="preserve">Paradiso i Campanelli p. Włochom </w:t>
        </w:r>
      </w:hyperlink>
      <w:r>
        <w:rPr>
          <w:lang w:val="pl"/>
        </w:rPr>
        <w:t>[WI], §§ 179</w:t>
      </w:r>
      <w:r>
        <w:rPr>
          <w:lang w:val="pl"/>
        </w:rPr>
        <w:noBreakHyphen/>
        <w:t xml:space="preserve">182; </w:t>
      </w:r>
      <w:hyperlink r:id="rId1712" w:history="1">
        <w:r>
          <w:rPr>
            <w:i/>
            <w:iCs/>
            <w:color w:val="0072BC"/>
            <w:lang w:val="pl"/>
          </w:rPr>
          <w:t xml:space="preserve">Mouvement raëlien suisse p. Szwajcarii </w:t>
        </w:r>
      </w:hyperlink>
      <w:r>
        <w:rPr>
          <w:lang w:val="pl"/>
        </w:rPr>
        <w:t>[WI], §§ 59</w:t>
      </w:r>
      <w:r>
        <w:rPr>
          <w:lang w:val="pl"/>
        </w:rPr>
        <w:noBreakHyphen/>
        <w:t>61).</w:t>
      </w:r>
    </w:p>
    <w:p w:rsidR="00B71A20" w:rsidRPr="000625F6" w:rsidRDefault="000425B4" w:rsidP="00115011">
      <w:pPr>
        <w:pStyle w:val="Teksttreci0"/>
        <w:numPr>
          <w:ilvl w:val="0"/>
          <w:numId w:val="89"/>
        </w:numPr>
        <w:tabs>
          <w:tab w:val="left" w:pos="514"/>
        </w:tabs>
        <w:spacing w:after="120"/>
        <w:jc w:val="both"/>
        <w:rPr>
          <w:lang w:val="pl-PL"/>
        </w:rPr>
      </w:pPr>
      <w:r>
        <w:rPr>
          <w:lang w:val="pl"/>
        </w:rPr>
        <w:t xml:space="preserve">Ta sama zasada ma zastosowanie nie tylko do wyżej wymienionych artykułów, ale także do większości pozostałych przepisów Konwencji oraz do dorozumianych ograniczeń, które nie zostały wskazane w omawianym przepisie. Na przykład prawo dostępu do sądu zapewnione przez art. 6 ust. 1 Konwencji nie ma charakteru absolutnego i może podlegać ograniczeniom. Ograniczenia takie są bowiem dozwolone, gdyż prawo dostępu do sądu ze swej natury musi być regulowane przez państwo. W związku z tym układające się państwa mają pewien margines oceny, choć ostateczna decyzja co do przestrzegania wymogów Konwencji pozostaje w gestii Trybunału. Trybunał musi mieć bowiem pewność, że stosowane ograniczenia nie limitują lub nie zmniejszają osobom dostępu do skorzystania z prawa w sposób, który powoduje osłabienie istoty tego prawa. Ponadto ograniczenie dostępu do sądu nie będzie zgodne z art. 6 ust. 1, jeśli cel takiego ograniczenia nie jest uprawniony oraz nie istnieje rozsądny stosunek proporcjonalności pomiędzy zastosowanymi środkami a celem, który ma być osiągnięty </w:t>
      </w:r>
      <w:hyperlink r:id="rId1713" w:history="1">
        <w:r>
          <w:rPr>
            <w:lang w:val="pl"/>
          </w:rPr>
          <w:t>(</w:t>
        </w:r>
        <w:r>
          <w:rPr>
            <w:i/>
            <w:iCs/>
            <w:color w:val="0072BC"/>
            <w:lang w:val="pl"/>
          </w:rPr>
          <w:t xml:space="preserve">Cudak p. Litwie </w:t>
        </w:r>
      </w:hyperlink>
      <w:r>
        <w:rPr>
          <w:lang w:val="pl"/>
        </w:rPr>
        <w:t>[WI], § 55;</w:t>
      </w:r>
      <w:hyperlink r:id="rId1714" w:history="1">
        <w:r>
          <w:rPr>
            <w:lang w:val="pl"/>
          </w:rPr>
          <w:t xml:space="preserve"> </w:t>
        </w:r>
        <w:r>
          <w:rPr>
            <w:i/>
            <w:iCs/>
            <w:color w:val="0072BC"/>
            <w:lang w:val="pl"/>
          </w:rPr>
          <w:t xml:space="preserve">Al-Dulimi i Montana Management Inc. p. Szwajcarii </w:t>
        </w:r>
      </w:hyperlink>
      <w:r>
        <w:rPr>
          <w:lang w:val="pl"/>
        </w:rPr>
        <w:t>[WI], § 129).</w:t>
      </w:r>
    </w:p>
    <w:p w:rsidR="00B71A20" w:rsidRPr="000625F6" w:rsidRDefault="000425B4" w:rsidP="00115011">
      <w:pPr>
        <w:pStyle w:val="Teksttreci0"/>
        <w:numPr>
          <w:ilvl w:val="0"/>
          <w:numId w:val="89"/>
        </w:numPr>
        <w:tabs>
          <w:tab w:val="left" w:pos="514"/>
        </w:tabs>
        <w:spacing w:after="220"/>
        <w:jc w:val="both"/>
        <w:rPr>
          <w:lang w:val="pl-PL"/>
        </w:rPr>
      </w:pPr>
      <w:bookmarkStart w:id="310" w:name="bookmark314"/>
      <w:r>
        <w:rPr>
          <w:lang w:val="pl"/>
        </w:rPr>
        <w:t xml:space="preserve">Jeżeli w wyniku wstępnego badania skargi Trybunał uzyska pewność, że warunki, o których mowa powyżej, zostały spełnione oraz że w świetle wszystkich istotnych okoliczności sprawy nie istnieje wyraźny brak proporcji między celami realizowanymi przez ingerencję państwa a zastosowanymi środkami, Trybunał uzna skargę za niedopuszczalną jako w sposób oczywisty nieuzasadnioną. Uzasadnienie decyzji o niedopuszczalności będzie w takim przypadku identyczne lub podobne do tego, które Trybunał przyjąłby w ramach wyroku co do przedmiotu skargi, stwierdzając, że nie doszło do naruszenia </w:t>
      </w:r>
      <w:hyperlink r:id="rId1715" w:history="1">
        <w:r>
          <w:rPr>
            <w:lang w:val="pl"/>
          </w:rPr>
          <w:t>(</w:t>
        </w:r>
        <w:r>
          <w:rPr>
            <w:i/>
            <w:iCs/>
            <w:color w:val="0072BC"/>
            <w:lang w:val="pl"/>
          </w:rPr>
          <w:t xml:space="preserve">Mentzen p. Łotwie </w:t>
        </w:r>
      </w:hyperlink>
      <w:r>
        <w:rPr>
          <w:lang w:val="pl"/>
        </w:rPr>
        <w:t>(dec.)).</w:t>
      </w:r>
      <w:bookmarkEnd w:id="310"/>
    </w:p>
    <w:p w:rsidR="00B71A20" w:rsidRPr="000625F6" w:rsidRDefault="00AB4484" w:rsidP="00AB4484">
      <w:pPr>
        <w:pStyle w:val="Nagwek41"/>
        <w:keepNext/>
        <w:keepLines/>
        <w:tabs>
          <w:tab w:val="left" w:pos="284"/>
        </w:tabs>
        <w:spacing w:after="120"/>
        <w:jc w:val="both"/>
        <w:rPr>
          <w:lang w:val="pl-PL"/>
        </w:rPr>
      </w:pPr>
      <w:bookmarkStart w:id="311" w:name="_Toc126335698"/>
      <w:bookmarkStart w:id="312" w:name="_Toc126660657"/>
      <w:r>
        <w:rPr>
          <w:lang w:val="pl"/>
        </w:rPr>
        <w:t xml:space="preserve">c.  </w:t>
      </w:r>
      <w:r w:rsidR="000425B4">
        <w:rPr>
          <w:lang w:val="pl"/>
        </w:rPr>
        <w:t>Inne względnie proste zagadnienia materialne</w:t>
      </w:r>
      <w:bookmarkEnd w:id="311"/>
      <w:bookmarkEnd w:id="312"/>
    </w:p>
    <w:p w:rsidR="00B71A20" w:rsidRPr="000625F6" w:rsidRDefault="000425B4" w:rsidP="00115011">
      <w:pPr>
        <w:pStyle w:val="Teksttreci0"/>
        <w:numPr>
          <w:ilvl w:val="0"/>
          <w:numId w:val="89"/>
        </w:numPr>
        <w:tabs>
          <w:tab w:val="left" w:pos="514"/>
        </w:tabs>
        <w:spacing w:after="120"/>
        <w:jc w:val="both"/>
        <w:rPr>
          <w:lang w:val="pl-PL"/>
        </w:rPr>
      </w:pPr>
      <w:r>
        <w:rPr>
          <w:lang w:val="pl"/>
        </w:rPr>
        <w:t>Oprócz sytuacji opisanych powyżej Trybunał uzna skargę za w sposób oczywisty nieuzasadnioną, jeżeli stwierdzi, że z przyczyn związanych z przedmiotem skargi nie wynika widoczne naruszenie przepisu Konwencji, co zarzucał skarżący. Istnieją w szczególności dwa rodzaje okoliczności, w których taka sytuacja ma miejsce:</w:t>
      </w:r>
    </w:p>
    <w:p w:rsidR="00B71A20" w:rsidRPr="000625F6" w:rsidRDefault="000425B4" w:rsidP="00115011">
      <w:pPr>
        <w:pStyle w:val="Teksttreci0"/>
        <w:numPr>
          <w:ilvl w:val="0"/>
          <w:numId w:val="90"/>
        </w:numPr>
        <w:tabs>
          <w:tab w:val="left" w:pos="854"/>
        </w:tabs>
        <w:spacing w:after="60"/>
        <w:ind w:left="880" w:hanging="300"/>
        <w:jc w:val="both"/>
        <w:rPr>
          <w:lang w:val="pl-PL"/>
        </w:rPr>
      </w:pPr>
      <w:r>
        <w:rPr>
          <w:lang w:val="pl"/>
        </w:rPr>
        <w:t xml:space="preserve">jeżeli istnieje ustalone i bogate orzecznictwo Trybunału w sprawach identycznych lub podobnych, na podstawie którego można stwierdzić, że nie doszło do naruszenia Konwencji w danej zawisłej przed nim sprawie </w:t>
      </w:r>
      <w:hyperlink r:id="rId1716" w:history="1">
        <w:r>
          <w:rPr>
            <w:lang w:val="pl"/>
          </w:rPr>
          <w:t>(</w:t>
        </w:r>
        <w:r>
          <w:rPr>
            <w:i/>
            <w:iCs/>
            <w:color w:val="0072BC"/>
            <w:lang w:val="pl"/>
          </w:rPr>
          <w:t xml:space="preserve">Galev i Inni p. Bułgarii </w:t>
        </w:r>
      </w:hyperlink>
      <w:r>
        <w:rPr>
          <w:lang w:val="pl"/>
        </w:rPr>
        <w:t>(dec.));</w:t>
      </w:r>
    </w:p>
    <w:p w:rsidR="00B71A20" w:rsidRPr="000625F6" w:rsidRDefault="000425B4" w:rsidP="00115011">
      <w:pPr>
        <w:pStyle w:val="Teksttreci0"/>
        <w:numPr>
          <w:ilvl w:val="0"/>
          <w:numId w:val="90"/>
        </w:numPr>
        <w:tabs>
          <w:tab w:val="left" w:pos="854"/>
        </w:tabs>
        <w:spacing w:after="120"/>
        <w:ind w:left="880" w:hanging="300"/>
        <w:jc w:val="both"/>
        <w:rPr>
          <w:lang w:val="pl-PL"/>
        </w:rPr>
      </w:pPr>
      <w:r>
        <w:rPr>
          <w:lang w:val="pl"/>
        </w:rPr>
        <w:t xml:space="preserve">jeśli nawet istnieją wcześniejsze orzeczenia bezpośrednio dotyczące danego zagadnienia, Trybunał może stwierdzić na podstawie istniejącego orzecznictwa, że widoczne naruszenie Konwencji nie miało miejsca </w:t>
      </w:r>
      <w:hyperlink r:id="rId1717" w:history="1">
        <w:r>
          <w:rPr>
            <w:lang w:val="pl"/>
          </w:rPr>
          <w:t>(</w:t>
        </w:r>
        <w:r>
          <w:rPr>
            <w:i/>
            <w:iCs/>
            <w:color w:val="0072BC"/>
            <w:lang w:val="pl"/>
          </w:rPr>
          <w:t xml:space="preserve">Hartung p. Francji </w:t>
        </w:r>
      </w:hyperlink>
      <w:r>
        <w:rPr>
          <w:lang w:val="pl"/>
        </w:rPr>
        <w:t>(dec.)).</w:t>
      </w:r>
    </w:p>
    <w:p w:rsidR="00B71A20" w:rsidRPr="000625F6" w:rsidRDefault="000425B4" w:rsidP="00115011">
      <w:pPr>
        <w:pStyle w:val="Teksttreci0"/>
        <w:numPr>
          <w:ilvl w:val="0"/>
          <w:numId w:val="89"/>
        </w:numPr>
        <w:tabs>
          <w:tab w:val="left" w:pos="532"/>
        </w:tabs>
        <w:spacing w:after="220"/>
        <w:jc w:val="both"/>
        <w:rPr>
          <w:lang w:val="pl-PL"/>
        </w:rPr>
      </w:pPr>
      <w:bookmarkStart w:id="313" w:name="bookmark317"/>
      <w:r>
        <w:rPr>
          <w:lang w:val="pl"/>
        </w:rPr>
        <w:t xml:space="preserve">W obu powyższych sytuacjach Trybunał może być zmuszony do obszernego i szczegółowego zbadania okoliczności sprawy i wszystkich innych istotnych elementów stanu faktycznego </w:t>
      </w:r>
      <w:hyperlink r:id="rId1718" w:history="1">
        <w:r>
          <w:rPr>
            <w:lang w:val="pl"/>
          </w:rPr>
          <w:t>(</w:t>
        </w:r>
        <w:r>
          <w:rPr>
            <w:i/>
            <w:iCs/>
            <w:color w:val="0072BC"/>
            <w:lang w:val="pl"/>
          </w:rPr>
          <w:t xml:space="preserve">Collins </w:t>
        </w:r>
        <w:r>
          <w:rPr>
            <w:i/>
            <w:iCs/>
            <w:color w:val="0072BC"/>
            <w:lang w:val="pl"/>
          </w:rPr>
          <w:lastRenderedPageBreak/>
          <w:t>i</w:t>
        </w:r>
        <w:r w:rsidR="00F343C9">
          <w:rPr>
            <w:i/>
            <w:iCs/>
            <w:color w:val="0072BC"/>
            <w:lang w:val="pl"/>
          </w:rPr>
          <w:t> </w:t>
        </w:r>
        <w:r>
          <w:rPr>
            <w:i/>
            <w:iCs/>
            <w:color w:val="0072BC"/>
            <w:lang w:val="pl"/>
          </w:rPr>
          <w:t>Akaziebie p. Szwecji</w:t>
        </w:r>
      </w:hyperlink>
      <w:r>
        <w:rPr>
          <w:color w:val="0072BC"/>
          <w:lang w:val="pl"/>
        </w:rPr>
        <w:t xml:space="preserve"> </w:t>
      </w:r>
      <w:r>
        <w:rPr>
          <w:lang w:val="pl"/>
        </w:rPr>
        <w:t>(dec.)).</w:t>
      </w:r>
      <w:bookmarkEnd w:id="313"/>
    </w:p>
    <w:p w:rsidR="00B71A20" w:rsidRDefault="0010257B" w:rsidP="0010257B">
      <w:pPr>
        <w:pStyle w:val="Nagwek31"/>
        <w:keepNext/>
        <w:keepLines/>
        <w:tabs>
          <w:tab w:val="left" w:pos="284"/>
        </w:tabs>
        <w:spacing w:after="140"/>
      </w:pPr>
      <w:bookmarkStart w:id="314" w:name="_Toc126335699"/>
      <w:bookmarkStart w:id="315" w:name="_Toc126660658"/>
      <w:r>
        <w:rPr>
          <w:lang w:val="pl"/>
        </w:rPr>
        <w:t xml:space="preserve">4.  </w:t>
      </w:r>
      <w:r w:rsidR="000425B4">
        <w:rPr>
          <w:lang w:val="pl"/>
        </w:rPr>
        <w:t>Skargi bezpodstawne: brak dowodów</w:t>
      </w:r>
      <w:bookmarkEnd w:id="314"/>
      <w:bookmarkEnd w:id="315"/>
    </w:p>
    <w:p w:rsidR="00B71A20" w:rsidRPr="000625F6" w:rsidRDefault="000425B4" w:rsidP="00115011">
      <w:pPr>
        <w:pStyle w:val="Teksttreci0"/>
        <w:numPr>
          <w:ilvl w:val="0"/>
          <w:numId w:val="89"/>
        </w:numPr>
        <w:tabs>
          <w:tab w:val="left" w:pos="537"/>
        </w:tabs>
        <w:spacing w:after="140"/>
        <w:jc w:val="both"/>
        <w:rPr>
          <w:lang w:val="pl-PL"/>
        </w:rPr>
      </w:pPr>
      <w:r>
        <w:rPr>
          <w:lang w:val="pl"/>
        </w:rPr>
        <w:t>Postępowania przed Trybunałem mają charakter kontradyktoryjny. Dlatego to strony – czyli skarżący i pozwany rząd – muszą uzasadnić swoje argumenty faktyczne (poprzez dostarczenie Trybunałowi niezbędnych dowodów rzeczowych), a także argumenty prawne (wyjaśniając przyczynę, dla której ich zdaniem przedmiotowy przepis Konwencji został albo nie został naruszony).</w:t>
      </w:r>
    </w:p>
    <w:p w:rsidR="00B71A20" w:rsidRPr="000625F6" w:rsidRDefault="000425B4" w:rsidP="00115011">
      <w:pPr>
        <w:pStyle w:val="Teksttreci0"/>
        <w:numPr>
          <w:ilvl w:val="0"/>
          <w:numId w:val="89"/>
        </w:numPr>
        <w:tabs>
          <w:tab w:val="left" w:pos="532"/>
        </w:tabs>
        <w:spacing w:after="140"/>
        <w:jc w:val="both"/>
        <w:rPr>
          <w:lang w:val="pl-PL"/>
        </w:rPr>
      </w:pPr>
      <w:r>
        <w:rPr>
          <w:lang w:val="pl"/>
        </w:rPr>
        <w:t>Odpowiednie części Reguły 47 Regulaminu Trybunału, która reguluje treść skarg indywidualnych, stanowią, że:</w:t>
      </w:r>
    </w:p>
    <w:p w:rsidR="00B71A20" w:rsidRPr="000625F6" w:rsidRDefault="000425B4">
      <w:pPr>
        <w:pStyle w:val="Teksttreci0"/>
        <w:spacing w:after="140"/>
        <w:ind w:left="580"/>
        <w:jc w:val="both"/>
        <w:rPr>
          <w:sz w:val="20"/>
          <w:szCs w:val="20"/>
          <w:lang w:val="pl-PL"/>
        </w:rPr>
      </w:pPr>
      <w:r>
        <w:rPr>
          <w:sz w:val="20"/>
          <w:szCs w:val="20"/>
          <w:lang w:val="pl"/>
        </w:rPr>
        <w:t>„1. Skargę na podstawie art. 34 Konwencji wnosi się na formularzu skargowym udostępnionym przez Kancelarię, o ile Trybunał nie postanowi inaczej. Skarga z</w:t>
      </w:r>
      <w:r w:rsidR="00F343C9">
        <w:rPr>
          <w:sz w:val="20"/>
          <w:szCs w:val="20"/>
          <w:lang w:val="pl"/>
        </w:rPr>
        <w:t>awiera wszelkie dane wymagane w </w:t>
      </w:r>
      <w:r>
        <w:rPr>
          <w:sz w:val="20"/>
          <w:szCs w:val="20"/>
          <w:lang w:val="pl"/>
        </w:rPr>
        <w:t>poszczególnych częściach formularza skargi i wskazuje:</w:t>
      </w:r>
    </w:p>
    <w:p w:rsidR="00B71A20" w:rsidRPr="00B92E3D" w:rsidRDefault="000425B4">
      <w:pPr>
        <w:pStyle w:val="Teksttreci0"/>
        <w:spacing w:after="140"/>
        <w:ind w:firstLine="580"/>
        <w:rPr>
          <w:sz w:val="20"/>
          <w:szCs w:val="20"/>
          <w:lang w:val="pl-PL"/>
        </w:rPr>
      </w:pPr>
      <w:r>
        <w:rPr>
          <w:sz w:val="20"/>
          <w:szCs w:val="20"/>
          <w:lang w:val="pl"/>
        </w:rPr>
        <w:t>(…)</w:t>
      </w:r>
    </w:p>
    <w:p w:rsidR="00B71A20" w:rsidRPr="000625F6" w:rsidRDefault="00B92E3D" w:rsidP="00B92E3D">
      <w:pPr>
        <w:pStyle w:val="Teksttreci0"/>
        <w:tabs>
          <w:tab w:val="left" w:pos="944"/>
        </w:tabs>
        <w:spacing w:after="140"/>
        <w:ind w:left="851" w:hanging="284"/>
        <w:rPr>
          <w:sz w:val="20"/>
          <w:szCs w:val="20"/>
          <w:lang w:val="pl-PL"/>
        </w:rPr>
      </w:pPr>
      <w:r>
        <w:rPr>
          <w:sz w:val="20"/>
          <w:szCs w:val="20"/>
          <w:lang w:val="pl"/>
        </w:rPr>
        <w:t xml:space="preserve">d) </w:t>
      </w:r>
      <w:r>
        <w:rPr>
          <w:sz w:val="20"/>
          <w:szCs w:val="20"/>
          <w:lang w:val="pl"/>
        </w:rPr>
        <w:tab/>
      </w:r>
      <w:r w:rsidR="000425B4">
        <w:rPr>
          <w:sz w:val="20"/>
          <w:szCs w:val="20"/>
          <w:lang w:val="pl"/>
        </w:rPr>
        <w:t>zwięzłe i czytelne przedstawienie stanu faktycznego;</w:t>
      </w:r>
    </w:p>
    <w:p w:rsidR="00B71A20" w:rsidRPr="000625F6" w:rsidRDefault="00B92E3D" w:rsidP="00B92E3D">
      <w:pPr>
        <w:pStyle w:val="Teksttreci0"/>
        <w:tabs>
          <w:tab w:val="left" w:pos="944"/>
        </w:tabs>
        <w:spacing w:after="140"/>
        <w:ind w:left="851" w:hanging="284"/>
        <w:jc w:val="both"/>
        <w:rPr>
          <w:sz w:val="20"/>
          <w:szCs w:val="20"/>
          <w:lang w:val="pl-PL"/>
        </w:rPr>
      </w:pPr>
      <w:r>
        <w:rPr>
          <w:sz w:val="20"/>
          <w:szCs w:val="20"/>
          <w:lang w:val="pl-PL"/>
        </w:rPr>
        <w:t xml:space="preserve">e) </w:t>
      </w:r>
      <w:r>
        <w:rPr>
          <w:sz w:val="20"/>
          <w:szCs w:val="20"/>
          <w:lang w:val="pl-PL"/>
        </w:rPr>
        <w:tab/>
      </w:r>
      <w:r w:rsidR="000425B4">
        <w:rPr>
          <w:sz w:val="20"/>
          <w:szCs w:val="20"/>
          <w:lang w:val="pl"/>
        </w:rPr>
        <w:t>zwięzłe i czytelne przedstawienie zarzuconego naruszenia (naruszeń) Konwencji oraz istotnych argumentów; oraz</w:t>
      </w:r>
    </w:p>
    <w:p w:rsidR="00B71A20" w:rsidRPr="000625F6" w:rsidRDefault="000425B4">
      <w:pPr>
        <w:pStyle w:val="Teksttreci0"/>
        <w:spacing w:after="140"/>
        <w:ind w:firstLine="580"/>
        <w:rPr>
          <w:sz w:val="20"/>
          <w:szCs w:val="20"/>
          <w:lang w:val="pl-PL"/>
        </w:rPr>
      </w:pPr>
      <w:r>
        <w:rPr>
          <w:sz w:val="20"/>
          <w:szCs w:val="20"/>
          <w:lang w:val="pl"/>
        </w:rPr>
        <w:t>(…)</w:t>
      </w:r>
    </w:p>
    <w:p w:rsidR="00B71A20" w:rsidRPr="000625F6" w:rsidRDefault="000425B4">
      <w:pPr>
        <w:pStyle w:val="Teksttreci0"/>
        <w:spacing w:after="140"/>
        <w:ind w:left="580"/>
        <w:jc w:val="both"/>
        <w:rPr>
          <w:sz w:val="20"/>
          <w:szCs w:val="20"/>
          <w:lang w:val="pl-PL"/>
        </w:rPr>
      </w:pPr>
      <w:r>
        <w:rPr>
          <w:sz w:val="20"/>
          <w:szCs w:val="20"/>
          <w:lang w:val="pl"/>
        </w:rPr>
        <w:t>2. a) Wszelkie informacje, o których mowa w ustępie 1 lit. d–f powyżej, podane w poszczególnych częściach formularza skargi, powinny być wystarczające dla ustalenia przez Trybunał charakteru i zakresu skargi bez konieczności odwoływania się do jakiegokolwiek innego dokumentu.</w:t>
      </w:r>
    </w:p>
    <w:p w:rsidR="00B71A20" w:rsidRPr="0010257B" w:rsidRDefault="000425B4">
      <w:pPr>
        <w:pStyle w:val="Teksttreci0"/>
        <w:spacing w:after="140"/>
        <w:ind w:firstLine="580"/>
        <w:rPr>
          <w:sz w:val="20"/>
          <w:szCs w:val="20"/>
          <w:lang w:val="pl-PL"/>
        </w:rPr>
      </w:pPr>
      <w:r>
        <w:rPr>
          <w:sz w:val="20"/>
          <w:szCs w:val="20"/>
          <w:lang w:val="pl"/>
        </w:rPr>
        <w:t>(…)</w:t>
      </w:r>
    </w:p>
    <w:p w:rsidR="00B71A20" w:rsidRPr="000625F6" w:rsidRDefault="000425B4" w:rsidP="0010257B">
      <w:pPr>
        <w:pStyle w:val="Teksttreci0"/>
        <w:numPr>
          <w:ilvl w:val="1"/>
          <w:numId w:val="110"/>
        </w:numPr>
        <w:tabs>
          <w:tab w:val="left" w:pos="978"/>
        </w:tabs>
        <w:spacing w:after="140"/>
        <w:ind w:left="993" w:hanging="426"/>
        <w:jc w:val="both"/>
        <w:rPr>
          <w:sz w:val="20"/>
          <w:szCs w:val="20"/>
          <w:lang w:val="pl-PL"/>
        </w:rPr>
      </w:pPr>
      <w:r>
        <w:rPr>
          <w:sz w:val="20"/>
          <w:szCs w:val="20"/>
          <w:lang w:val="pl"/>
        </w:rPr>
        <w:t>Formularz skargi podpisuje skarżący lub przedstawiciel skarżącego; do formularza skargi należy załączyć:</w:t>
      </w:r>
    </w:p>
    <w:p w:rsidR="00B71A20" w:rsidRPr="000625F6" w:rsidRDefault="00DF4693" w:rsidP="000A5A94">
      <w:pPr>
        <w:pStyle w:val="Teksttreci0"/>
        <w:tabs>
          <w:tab w:val="left" w:pos="851"/>
        </w:tabs>
        <w:spacing w:after="140"/>
        <w:ind w:left="851" w:hanging="284"/>
        <w:rPr>
          <w:sz w:val="20"/>
          <w:szCs w:val="20"/>
          <w:lang w:val="pl-PL"/>
        </w:rPr>
      </w:pPr>
      <w:r>
        <w:rPr>
          <w:sz w:val="20"/>
          <w:szCs w:val="20"/>
          <w:lang w:val="pl"/>
        </w:rPr>
        <w:t>a)</w:t>
      </w:r>
      <w:r w:rsidR="000A5A94">
        <w:rPr>
          <w:sz w:val="20"/>
          <w:szCs w:val="20"/>
          <w:lang w:val="pl"/>
        </w:rPr>
        <w:tab/>
      </w:r>
      <w:r w:rsidR="000425B4">
        <w:rPr>
          <w:sz w:val="20"/>
          <w:szCs w:val="20"/>
          <w:lang w:val="pl"/>
        </w:rPr>
        <w:t>kopie dokumentów dotyczących zaskarżonych orzeczeń lub środków, sądowych lub o innym charakterze;</w:t>
      </w:r>
    </w:p>
    <w:p w:rsidR="00B71A20" w:rsidRPr="000625F6" w:rsidRDefault="00DF4693" w:rsidP="000A5A94">
      <w:pPr>
        <w:pStyle w:val="Teksttreci0"/>
        <w:tabs>
          <w:tab w:val="left" w:pos="851"/>
        </w:tabs>
        <w:spacing w:after="40" w:line="295" w:lineRule="auto"/>
        <w:ind w:left="851" w:hanging="284"/>
        <w:jc w:val="both"/>
        <w:rPr>
          <w:sz w:val="20"/>
          <w:szCs w:val="20"/>
          <w:lang w:val="pl-PL"/>
        </w:rPr>
      </w:pPr>
      <w:r>
        <w:rPr>
          <w:sz w:val="20"/>
          <w:szCs w:val="20"/>
          <w:lang w:val="pl-PL"/>
        </w:rPr>
        <w:t xml:space="preserve">b) </w:t>
      </w:r>
      <w:r w:rsidR="000A5A94">
        <w:rPr>
          <w:sz w:val="20"/>
          <w:szCs w:val="20"/>
          <w:lang w:val="pl-PL"/>
        </w:rPr>
        <w:tab/>
      </w:r>
      <w:r w:rsidR="000425B4">
        <w:rPr>
          <w:sz w:val="20"/>
          <w:szCs w:val="20"/>
          <w:lang w:val="pl"/>
        </w:rPr>
        <w:t>kopie dokumentów i orzeczeń wykazujących, że skarżący spełnił warunek wyczerpania krajowych środków odwoławczych oraz dochował terminu przewidzianego w art. 35 ust. 1 Konwencji; (…).</w:t>
      </w:r>
    </w:p>
    <w:p w:rsidR="00B71A20" w:rsidRPr="000625F6" w:rsidRDefault="0010257B" w:rsidP="0010257B">
      <w:pPr>
        <w:pStyle w:val="Teksttreci0"/>
        <w:tabs>
          <w:tab w:val="left" w:pos="978"/>
        </w:tabs>
        <w:spacing w:after="140"/>
        <w:ind w:left="993" w:hanging="426"/>
        <w:jc w:val="both"/>
        <w:rPr>
          <w:sz w:val="20"/>
          <w:szCs w:val="20"/>
          <w:lang w:val="pl-PL"/>
        </w:rPr>
      </w:pPr>
      <w:r>
        <w:rPr>
          <w:sz w:val="20"/>
          <w:szCs w:val="20"/>
          <w:lang w:val="pl"/>
        </w:rPr>
        <w:t xml:space="preserve">5.1. </w:t>
      </w:r>
      <w:r>
        <w:rPr>
          <w:sz w:val="20"/>
          <w:szCs w:val="20"/>
          <w:lang w:val="pl"/>
        </w:rPr>
        <w:tab/>
      </w:r>
      <w:r w:rsidR="000425B4">
        <w:rPr>
          <w:sz w:val="20"/>
          <w:szCs w:val="20"/>
          <w:lang w:val="pl"/>
        </w:rPr>
        <w:t>Niezastosowanie się do wymogów wskazanych w ustępach 1-3 niniejszej Reguły powoduje, że skarga nie będzie rozpatrywana przez Trybunał, chyba że:</w:t>
      </w:r>
    </w:p>
    <w:p w:rsidR="00B71A20" w:rsidRPr="000625F6" w:rsidRDefault="000425B4" w:rsidP="009C4FB3">
      <w:pPr>
        <w:pStyle w:val="Teksttreci0"/>
        <w:spacing w:after="140"/>
        <w:ind w:left="851" w:hanging="284"/>
        <w:rPr>
          <w:sz w:val="20"/>
          <w:szCs w:val="20"/>
          <w:lang w:val="pl-PL"/>
        </w:rPr>
      </w:pPr>
      <w:r>
        <w:rPr>
          <w:sz w:val="20"/>
          <w:szCs w:val="20"/>
          <w:lang w:val="pl"/>
        </w:rPr>
        <w:t xml:space="preserve">a) </w:t>
      </w:r>
      <w:r w:rsidR="000A5A94">
        <w:rPr>
          <w:sz w:val="20"/>
          <w:szCs w:val="20"/>
          <w:lang w:val="pl"/>
        </w:rPr>
        <w:tab/>
      </w:r>
      <w:r>
        <w:rPr>
          <w:sz w:val="20"/>
          <w:szCs w:val="20"/>
          <w:lang w:val="pl"/>
        </w:rPr>
        <w:t>skarżący przedstawi wystarczające usprawiedliwienie braku przestrzegania tych wymogów;</w:t>
      </w:r>
    </w:p>
    <w:p w:rsidR="00B71A20" w:rsidRPr="000A5A94" w:rsidRDefault="000425B4">
      <w:pPr>
        <w:pStyle w:val="Teksttreci0"/>
        <w:spacing w:after="140"/>
        <w:ind w:firstLine="580"/>
        <w:rPr>
          <w:sz w:val="20"/>
          <w:szCs w:val="20"/>
          <w:lang w:val="pl-PL"/>
        </w:rPr>
      </w:pPr>
      <w:r>
        <w:rPr>
          <w:sz w:val="20"/>
          <w:szCs w:val="20"/>
          <w:lang w:val="pl"/>
        </w:rPr>
        <w:t>(…)</w:t>
      </w:r>
    </w:p>
    <w:p w:rsidR="00B71A20" w:rsidRPr="000625F6" w:rsidRDefault="003A6388" w:rsidP="000A5A94">
      <w:pPr>
        <w:pStyle w:val="Teksttreci0"/>
        <w:tabs>
          <w:tab w:val="left" w:pos="925"/>
        </w:tabs>
        <w:spacing w:after="140"/>
        <w:ind w:left="851" w:hanging="284"/>
        <w:rPr>
          <w:sz w:val="20"/>
          <w:szCs w:val="20"/>
          <w:lang w:val="pl-PL"/>
        </w:rPr>
      </w:pPr>
      <w:r>
        <w:rPr>
          <w:sz w:val="20"/>
          <w:szCs w:val="20"/>
          <w:lang w:val="pl"/>
        </w:rPr>
        <w:t xml:space="preserve">c) </w:t>
      </w:r>
      <w:r w:rsidR="000A5A94">
        <w:rPr>
          <w:sz w:val="20"/>
          <w:szCs w:val="20"/>
          <w:lang w:val="pl"/>
        </w:rPr>
        <w:tab/>
      </w:r>
      <w:r w:rsidR="000425B4">
        <w:rPr>
          <w:sz w:val="20"/>
          <w:szCs w:val="20"/>
          <w:lang w:val="pl"/>
        </w:rPr>
        <w:t>Trybunał inaczej postanowi z urzędu lub na wniosek skarżącego.</w:t>
      </w:r>
    </w:p>
    <w:p w:rsidR="00B71A20" w:rsidRDefault="000425B4">
      <w:pPr>
        <w:pStyle w:val="Teksttreci0"/>
        <w:spacing w:after="140"/>
        <w:ind w:firstLine="580"/>
        <w:rPr>
          <w:sz w:val="20"/>
          <w:szCs w:val="20"/>
        </w:rPr>
      </w:pPr>
      <w:r>
        <w:rPr>
          <w:sz w:val="20"/>
          <w:szCs w:val="20"/>
          <w:lang w:val="pl"/>
        </w:rPr>
        <w:t>(…)</w:t>
      </w:r>
      <w:r w:rsidR="009C4FB3">
        <w:rPr>
          <w:sz w:val="20"/>
          <w:szCs w:val="20"/>
          <w:lang w:val="pl"/>
        </w:rPr>
        <w:t>”.</w:t>
      </w:r>
    </w:p>
    <w:p w:rsidR="00B71A20" w:rsidRPr="000625F6" w:rsidRDefault="000425B4" w:rsidP="009C4FB3">
      <w:pPr>
        <w:pStyle w:val="Teksttreci0"/>
        <w:numPr>
          <w:ilvl w:val="0"/>
          <w:numId w:val="93"/>
        </w:numPr>
        <w:tabs>
          <w:tab w:val="left" w:pos="532"/>
        </w:tabs>
        <w:spacing w:after="140"/>
        <w:rPr>
          <w:lang w:val="pl-PL"/>
        </w:rPr>
      </w:pPr>
      <w:r>
        <w:rPr>
          <w:lang w:val="pl"/>
        </w:rPr>
        <w:t>Ponadto zgodnie z Regułą 44C § 1 Regulaminu Trybunału:</w:t>
      </w:r>
    </w:p>
    <w:p w:rsidR="00B71A20" w:rsidRPr="000625F6" w:rsidRDefault="000425B4">
      <w:pPr>
        <w:pStyle w:val="Teksttreci0"/>
        <w:spacing w:after="140"/>
        <w:ind w:left="580"/>
        <w:jc w:val="both"/>
        <w:rPr>
          <w:sz w:val="20"/>
          <w:szCs w:val="20"/>
          <w:lang w:val="pl-PL"/>
        </w:rPr>
      </w:pPr>
      <w:r>
        <w:rPr>
          <w:sz w:val="20"/>
          <w:szCs w:val="20"/>
          <w:lang w:val="pl"/>
        </w:rPr>
        <w:t>„W przypadku niepowołania przez stronę dowodów lub niedostarczenia informacji żądanych przez Trybunał albo w razie nieujawnienia przez nią istotnych informacji z własnej inicjatywy lub braku efektywnego uczestnictwa w postępowaniu przejawiającego się w inny sposób Trybunał może wyciągnąć z tego takie wnioski, jakie uzna za stosowne.”</w:t>
      </w:r>
    </w:p>
    <w:p w:rsidR="00B71A20" w:rsidRPr="000625F6" w:rsidRDefault="000425B4" w:rsidP="00115011">
      <w:pPr>
        <w:pStyle w:val="Teksttreci0"/>
        <w:numPr>
          <w:ilvl w:val="0"/>
          <w:numId w:val="93"/>
        </w:numPr>
        <w:tabs>
          <w:tab w:val="left" w:pos="546"/>
        </w:tabs>
        <w:spacing w:after="140"/>
        <w:jc w:val="both"/>
        <w:rPr>
          <w:lang w:val="pl-PL"/>
        </w:rPr>
      </w:pPr>
      <w:r>
        <w:rPr>
          <w:lang w:val="pl"/>
        </w:rPr>
        <w:t>Jeżeli powyższe warunki nie zostaną spełnione, Trybunał może uznać skargę za niedopuszczalną, ponieważ jest w sposób oczywisty nieuzasadniona. Istnieją w szczególności dwa rodzaje okoliczności, w których taka sytuacja może wystąpić:</w:t>
      </w:r>
    </w:p>
    <w:p w:rsidR="00B71A20" w:rsidRPr="000625F6" w:rsidRDefault="000425B4" w:rsidP="00115011">
      <w:pPr>
        <w:pStyle w:val="Teksttreci0"/>
        <w:numPr>
          <w:ilvl w:val="0"/>
          <w:numId w:val="94"/>
        </w:numPr>
        <w:tabs>
          <w:tab w:val="left" w:pos="854"/>
        </w:tabs>
        <w:spacing w:after="60"/>
        <w:ind w:left="880" w:hanging="300"/>
        <w:jc w:val="both"/>
        <w:rPr>
          <w:lang w:val="pl-PL"/>
        </w:rPr>
      </w:pPr>
      <w:r>
        <w:rPr>
          <w:lang w:val="pl"/>
        </w:rPr>
        <w:t>jeśli skarżący po prostu cytuje jedno lub więcej postanowie</w:t>
      </w:r>
      <w:r w:rsidR="00F343C9">
        <w:rPr>
          <w:lang w:val="pl"/>
        </w:rPr>
        <w:t>ń Konwencji, nie wyjaśniając, w </w:t>
      </w:r>
      <w:r>
        <w:rPr>
          <w:lang w:val="pl"/>
        </w:rPr>
        <w:t xml:space="preserve">jaki sposób zostały one naruszone, chyba że w sposób oczywisty wynika to z okoliczności </w:t>
      </w:r>
      <w:r>
        <w:rPr>
          <w:lang w:val="pl"/>
        </w:rPr>
        <w:lastRenderedPageBreak/>
        <w:t xml:space="preserve">sprawy </w:t>
      </w:r>
      <w:hyperlink r:id="rId1719" w:history="1">
        <w:r>
          <w:rPr>
            <w:lang w:val="pl"/>
          </w:rPr>
          <w:t>(</w:t>
        </w:r>
        <w:r>
          <w:rPr>
            <w:i/>
            <w:iCs/>
            <w:color w:val="0072BC"/>
            <w:lang w:val="pl"/>
          </w:rPr>
          <w:t xml:space="preserve">Trofimchuk p. Ukrainie </w:t>
        </w:r>
      </w:hyperlink>
      <w:r>
        <w:rPr>
          <w:lang w:val="pl"/>
        </w:rPr>
        <w:t>(dec.);</w:t>
      </w:r>
      <w:hyperlink r:id="rId1720" w:history="1">
        <w:r>
          <w:rPr>
            <w:lang w:val="pl"/>
          </w:rPr>
          <w:t xml:space="preserve"> </w:t>
        </w:r>
        <w:r>
          <w:rPr>
            <w:i/>
            <w:iCs/>
            <w:color w:val="0072BC"/>
            <w:lang w:val="pl"/>
          </w:rPr>
          <w:t xml:space="preserve">Baillard p. Francji </w:t>
        </w:r>
      </w:hyperlink>
      <w:r>
        <w:rPr>
          <w:lang w:val="pl"/>
        </w:rPr>
        <w:t>(dec.));</w:t>
      </w:r>
    </w:p>
    <w:p w:rsidR="00B71A20" w:rsidRPr="000625F6" w:rsidRDefault="000425B4" w:rsidP="00115011">
      <w:pPr>
        <w:pStyle w:val="Teksttreci0"/>
        <w:numPr>
          <w:ilvl w:val="0"/>
          <w:numId w:val="94"/>
        </w:numPr>
        <w:tabs>
          <w:tab w:val="left" w:pos="854"/>
        </w:tabs>
        <w:spacing w:after="220"/>
        <w:ind w:left="880" w:hanging="300"/>
        <w:jc w:val="both"/>
        <w:rPr>
          <w:lang w:val="pl-PL"/>
        </w:rPr>
      </w:pPr>
      <w:r>
        <w:rPr>
          <w:lang w:val="pl"/>
        </w:rPr>
        <w:t>jeśli skarżący pomija lub odmawia okazania dowodów na poparcie swoich twierdzeń (w</w:t>
      </w:r>
      <w:r w:rsidR="002E4DC2">
        <w:rPr>
          <w:lang w:val="pl"/>
        </w:rPr>
        <w:t> </w:t>
      </w:r>
      <w:r>
        <w:rPr>
          <w:lang w:val="pl"/>
        </w:rPr>
        <w:t>szczególności odmawia przekazania orzeczeń sądów lub innych organów krajowych), chyba że istnieją wyjątkowe okoliczności od niego niezależne, które mu to uniemożliwiają (np. jeśli władze więzienne odmawiają przekazania do Trybunału dokumentów z akt sprawy więźnia) lub jeżeli Trybunał sam postanowi inaczej.</w:t>
      </w:r>
    </w:p>
    <w:p w:rsidR="00B71A20" w:rsidRPr="000625F6" w:rsidRDefault="000425B4" w:rsidP="00926851">
      <w:pPr>
        <w:pStyle w:val="Nagwek31"/>
        <w:keepNext/>
        <w:keepLines/>
        <w:tabs>
          <w:tab w:val="left" w:pos="284"/>
        </w:tabs>
        <w:spacing w:after="100"/>
        <w:rPr>
          <w:lang w:val="pl-PL"/>
        </w:rPr>
      </w:pPr>
      <w:bookmarkStart w:id="316" w:name="bookmark320"/>
      <w:bookmarkStart w:id="317" w:name="_Toc126335700"/>
      <w:bookmarkStart w:id="318" w:name="_Toc126660659"/>
      <w:r>
        <w:rPr>
          <w:lang w:val="pl"/>
        </w:rPr>
        <w:t>5.</w:t>
      </w:r>
      <w:r w:rsidR="00926851">
        <w:rPr>
          <w:lang w:val="pl"/>
        </w:rPr>
        <w:tab/>
      </w:r>
      <w:r>
        <w:rPr>
          <w:lang w:val="pl"/>
        </w:rPr>
        <w:t>Zarzuty niezrozumiałe lub mało prawdopodobne</w:t>
      </w:r>
      <w:bookmarkEnd w:id="316"/>
      <w:bookmarkEnd w:id="317"/>
      <w:bookmarkEnd w:id="318"/>
    </w:p>
    <w:p w:rsidR="00B71A20" w:rsidRPr="000625F6" w:rsidRDefault="000425B4">
      <w:pPr>
        <w:pStyle w:val="Teksttreci0"/>
        <w:spacing w:after="220"/>
        <w:jc w:val="both"/>
        <w:rPr>
          <w:lang w:val="pl-PL"/>
        </w:rPr>
      </w:pPr>
      <w:bookmarkStart w:id="319" w:name="bookmark323"/>
      <w:r>
        <w:rPr>
          <w:lang w:val="pl"/>
        </w:rPr>
        <w:t>3</w:t>
      </w:r>
      <w:r w:rsidR="009C4FB3">
        <w:rPr>
          <w:lang w:val="pl"/>
        </w:rPr>
        <w:t>15</w:t>
      </w:r>
      <w:r>
        <w:rPr>
          <w:lang w:val="pl"/>
        </w:rPr>
        <w:t>.</w:t>
      </w:r>
      <w:r w:rsidR="009C4FB3">
        <w:rPr>
          <w:lang w:val="pl"/>
        </w:rPr>
        <w:t xml:space="preserve"> </w:t>
      </w:r>
      <w:r>
        <w:rPr>
          <w:lang w:val="pl"/>
        </w:rPr>
        <w:t>Trybunał odrzuca jako w sposób oczywisty nieuzasadnione takie zarzuty, które są na tyle niezrozumiałe, że obiektywnie nie jest możliwe określenie sensu faktów przytaczanych przez skarżącego oraz krzywd, jakie skarżący chce przedstawić Trybunałowi. To samo odnosi się do mało prawdopodobnych zarzutów, tj. dotyczących faktów, które są obiektywnie niemożliwe, wyraźnie zostały zmyślone lub w oczywisty sposób są sprzeczne ze zdrowym rozsądkiem. W takich przypadkach fakt braku przesłanek do stwierdzenia naruszenia Konwencji powinien być oczywisty dla przeciętnego obserwatora, nawet takiego, który ne ma wykształcenia prawniczego.</w:t>
      </w:r>
      <w:bookmarkEnd w:id="319"/>
    </w:p>
    <w:p w:rsidR="00B71A20" w:rsidRPr="000625F6" w:rsidRDefault="000425B4">
      <w:pPr>
        <w:pStyle w:val="Nagwek21"/>
        <w:keepNext/>
        <w:keepLines/>
        <w:spacing w:after="202"/>
        <w:jc w:val="both"/>
        <w:rPr>
          <w:lang w:val="pl-PL"/>
        </w:rPr>
      </w:pPr>
      <w:bookmarkStart w:id="320" w:name="_Toc126335701"/>
      <w:bookmarkStart w:id="321" w:name="_Toc126660660"/>
      <w:r>
        <w:rPr>
          <w:lang w:val="pl"/>
        </w:rPr>
        <w:t xml:space="preserve">B. </w:t>
      </w:r>
      <w:r w:rsidR="00D00BFF">
        <w:rPr>
          <w:lang w:val="pl"/>
        </w:rPr>
        <w:t xml:space="preserve"> </w:t>
      </w:r>
      <w:r>
        <w:rPr>
          <w:lang w:val="pl"/>
        </w:rPr>
        <w:t>Brak znaczącego uszczerbku</w:t>
      </w:r>
      <w:bookmarkEnd w:id="320"/>
      <w:bookmarkEnd w:id="321"/>
    </w:p>
    <w:tbl>
      <w:tblPr>
        <w:tblStyle w:val="Tabela-Siatka"/>
        <w:tblW w:w="0" w:type="auto"/>
        <w:shd w:val="clear" w:color="auto" w:fill="FAFAFA"/>
        <w:tblLook w:val="04A0" w:firstRow="1" w:lastRow="0" w:firstColumn="1" w:lastColumn="0" w:noHBand="0" w:noVBand="1"/>
      </w:tblPr>
      <w:tblGrid>
        <w:gridCol w:w="9090"/>
      </w:tblGrid>
      <w:tr w:rsidR="00D00BFF" w:rsidRPr="00A653C0" w:rsidTr="0024595F">
        <w:trPr>
          <w:trHeight w:val="1697"/>
        </w:trPr>
        <w:tc>
          <w:tcPr>
            <w:tcW w:w="9090" w:type="dxa"/>
            <w:tcBorders>
              <w:bottom w:val="single" w:sz="4" w:space="0" w:color="auto"/>
            </w:tcBorders>
            <w:shd w:val="clear" w:color="auto" w:fill="FAFAFA"/>
          </w:tcPr>
          <w:p w:rsidR="00D00BFF" w:rsidRPr="00D00BFF" w:rsidRDefault="00D00BFF" w:rsidP="00D00BFF">
            <w:pPr>
              <w:pStyle w:val="Teksttreci0"/>
              <w:spacing w:before="120"/>
              <w:jc w:val="both"/>
              <w:rPr>
                <w:b/>
                <w:bCs/>
                <w:color w:val="00548C"/>
                <w:lang w:val="pl"/>
              </w:rPr>
            </w:pPr>
            <w:r w:rsidRPr="00D00BFF">
              <w:rPr>
                <w:b/>
                <w:bCs/>
                <w:color w:val="00548C"/>
                <w:lang w:val="pl"/>
              </w:rPr>
              <w:t>Artykuł 35 ust. 3 lit. b Konwencji – Wymogi dopuszczalności</w:t>
            </w:r>
          </w:p>
          <w:p w:rsidR="00D00BFF" w:rsidRPr="00D00BFF" w:rsidRDefault="00D00BFF" w:rsidP="00D00BFF">
            <w:pPr>
              <w:pStyle w:val="Teksttreci0"/>
              <w:ind w:left="596"/>
              <w:jc w:val="both"/>
              <w:rPr>
                <w:b/>
                <w:bCs/>
                <w:color w:val="00548C"/>
                <w:lang w:val="pl"/>
              </w:rPr>
            </w:pPr>
            <w:r w:rsidRPr="00D00BFF">
              <w:rPr>
                <w:color w:val="262626"/>
                <w:sz w:val="20"/>
                <w:szCs w:val="20"/>
                <w:lang w:val="pl"/>
              </w:rPr>
              <w:t>„3. Trybunał uznaje za niedopuszczalną każdą skargę indywidualną wniesioną w trybie artykułu 34, jeśli uważa, że: (…)</w:t>
            </w:r>
          </w:p>
          <w:p w:rsidR="00D00BFF" w:rsidRPr="00D00BFF" w:rsidRDefault="00D00BFF" w:rsidP="00D00BFF">
            <w:pPr>
              <w:pStyle w:val="Teksttreci0"/>
              <w:spacing w:after="220"/>
              <w:ind w:left="596"/>
              <w:jc w:val="both"/>
              <w:rPr>
                <w:lang w:val="pl-PL"/>
              </w:rPr>
            </w:pPr>
            <w:r w:rsidRPr="00D00BFF">
              <w:rPr>
                <w:color w:val="262626"/>
                <w:sz w:val="20"/>
                <w:szCs w:val="20"/>
                <w:lang w:val="pl"/>
              </w:rPr>
              <w:t>b) skarżący nie doznał znaczącego uszczerbku, chyba że poszanowanie praw człowieka w rozumieniu niniejszej konwencji i jej protokołów wymaga rozpatrzenia przedmiotu skargi.”</w:t>
            </w:r>
          </w:p>
        </w:tc>
      </w:tr>
      <w:tr w:rsidR="00D00BFF" w:rsidRPr="00A653C0" w:rsidTr="0024595F">
        <w:trPr>
          <w:trHeight w:val="1305"/>
        </w:trPr>
        <w:tc>
          <w:tcPr>
            <w:tcW w:w="9090" w:type="dxa"/>
            <w:tcBorders>
              <w:bottom w:val="single" w:sz="4" w:space="0" w:color="auto"/>
            </w:tcBorders>
            <w:shd w:val="clear" w:color="auto" w:fill="FAFAFA"/>
          </w:tcPr>
          <w:p w:rsidR="00D00BFF" w:rsidRPr="00D00BFF" w:rsidRDefault="00D00BFF" w:rsidP="00D00BFF">
            <w:pPr>
              <w:pStyle w:val="Teksttreci0"/>
              <w:spacing w:before="120"/>
              <w:rPr>
                <w:b/>
                <w:bCs/>
                <w:color w:val="00548C"/>
                <w:lang w:val="pl"/>
              </w:rPr>
            </w:pPr>
            <w:r w:rsidRPr="00D00BFF">
              <w:rPr>
                <w:b/>
                <w:bCs/>
                <w:color w:val="00548C"/>
                <w:lang w:val="pl"/>
              </w:rPr>
              <w:t>Słowa klucze w bazie HUDOC</w:t>
            </w:r>
          </w:p>
          <w:p w:rsidR="00D00BFF" w:rsidRPr="00D00BFF" w:rsidRDefault="00D00BFF" w:rsidP="00D00BFF">
            <w:pPr>
              <w:pStyle w:val="Teksttreci0"/>
              <w:spacing w:after="240"/>
              <w:ind w:left="595"/>
              <w:jc w:val="both"/>
              <w:rPr>
                <w:lang w:val="pl-PL"/>
              </w:rPr>
            </w:pPr>
            <w:r w:rsidRPr="00D00BFF">
              <w:rPr>
                <w:color w:val="262626"/>
                <w:sz w:val="20"/>
                <w:szCs w:val="20"/>
                <w:lang w:val="pl"/>
              </w:rPr>
              <w:t>Brak znaczącego uszczerbku (35-3-b) – brak uzasadnienia dla dalszego rozpatrywania (35-3-b) – sprawa należycie rozpatrzona przez sąd krajowy (35-3-b)</w:t>
            </w:r>
          </w:p>
        </w:tc>
      </w:tr>
    </w:tbl>
    <w:p w:rsidR="00B71A20" w:rsidRDefault="00DD4353" w:rsidP="00DD4353">
      <w:pPr>
        <w:pStyle w:val="Nagwek31"/>
        <w:keepNext/>
        <w:keepLines/>
        <w:tabs>
          <w:tab w:val="left" w:pos="341"/>
        </w:tabs>
        <w:spacing w:before="240" w:after="100"/>
      </w:pPr>
      <w:bookmarkStart w:id="322" w:name="bookmark326"/>
      <w:bookmarkStart w:id="323" w:name="_Toc126335702"/>
      <w:bookmarkStart w:id="324" w:name="_Toc126660661"/>
      <w:r>
        <w:rPr>
          <w:lang w:val="pl"/>
        </w:rPr>
        <w:t xml:space="preserve">1.  </w:t>
      </w:r>
      <w:r w:rsidR="000425B4">
        <w:rPr>
          <w:lang w:val="pl"/>
        </w:rPr>
        <w:t>Kontekst nowego kryterium</w:t>
      </w:r>
      <w:bookmarkEnd w:id="322"/>
      <w:bookmarkEnd w:id="323"/>
      <w:bookmarkEnd w:id="324"/>
    </w:p>
    <w:p w:rsidR="00B71A20" w:rsidRPr="000625F6" w:rsidRDefault="000425B4" w:rsidP="00DD4353">
      <w:pPr>
        <w:pStyle w:val="Teksttreci0"/>
        <w:numPr>
          <w:ilvl w:val="0"/>
          <w:numId w:val="96"/>
        </w:numPr>
        <w:tabs>
          <w:tab w:val="left" w:pos="510"/>
        </w:tabs>
        <w:jc w:val="both"/>
        <w:rPr>
          <w:lang w:val="pl-PL"/>
        </w:rPr>
      </w:pPr>
      <w:r>
        <w:rPr>
          <w:lang w:val="pl"/>
        </w:rPr>
        <w:t>Nowe kryterium dopuszczalności zostało dodane do kryteri</w:t>
      </w:r>
      <w:r w:rsidR="00F343C9">
        <w:rPr>
          <w:lang w:val="pl"/>
        </w:rPr>
        <w:t>ów określonych w art. 35 wraz z </w:t>
      </w:r>
      <w:r>
        <w:rPr>
          <w:lang w:val="pl"/>
        </w:rPr>
        <w:t>wejściem w życie w dniu 1 czerwca 2010 r. Protokołu nr 14. Zgodnie z art. 20 Protokołu nowe postanowienie ma zastosowanie do wszystkich skarg zawisłych przed Trybunałem oprócz tych uznanych za dopuszczalne. Z tego powodu w sprawie</w:t>
      </w:r>
      <w:hyperlink r:id="rId1721" w:history="1">
        <w:r>
          <w:rPr>
            <w:lang w:val="pl"/>
          </w:rPr>
          <w:t xml:space="preserve"> </w:t>
        </w:r>
        <w:r>
          <w:rPr>
            <w:i/>
            <w:iCs/>
            <w:color w:val="0072BC"/>
            <w:lang w:val="pl"/>
          </w:rPr>
          <w:t xml:space="preserve">Vistiņš i Perepjolkins p. Łotwie </w:t>
        </w:r>
      </w:hyperlink>
      <w:r>
        <w:rPr>
          <w:lang w:val="pl"/>
        </w:rPr>
        <w:t>[WI], § 66, zastrzeżenie wstępne rządu podnoszące argument braku znaczącego uszczerbku zostało oddalone, ponieważ skarga została uznana za dopuszczalną w 2006 r., przed wejściem w życie Protokołu nr 14.</w:t>
      </w:r>
    </w:p>
    <w:p w:rsidR="00B71A20" w:rsidRPr="000625F6" w:rsidRDefault="000425B4">
      <w:pPr>
        <w:pStyle w:val="Teksttreci0"/>
        <w:jc w:val="both"/>
        <w:rPr>
          <w:lang w:val="pl-PL"/>
        </w:rPr>
      </w:pPr>
      <w:r>
        <w:rPr>
          <w:lang w:val="pl"/>
        </w:rPr>
        <w:t>Wprowadzenie tego kryterium uznano za konieczne ze względu na zwiększającą się liczbę spraw wnoszonych do Trybunału. Gwarantuje to Trybunałowi dodatkowe narzędzie, które powinno mu pomóc w skoncentrowaniu się na sprawach wymagających zbadania co do przedmiotu. Innymi słowy, umożliwia ono Trybunałowi odrzucenie spraw uznawanych za „drobne” według zasady, zgodnie z którą sędziowie nie powinni zajmować się takimi sprawami (</w:t>
      </w:r>
      <w:r>
        <w:rPr>
          <w:i/>
          <w:iCs/>
          <w:lang w:val="pl"/>
        </w:rPr>
        <w:t>de minimis non curat praetor</w:t>
      </w:r>
      <w:r>
        <w:rPr>
          <w:lang w:val="pl"/>
        </w:rPr>
        <w:t>).</w:t>
      </w:r>
    </w:p>
    <w:p w:rsidR="00B71A20" w:rsidRPr="000625F6" w:rsidRDefault="000425B4" w:rsidP="00115011">
      <w:pPr>
        <w:pStyle w:val="Teksttreci0"/>
        <w:numPr>
          <w:ilvl w:val="0"/>
          <w:numId w:val="96"/>
        </w:numPr>
        <w:tabs>
          <w:tab w:val="left" w:pos="505"/>
        </w:tabs>
        <w:jc w:val="both"/>
        <w:rPr>
          <w:lang w:val="pl-PL"/>
        </w:rPr>
      </w:pPr>
      <w:r>
        <w:rPr>
          <w:lang w:val="pl"/>
        </w:rPr>
        <w:t xml:space="preserve">Pojęcie </w:t>
      </w:r>
      <w:r>
        <w:rPr>
          <w:i/>
          <w:iCs/>
          <w:lang w:val="pl"/>
        </w:rPr>
        <w:t>„de minimis”</w:t>
      </w:r>
      <w:r>
        <w:rPr>
          <w:lang w:val="pl"/>
        </w:rPr>
        <w:t>, mimo że do dnia 1 czerwca 2010 r. formalnie nie stanowiło części Europejskiej Konwencji Praw Człowieka, zostało jednak przywołane w kilku zdaniach odrębnych członków Komisji (patrz sprawozdania Komisji w sprawach</w:t>
      </w:r>
      <w:hyperlink r:id="rId1722" w:history="1">
        <w:r>
          <w:rPr>
            <w:i/>
            <w:iCs/>
            <w:lang w:val="pl"/>
          </w:rPr>
          <w:t xml:space="preserve"> </w:t>
        </w:r>
        <w:r>
          <w:rPr>
            <w:i/>
            <w:iCs/>
            <w:color w:val="0072BC"/>
            <w:lang w:val="pl"/>
          </w:rPr>
          <w:t>Eyoum-Priso p. Francji</w:t>
        </w:r>
        <w:r>
          <w:rPr>
            <w:lang w:val="pl"/>
          </w:rPr>
          <w:t>;</w:t>
        </w:r>
      </w:hyperlink>
      <w:hyperlink r:id="rId1723" w:history="1">
        <w:r>
          <w:rPr>
            <w:i/>
            <w:iCs/>
            <w:lang w:val="pl"/>
          </w:rPr>
          <w:t xml:space="preserve"> </w:t>
        </w:r>
        <w:r>
          <w:rPr>
            <w:i/>
            <w:iCs/>
            <w:color w:val="0072BC"/>
            <w:lang w:val="pl"/>
          </w:rPr>
          <w:t>H.F. K-F p. Niemcom</w:t>
        </w:r>
        <w:r>
          <w:rPr>
            <w:lang w:val="pl"/>
          </w:rPr>
          <w:t>;</w:t>
        </w:r>
      </w:hyperlink>
      <w:hyperlink r:id="rId1724" w:history="1">
        <w:r>
          <w:rPr>
            <w:i/>
            <w:iCs/>
            <w:lang w:val="pl"/>
          </w:rPr>
          <w:t xml:space="preserve"> </w:t>
        </w:r>
        <w:r>
          <w:rPr>
            <w:i/>
            <w:iCs/>
            <w:color w:val="0072BC"/>
            <w:lang w:val="pl"/>
          </w:rPr>
          <w:t>Lechesne</w:t>
        </w:r>
      </w:hyperlink>
      <w:r>
        <w:rPr>
          <w:i/>
          <w:iCs/>
          <w:color w:val="0072BC"/>
          <w:lang w:val="pl"/>
        </w:rPr>
        <w:t xml:space="preserve"> </w:t>
      </w:r>
      <w:hyperlink r:id="rId1725" w:history="1">
        <w:r>
          <w:rPr>
            <w:i/>
            <w:iCs/>
            <w:color w:val="0072BC"/>
            <w:lang w:val="pl"/>
          </w:rPr>
          <w:t>p. Francji</w:t>
        </w:r>
        <w:r>
          <w:rPr>
            <w:lang w:val="pl"/>
          </w:rPr>
          <w:t>)</w:t>
        </w:r>
      </w:hyperlink>
      <w:r>
        <w:rPr>
          <w:lang w:val="pl"/>
        </w:rPr>
        <w:t xml:space="preserve"> i sędziów Trybunału (patrz np.</w:t>
      </w:r>
      <w:hyperlink r:id="rId1726" w:history="1">
        <w:r>
          <w:rPr>
            <w:i/>
            <w:iCs/>
            <w:lang w:val="pl"/>
          </w:rPr>
          <w:t xml:space="preserve"> </w:t>
        </w:r>
        <w:r>
          <w:rPr>
            <w:i/>
            <w:iCs/>
            <w:color w:val="0072BC"/>
            <w:lang w:val="pl"/>
          </w:rPr>
          <w:t>Dudgeon p. Wielkiej Brytanii</w:t>
        </w:r>
        <w:r>
          <w:rPr>
            <w:lang w:val="pl"/>
          </w:rPr>
          <w:t>;</w:t>
        </w:r>
      </w:hyperlink>
      <w:hyperlink r:id="rId1727" w:history="1">
        <w:r>
          <w:rPr>
            <w:i/>
            <w:iCs/>
            <w:lang w:val="pl"/>
          </w:rPr>
          <w:t xml:space="preserve"> </w:t>
        </w:r>
        <w:r>
          <w:rPr>
            <w:i/>
            <w:iCs/>
            <w:color w:val="0072BC"/>
            <w:lang w:val="pl"/>
          </w:rPr>
          <w:t>O’Halloran</w:t>
        </w:r>
      </w:hyperlink>
      <w:r>
        <w:rPr>
          <w:i/>
          <w:iCs/>
          <w:color w:val="0072BC"/>
          <w:lang w:val="pl"/>
        </w:rPr>
        <w:t xml:space="preserve"> </w:t>
      </w:r>
      <w:hyperlink r:id="rId1728" w:history="1">
        <w:r w:rsidR="0093676E">
          <w:rPr>
            <w:i/>
            <w:iCs/>
            <w:color w:val="0072BC"/>
            <w:lang w:val="pl"/>
          </w:rPr>
          <w:t>i Francis p. </w:t>
        </w:r>
        <w:r>
          <w:rPr>
            <w:i/>
            <w:iCs/>
            <w:color w:val="0072BC"/>
            <w:lang w:val="pl"/>
          </w:rPr>
          <w:t xml:space="preserve">Wielkiej Brytanii </w:t>
        </w:r>
      </w:hyperlink>
      <w:r>
        <w:rPr>
          <w:lang w:val="pl"/>
        </w:rPr>
        <w:t>[WI];</w:t>
      </w:r>
      <w:hyperlink r:id="rId1729" w:history="1">
        <w:r>
          <w:rPr>
            <w:i/>
            <w:iCs/>
            <w:lang w:val="pl"/>
          </w:rPr>
          <w:t xml:space="preserve"> </w:t>
        </w:r>
        <w:r>
          <w:rPr>
            <w:i/>
            <w:iCs/>
            <w:color w:val="0072BC"/>
            <w:lang w:val="pl"/>
          </w:rPr>
          <w:t xml:space="preserve">Micallef p. Malcie </w:t>
        </w:r>
      </w:hyperlink>
      <w:r>
        <w:rPr>
          <w:lang w:val="pl"/>
        </w:rPr>
        <w:t>[WI]), a także przez rządy w ich uwagach do Trybunału (zob. na przykład</w:t>
      </w:r>
      <w:hyperlink r:id="rId1730" w:history="1">
        <w:r>
          <w:rPr>
            <w:i/>
            <w:iCs/>
            <w:lang w:val="pl"/>
          </w:rPr>
          <w:t xml:space="preserve"> </w:t>
        </w:r>
        <w:r>
          <w:rPr>
            <w:i/>
            <w:iCs/>
            <w:color w:val="0072BC"/>
            <w:lang w:val="pl"/>
          </w:rPr>
          <w:t xml:space="preserve">Koumoutsea i Inni p. Grecji </w:t>
        </w:r>
      </w:hyperlink>
      <w:r>
        <w:rPr>
          <w:lang w:val="pl"/>
        </w:rPr>
        <w:t>(dec.)).</w:t>
      </w:r>
    </w:p>
    <w:p w:rsidR="00B71A20" w:rsidRPr="000625F6" w:rsidRDefault="000425B4" w:rsidP="00115011">
      <w:pPr>
        <w:pStyle w:val="Teksttreci0"/>
        <w:numPr>
          <w:ilvl w:val="0"/>
          <w:numId w:val="96"/>
        </w:numPr>
        <w:tabs>
          <w:tab w:val="left" w:pos="514"/>
        </w:tabs>
        <w:spacing w:after="220"/>
        <w:jc w:val="both"/>
        <w:rPr>
          <w:lang w:val="pl-PL"/>
        </w:rPr>
      </w:pPr>
      <w:bookmarkStart w:id="325" w:name="bookmark329"/>
      <w:r>
        <w:rPr>
          <w:lang w:val="pl"/>
        </w:rPr>
        <w:t xml:space="preserve">Protokołem nr 15 do Konwencji, który wszedł w życie 1 sierpnia 2021 r., zmieniono art. 35 ust. 3 </w:t>
      </w:r>
      <w:r>
        <w:rPr>
          <w:lang w:val="pl"/>
        </w:rPr>
        <w:lastRenderedPageBreak/>
        <w:t xml:space="preserve">lit. b Konwencji, skreślając wymóg należytego rozpatrzenia sprawy przez sąd krajowy. Celem tej zmiany było wzmocnienie zasady </w:t>
      </w:r>
      <w:r>
        <w:rPr>
          <w:i/>
          <w:iCs/>
          <w:lang w:val="pl"/>
        </w:rPr>
        <w:t>de minimis non curat praetor</w:t>
      </w:r>
      <w:r>
        <w:rPr>
          <w:lang w:val="pl"/>
        </w:rPr>
        <w:t xml:space="preserve"> (patrz</w:t>
      </w:r>
      <w:hyperlink r:id="rId1731" w:history="1">
        <w:r>
          <w:rPr>
            <w:lang w:val="pl"/>
          </w:rPr>
          <w:t xml:space="preserve"> </w:t>
        </w:r>
        <w:r>
          <w:rPr>
            <w:color w:val="0072BC"/>
            <w:lang w:val="pl"/>
          </w:rPr>
          <w:t>Sprawozdanie wyjaśniające do Protokołu nr 15,</w:t>
        </w:r>
      </w:hyperlink>
      <w:r>
        <w:rPr>
          <w:color w:val="0072BC"/>
          <w:lang w:val="pl"/>
        </w:rPr>
        <w:t xml:space="preserve"> </w:t>
      </w:r>
      <w:r>
        <w:rPr>
          <w:lang w:val="pl"/>
        </w:rPr>
        <w:t>§ 23). Zmiana obowiązuje od dnia wejścia w życie Protokołu. Znajduje zastosowanie również do skarg, w przypadku których w dniu wejścia Protokołu w życi</w:t>
      </w:r>
      <w:r w:rsidR="00F343C9">
        <w:rPr>
          <w:lang w:val="pl"/>
        </w:rPr>
        <w:t>e trwało podejmowanie decyzji o </w:t>
      </w:r>
      <w:r>
        <w:rPr>
          <w:lang w:val="pl"/>
        </w:rPr>
        <w:t>dopuszczalności.</w:t>
      </w:r>
      <w:bookmarkEnd w:id="325"/>
    </w:p>
    <w:p w:rsidR="00B71A20" w:rsidRDefault="00DD4353" w:rsidP="00DD4353">
      <w:pPr>
        <w:pStyle w:val="Nagwek31"/>
        <w:keepNext/>
        <w:keepLines/>
        <w:tabs>
          <w:tab w:val="left" w:pos="341"/>
        </w:tabs>
        <w:spacing w:after="100"/>
        <w:jc w:val="both"/>
      </w:pPr>
      <w:bookmarkStart w:id="326" w:name="_Toc126335703"/>
      <w:bookmarkStart w:id="327" w:name="_Toc126660662"/>
      <w:r>
        <w:rPr>
          <w:lang w:val="pl"/>
        </w:rPr>
        <w:t xml:space="preserve">2.  </w:t>
      </w:r>
      <w:r w:rsidR="000425B4">
        <w:rPr>
          <w:lang w:val="pl"/>
        </w:rPr>
        <w:t>Zakres</w:t>
      </w:r>
      <w:bookmarkEnd w:id="326"/>
      <w:bookmarkEnd w:id="327"/>
    </w:p>
    <w:p w:rsidR="00B71A20" w:rsidRPr="000625F6" w:rsidRDefault="000425B4" w:rsidP="00A34DC7">
      <w:pPr>
        <w:pStyle w:val="Teksttreci0"/>
        <w:numPr>
          <w:ilvl w:val="0"/>
          <w:numId w:val="97"/>
        </w:numPr>
        <w:tabs>
          <w:tab w:val="left" w:pos="510"/>
        </w:tabs>
        <w:jc w:val="both"/>
        <w:rPr>
          <w:lang w:val="pl-PL"/>
        </w:rPr>
      </w:pPr>
      <w:r>
        <w:rPr>
          <w:lang w:val="pl"/>
        </w:rPr>
        <w:t>Artykuł 35 ust. 3 lit. b składa się z dwóch odrębnych elementów. Pierwszym z nich jest samo kryterium dopuszczalności: Trybunał może uznać za niedopuszczalną każdą skargę indywidualną, jeżeli skarżący nie poniósł znaczącego uszczerbku. Po nim następuje klauzula ochronna: Trybunał nie może uznać takiej skargi za niedopuszczalną, jeżeli poszanowanie praw człowieka wymaga jej rozpatrzenia co do przedmiotu. Gdy te dwa warunki niedopuszczalności zostaną spełnione, Trybunał uznaje skargę za niedopuszczalną na podstawie art. 35 ust. 3 lit. b i ust. 4 Konwencji.</w:t>
      </w:r>
    </w:p>
    <w:p w:rsidR="00B71A20" w:rsidRPr="000625F6" w:rsidRDefault="000425B4" w:rsidP="00115011">
      <w:pPr>
        <w:pStyle w:val="Teksttreci0"/>
        <w:numPr>
          <w:ilvl w:val="0"/>
          <w:numId w:val="97"/>
        </w:numPr>
        <w:tabs>
          <w:tab w:val="left" w:pos="510"/>
        </w:tabs>
        <w:jc w:val="both"/>
        <w:rPr>
          <w:lang w:val="pl-PL"/>
        </w:rPr>
      </w:pPr>
      <w:r>
        <w:rPr>
          <w:lang w:val="pl"/>
        </w:rPr>
        <w:t>Przed wejściem w życie Protokołu nr 15 nie można było na podstawie tego nowego kryterium odrzucić żadnej sprawy, która nie została wcześniej należycie rozpatrzona przez sąd krajowy (patrz np.</w:t>
      </w:r>
      <w:hyperlink r:id="rId1732" w:history="1">
        <w:r>
          <w:rPr>
            <w:i/>
            <w:iCs/>
            <w:lang w:val="pl"/>
          </w:rPr>
          <w:t xml:space="preserve"> </w:t>
        </w:r>
        <w:r>
          <w:rPr>
            <w:i/>
            <w:iCs/>
            <w:color w:val="0072BC"/>
            <w:lang w:val="pl"/>
          </w:rPr>
          <w:t>Varadinov</w:t>
        </w:r>
      </w:hyperlink>
      <w:r>
        <w:rPr>
          <w:i/>
          <w:iCs/>
          <w:color w:val="0072BC"/>
          <w:lang w:val="pl"/>
        </w:rPr>
        <w:t xml:space="preserve"> </w:t>
      </w:r>
      <w:hyperlink r:id="rId1733" w:history="1">
        <w:r>
          <w:rPr>
            <w:i/>
            <w:iCs/>
            <w:color w:val="0072BC"/>
            <w:lang w:val="pl"/>
          </w:rPr>
          <w:t>p. Bułgarii</w:t>
        </w:r>
        <w:r>
          <w:rPr>
            <w:lang w:val="pl"/>
          </w:rPr>
          <w:t>,</w:t>
        </w:r>
      </w:hyperlink>
      <w:r>
        <w:rPr>
          <w:lang w:val="pl"/>
        </w:rPr>
        <w:t xml:space="preserve"> § 25; por. z kolei</w:t>
      </w:r>
      <w:hyperlink r:id="rId1734" w:history="1">
        <w:r>
          <w:rPr>
            <w:i/>
            <w:iCs/>
            <w:lang w:val="pl"/>
          </w:rPr>
          <w:t xml:space="preserve"> </w:t>
        </w:r>
        <w:r>
          <w:rPr>
            <w:i/>
            <w:iCs/>
            <w:color w:val="0072BC"/>
            <w:lang w:val="pl"/>
          </w:rPr>
          <w:t xml:space="preserve">Çelik p. Holandii </w:t>
        </w:r>
      </w:hyperlink>
      <w:r>
        <w:rPr>
          <w:lang w:val="pl"/>
        </w:rPr>
        <w:t>(dec.)). Po wejściu w życie Protokołu nr 15 zmieniającego Konwencję ta druga klauzula ochronna została zniesiona</w:t>
      </w:r>
      <w:r>
        <w:rPr>
          <w:vertAlign w:val="superscript"/>
          <w:lang w:val="pl"/>
        </w:rPr>
        <w:footnoteReference w:id="13"/>
      </w:r>
      <w:r w:rsidR="00F343C9">
        <w:rPr>
          <w:lang w:val="pl"/>
        </w:rPr>
        <w:t>. Nowe brzmienie art. 35 ust. </w:t>
      </w:r>
      <w:r>
        <w:rPr>
          <w:lang w:val="pl"/>
        </w:rPr>
        <w:t>3 lit. b zastosowano po raz pierwszy w sprawie</w:t>
      </w:r>
      <w:hyperlink r:id="rId1735" w:history="1">
        <w:r>
          <w:rPr>
            <w:lang w:val="pl"/>
          </w:rPr>
          <w:t xml:space="preserve"> </w:t>
        </w:r>
        <w:r>
          <w:rPr>
            <w:i/>
            <w:iCs/>
            <w:color w:val="0072BC"/>
            <w:lang w:val="pl"/>
          </w:rPr>
          <w:t>Bartolo p. Malcie</w:t>
        </w:r>
      </w:hyperlink>
      <w:r>
        <w:rPr>
          <w:i/>
          <w:iCs/>
          <w:color w:val="0072BC"/>
          <w:lang w:val="pl"/>
        </w:rPr>
        <w:t xml:space="preserve"> </w:t>
      </w:r>
      <w:r>
        <w:rPr>
          <w:lang w:val="pl"/>
        </w:rPr>
        <w:t>(dec.).</w:t>
      </w:r>
    </w:p>
    <w:p w:rsidR="00B71A20" w:rsidRPr="000625F6" w:rsidRDefault="000425B4" w:rsidP="00115011">
      <w:pPr>
        <w:pStyle w:val="Teksttreci0"/>
        <w:numPr>
          <w:ilvl w:val="0"/>
          <w:numId w:val="97"/>
        </w:numPr>
        <w:tabs>
          <w:tab w:val="left" w:pos="514"/>
        </w:tabs>
        <w:jc w:val="both"/>
        <w:rPr>
          <w:lang w:val="pl-PL"/>
        </w:rPr>
      </w:pPr>
      <w:r>
        <w:rPr>
          <w:lang w:val="pl"/>
        </w:rPr>
        <w:t>W sprawie</w:t>
      </w:r>
      <w:hyperlink r:id="rId1736" w:history="1">
        <w:r>
          <w:rPr>
            <w:lang w:val="pl"/>
          </w:rPr>
          <w:t xml:space="preserve"> </w:t>
        </w:r>
        <w:r>
          <w:rPr>
            <w:i/>
            <w:iCs/>
            <w:color w:val="0072BC"/>
            <w:lang w:val="pl"/>
          </w:rPr>
          <w:t xml:space="preserve">Shefer p. Rosji </w:t>
        </w:r>
      </w:hyperlink>
      <w:r>
        <w:rPr>
          <w:lang w:val="pl"/>
        </w:rPr>
        <w:t xml:space="preserve">(dec.) Trybunał stwierdził, że choć między poszczególnymi elementami art. 35 ust. 3 lit. b nie zachodzi formalny związek hierarchiczny, istotą nowego kryterium jest kwestia „znaczącego uszczerbku”. W większości spraw stosuje się więc podejście hierarchiczne, polegające na tym, że wszystkie elementy nowego kryterium są rozpatrywane po kolei </w:t>
      </w:r>
      <w:hyperlink r:id="rId1737" w:history="1">
        <w:r>
          <w:rPr>
            <w:lang w:val="pl"/>
          </w:rPr>
          <w:t>(</w:t>
        </w:r>
        <w:r>
          <w:rPr>
            <w:i/>
            <w:iCs/>
            <w:color w:val="0072BC"/>
            <w:lang w:val="pl"/>
          </w:rPr>
          <w:t>Kiril Zlatkov Nikolov p. Francji</w:t>
        </w:r>
        <w:r>
          <w:rPr>
            <w:lang w:val="pl"/>
          </w:rPr>
          <w:t>;</w:t>
        </w:r>
      </w:hyperlink>
      <w:hyperlink r:id="rId1738" w:history="1">
        <w:r>
          <w:rPr>
            <w:i/>
            <w:iCs/>
            <w:lang w:val="pl"/>
          </w:rPr>
          <w:t xml:space="preserve"> </w:t>
        </w:r>
        <w:r>
          <w:rPr>
            <w:i/>
            <w:iCs/>
            <w:color w:val="0072BC"/>
            <w:lang w:val="pl"/>
          </w:rPr>
          <w:t>C.P. p. Wielkiej</w:t>
        </w:r>
      </w:hyperlink>
      <w:r>
        <w:rPr>
          <w:i/>
          <w:iCs/>
          <w:color w:val="0072BC"/>
          <w:lang w:val="pl"/>
        </w:rPr>
        <w:t xml:space="preserve"> </w:t>
      </w:r>
      <w:hyperlink r:id="rId1739" w:history="1">
        <w:r>
          <w:rPr>
            <w:i/>
            <w:iCs/>
            <w:color w:val="0072BC"/>
            <w:lang w:val="pl"/>
          </w:rPr>
          <w:t xml:space="preserve">Brytanii </w:t>
        </w:r>
      </w:hyperlink>
      <w:r>
        <w:rPr>
          <w:lang w:val="pl"/>
        </w:rPr>
        <w:t>(dec.);</w:t>
      </w:r>
      <w:hyperlink r:id="rId1740" w:history="1">
        <w:r>
          <w:rPr>
            <w:i/>
            <w:iCs/>
            <w:lang w:val="pl"/>
          </w:rPr>
          <w:t xml:space="preserve"> </w:t>
        </w:r>
        <w:r>
          <w:rPr>
            <w:i/>
            <w:iCs/>
            <w:color w:val="0072BC"/>
            <w:lang w:val="pl"/>
          </w:rPr>
          <w:t xml:space="preserve">Borg i Vella p. Malcie </w:t>
        </w:r>
      </w:hyperlink>
      <w:r>
        <w:rPr>
          <w:lang w:val="pl"/>
        </w:rPr>
        <w:t xml:space="preserve">(dec.)). W niektórych sprawach Trybunał uznał jednak, że nie jest konieczne ustalanie, czy występuje pierwszy element tego kryterium dopuszczalności </w:t>
      </w:r>
      <w:hyperlink r:id="rId1741" w:history="1">
        <w:r>
          <w:rPr>
            <w:lang w:val="pl"/>
          </w:rPr>
          <w:t>(</w:t>
        </w:r>
        <w:r>
          <w:rPr>
            <w:i/>
            <w:iCs/>
            <w:color w:val="0072BC"/>
            <w:lang w:val="pl"/>
          </w:rPr>
          <w:t>Finger p. Bułgarii</w:t>
        </w:r>
        <w:r>
          <w:rPr>
            <w:lang w:val="pl"/>
          </w:rPr>
          <w:t>;</w:t>
        </w:r>
      </w:hyperlink>
      <w:hyperlink r:id="rId1742" w:history="1">
        <w:r>
          <w:rPr>
            <w:i/>
            <w:iCs/>
            <w:lang w:val="pl"/>
          </w:rPr>
          <w:t xml:space="preserve"> </w:t>
        </w:r>
        <w:r>
          <w:rPr>
            <w:i/>
            <w:iCs/>
            <w:color w:val="0072BC"/>
            <w:lang w:val="pl"/>
          </w:rPr>
          <w:t>Daniel Faulkner p. Wielkiej Brytanii</w:t>
        </w:r>
        <w:r>
          <w:rPr>
            <w:lang w:val="pl"/>
          </w:rPr>
          <w:t>;</w:t>
        </w:r>
      </w:hyperlink>
      <w:hyperlink r:id="rId1743" w:history="1">
        <w:r>
          <w:rPr>
            <w:i/>
            <w:iCs/>
            <w:lang w:val="pl"/>
          </w:rPr>
          <w:t xml:space="preserve"> </w:t>
        </w:r>
        <w:r>
          <w:rPr>
            <w:i/>
            <w:iCs/>
            <w:color w:val="0072BC"/>
            <w:lang w:val="pl"/>
          </w:rPr>
          <w:t>Turturica i Casian p. Republice</w:t>
        </w:r>
      </w:hyperlink>
      <w:r>
        <w:rPr>
          <w:i/>
          <w:iCs/>
          <w:color w:val="0072BC"/>
          <w:lang w:val="pl"/>
        </w:rPr>
        <w:t xml:space="preserve"> </w:t>
      </w:r>
      <w:hyperlink r:id="rId1744" w:history="1">
        <w:r>
          <w:rPr>
            <w:i/>
            <w:iCs/>
            <w:color w:val="0072BC"/>
            <w:lang w:val="pl"/>
          </w:rPr>
          <w:t>Mołdawii i Rosji</w:t>
        </w:r>
        <w:r>
          <w:rPr>
            <w:lang w:val="pl"/>
          </w:rPr>
          <w:t>;</w:t>
        </w:r>
      </w:hyperlink>
      <w:hyperlink r:id="rId1745" w:history="1">
        <w:r>
          <w:rPr>
            <w:i/>
            <w:iCs/>
            <w:lang w:val="pl"/>
          </w:rPr>
          <w:t xml:space="preserve"> </w:t>
        </w:r>
        <w:r>
          <w:rPr>
            <w:i/>
            <w:iCs/>
            <w:color w:val="0072BC"/>
            <w:lang w:val="pl"/>
          </w:rPr>
          <w:t>Varadinov p. Bułgarii</w:t>
        </w:r>
        <w:r>
          <w:rPr>
            <w:lang w:val="pl"/>
          </w:rPr>
          <w:t>,</w:t>
        </w:r>
      </w:hyperlink>
      <w:r>
        <w:rPr>
          <w:lang w:val="pl"/>
        </w:rPr>
        <w:t xml:space="preserve"> § 25).</w:t>
      </w:r>
    </w:p>
    <w:p w:rsidR="00B71A20" w:rsidRPr="000625F6" w:rsidRDefault="000425B4" w:rsidP="00115011">
      <w:pPr>
        <w:pStyle w:val="Teksttreci0"/>
        <w:numPr>
          <w:ilvl w:val="0"/>
          <w:numId w:val="97"/>
        </w:numPr>
        <w:tabs>
          <w:tab w:val="left" w:pos="514"/>
        </w:tabs>
        <w:jc w:val="both"/>
        <w:rPr>
          <w:lang w:val="pl-PL"/>
        </w:rPr>
      </w:pPr>
      <w:r>
        <w:rPr>
          <w:lang w:val="pl"/>
        </w:rPr>
        <w:t>Wyłącznie Trybunał jest właściwy do dokonywania wykładn</w:t>
      </w:r>
      <w:r w:rsidR="00F343C9">
        <w:rPr>
          <w:lang w:val="pl"/>
        </w:rPr>
        <w:t>i tego wymogu dopuszczalności i </w:t>
      </w:r>
      <w:r>
        <w:rPr>
          <w:lang w:val="pl"/>
        </w:rPr>
        <w:t>podjęcia decyzji o jego zastosowaniu. W ciągu pierwszych dwóch lat od wejścia w życie stosowanie tego kryterium było zastrzeżone dla Izb oraz Wielkiej Izby (art. 20 ust. 2 Protokołu nr 14). Od 1 czerwca 2012 r. kryterium to jest stosowane przez wszystkie składy Trybunału.</w:t>
      </w:r>
    </w:p>
    <w:p w:rsidR="00B71A20" w:rsidRPr="000625F6" w:rsidRDefault="000425B4" w:rsidP="00115011">
      <w:pPr>
        <w:pStyle w:val="Teksttreci0"/>
        <w:numPr>
          <w:ilvl w:val="0"/>
          <w:numId w:val="97"/>
        </w:numPr>
        <w:tabs>
          <w:tab w:val="left" w:pos="514"/>
        </w:tabs>
        <w:jc w:val="both"/>
        <w:rPr>
          <w:lang w:val="pl-PL"/>
        </w:rPr>
      </w:pPr>
      <w:r>
        <w:rPr>
          <w:lang w:val="pl"/>
        </w:rPr>
        <w:t xml:space="preserve">Trybunał może podnieść ów nowy wymóg dopuszczalności </w:t>
      </w:r>
      <w:r w:rsidR="00F343C9">
        <w:rPr>
          <w:lang w:val="pl"/>
        </w:rPr>
        <w:t>z własnej inicjatywy (jak np. w </w:t>
      </w:r>
      <w:r>
        <w:rPr>
          <w:lang w:val="pl"/>
        </w:rPr>
        <w:t>sprawach</w:t>
      </w:r>
      <w:hyperlink r:id="rId1746" w:history="1">
        <w:r>
          <w:rPr>
            <w:lang w:val="pl"/>
          </w:rPr>
          <w:t xml:space="preserve"> </w:t>
        </w:r>
        <w:r>
          <w:rPr>
            <w:i/>
            <w:iCs/>
            <w:color w:val="0072BC"/>
            <w:lang w:val="pl"/>
          </w:rPr>
          <w:t xml:space="preserve">Vasyanovich p. Rosji </w:t>
        </w:r>
      </w:hyperlink>
      <w:r>
        <w:rPr>
          <w:lang w:val="pl"/>
        </w:rPr>
        <w:t>(dec.);</w:t>
      </w:r>
      <w:hyperlink r:id="rId1747" w:history="1">
        <w:r>
          <w:rPr>
            <w:lang w:val="pl"/>
          </w:rPr>
          <w:t xml:space="preserve"> </w:t>
        </w:r>
        <w:r>
          <w:rPr>
            <w:i/>
            <w:iCs/>
            <w:color w:val="0072BC"/>
            <w:lang w:val="pl"/>
          </w:rPr>
          <w:t xml:space="preserve">lonescu p. Rumunii </w:t>
        </w:r>
      </w:hyperlink>
      <w:r>
        <w:rPr>
          <w:lang w:val="pl"/>
        </w:rPr>
        <w:t>(dec.);</w:t>
      </w:r>
      <w:hyperlink r:id="rId1748" w:history="1">
        <w:r>
          <w:rPr>
            <w:lang w:val="pl"/>
          </w:rPr>
          <w:t xml:space="preserve"> </w:t>
        </w:r>
        <w:r>
          <w:rPr>
            <w:i/>
            <w:iCs/>
            <w:color w:val="0072BC"/>
            <w:lang w:val="pl"/>
          </w:rPr>
          <w:t>Magomedov i Inni p. Rosji</w:t>
        </w:r>
        <w:r>
          <w:rPr>
            <w:lang w:val="pl"/>
          </w:rPr>
          <w:t>,</w:t>
        </w:r>
      </w:hyperlink>
      <w:r>
        <w:rPr>
          <w:lang w:val="pl"/>
        </w:rPr>
        <w:t xml:space="preserve"> § 49) lub w odpowiedzi na zastrzeżenie podniesione przez rząd </w:t>
      </w:r>
      <w:hyperlink r:id="rId1749" w:history="1">
        <w:r>
          <w:rPr>
            <w:lang w:val="pl"/>
          </w:rPr>
          <w:t>(</w:t>
        </w:r>
        <w:r>
          <w:rPr>
            <w:i/>
            <w:iCs/>
            <w:color w:val="0072BC"/>
            <w:lang w:val="pl"/>
          </w:rPr>
          <w:t>Gaglione i Inni p. Włochom</w:t>
        </w:r>
        <w:r>
          <w:rPr>
            <w:lang w:val="pl"/>
          </w:rPr>
          <w:t>)</w:t>
        </w:r>
      </w:hyperlink>
      <w:r>
        <w:rPr>
          <w:lang w:val="pl"/>
        </w:rPr>
        <w:t xml:space="preserve">. W niektórych sprawach Trybunał rozpatruje to nowe kryterium przez innymi wymogami dopuszczalności </w:t>
      </w:r>
      <w:hyperlink r:id="rId1750" w:history="1">
        <w:r>
          <w:rPr>
            <w:lang w:val="pl"/>
          </w:rPr>
          <w:t>(</w:t>
        </w:r>
        <w:r>
          <w:rPr>
            <w:i/>
            <w:iCs/>
            <w:color w:val="0072BC"/>
            <w:lang w:val="pl"/>
          </w:rPr>
          <w:t>Korolev p. Rosji</w:t>
        </w:r>
      </w:hyperlink>
      <w:r>
        <w:rPr>
          <w:color w:val="0072BC"/>
          <w:lang w:val="pl"/>
        </w:rPr>
        <w:t xml:space="preserve"> </w:t>
      </w:r>
      <w:r>
        <w:rPr>
          <w:lang w:val="pl"/>
        </w:rPr>
        <w:t>(dec.);</w:t>
      </w:r>
      <w:hyperlink r:id="rId1751" w:history="1">
        <w:r>
          <w:rPr>
            <w:i/>
            <w:iCs/>
            <w:lang w:val="pl"/>
          </w:rPr>
          <w:t xml:space="preserve"> </w:t>
        </w:r>
        <w:r>
          <w:rPr>
            <w:i/>
            <w:iCs/>
            <w:color w:val="0072BC"/>
            <w:lang w:val="pl"/>
          </w:rPr>
          <w:t xml:space="preserve">Rinck p. Francji </w:t>
        </w:r>
      </w:hyperlink>
      <w:r>
        <w:rPr>
          <w:lang w:val="pl"/>
        </w:rPr>
        <w:t>(dec.);</w:t>
      </w:r>
      <w:hyperlink r:id="rId1752" w:history="1">
        <w:r>
          <w:rPr>
            <w:i/>
            <w:iCs/>
            <w:lang w:val="pl"/>
          </w:rPr>
          <w:t xml:space="preserve"> </w:t>
        </w:r>
        <w:r>
          <w:rPr>
            <w:i/>
            <w:iCs/>
            <w:color w:val="0072BC"/>
            <w:lang w:val="pl"/>
          </w:rPr>
          <w:t xml:space="preserve">Gaftoniuc p. Rumunii </w:t>
        </w:r>
      </w:hyperlink>
      <w:r>
        <w:rPr>
          <w:lang w:val="pl"/>
        </w:rPr>
        <w:t>(dec.);</w:t>
      </w:r>
      <w:hyperlink r:id="rId1753" w:history="1">
        <w:r>
          <w:rPr>
            <w:i/>
            <w:iCs/>
            <w:lang w:val="pl"/>
          </w:rPr>
          <w:t xml:space="preserve"> </w:t>
        </w:r>
        <w:r>
          <w:rPr>
            <w:i/>
            <w:iCs/>
            <w:color w:val="0072BC"/>
            <w:lang w:val="pl"/>
          </w:rPr>
          <w:t xml:space="preserve">Burov p. Mołdawii </w:t>
        </w:r>
      </w:hyperlink>
      <w:r>
        <w:rPr>
          <w:lang w:val="pl"/>
        </w:rPr>
        <w:t>(dec.);</w:t>
      </w:r>
      <w:hyperlink r:id="rId1754" w:history="1">
        <w:r>
          <w:rPr>
            <w:i/>
            <w:iCs/>
            <w:lang w:val="pl"/>
          </w:rPr>
          <w:t xml:space="preserve"> </w:t>
        </w:r>
        <w:r>
          <w:rPr>
            <w:i/>
            <w:iCs/>
            <w:color w:val="0072BC"/>
            <w:lang w:val="pl"/>
          </w:rPr>
          <w:t>Shefer p. Rosji</w:t>
        </w:r>
      </w:hyperlink>
      <w:r>
        <w:rPr>
          <w:color w:val="0072BC"/>
          <w:lang w:val="pl"/>
        </w:rPr>
        <w:t xml:space="preserve"> </w:t>
      </w:r>
      <w:r>
        <w:rPr>
          <w:lang w:val="pl"/>
        </w:rPr>
        <w:t xml:space="preserve">(dec.)). W innych sprawach przechodzi do rozpatrzenia tego kryterium dopiero gdy wykluczy pozostałe </w:t>
      </w:r>
      <w:hyperlink r:id="rId1755" w:history="1">
        <w:r>
          <w:rPr>
            <w:lang w:val="pl"/>
          </w:rPr>
          <w:t>(</w:t>
        </w:r>
        <w:r>
          <w:rPr>
            <w:i/>
            <w:iCs/>
            <w:color w:val="0072BC"/>
            <w:lang w:val="pl"/>
          </w:rPr>
          <w:t xml:space="preserve">Ionescu p. Rumunii </w:t>
        </w:r>
      </w:hyperlink>
      <w:r>
        <w:rPr>
          <w:lang w:val="pl"/>
        </w:rPr>
        <w:t>(dec.);</w:t>
      </w:r>
      <w:hyperlink r:id="rId1756" w:history="1">
        <w:r>
          <w:rPr>
            <w:lang w:val="pl"/>
          </w:rPr>
          <w:t xml:space="preserve"> </w:t>
        </w:r>
        <w:r>
          <w:rPr>
            <w:i/>
            <w:iCs/>
            <w:color w:val="0072BC"/>
            <w:lang w:val="pl"/>
          </w:rPr>
          <w:t xml:space="preserve">Holub p. Czechom </w:t>
        </w:r>
      </w:hyperlink>
      <w:r>
        <w:rPr>
          <w:lang w:val="pl"/>
        </w:rPr>
        <w:t>(dec.)).</w:t>
      </w:r>
    </w:p>
    <w:p w:rsidR="00B71A20" w:rsidRPr="000625F6" w:rsidRDefault="000425B4" w:rsidP="00115011">
      <w:pPr>
        <w:pStyle w:val="Teksttreci0"/>
        <w:numPr>
          <w:ilvl w:val="0"/>
          <w:numId w:val="97"/>
        </w:numPr>
        <w:tabs>
          <w:tab w:val="left" w:pos="514"/>
        </w:tabs>
        <w:spacing w:after="220"/>
        <w:jc w:val="both"/>
        <w:rPr>
          <w:lang w:val="pl-PL"/>
        </w:rPr>
      </w:pPr>
      <w:bookmarkStart w:id="328" w:name="bookmark332"/>
      <w:r>
        <w:rPr>
          <w:lang w:val="pl"/>
        </w:rPr>
        <w:t xml:space="preserve">Zastosowanie kryterium braku znaczącego uszczerbku nie ogranicza się do żadnego konkretnego prawa chronionego Konwencją. Trybunał uznał jednak, że trudno wyobrazić sobie sytuację, w której zarzut podniesiony na podstawie art. 3 i niepodlegający innym kryteriom niedopuszczalności oraz mieszczący się w zakresie art. 3 (tj. taki, który spełnia kryteria minimalnego stopnia dolegliwości) mógłby zostać uznany za niedopuszczalny dlatego, że skarżący nie doznał znaczącego uszczerbku </w:t>
      </w:r>
      <w:hyperlink r:id="rId1757" w:history="1">
        <w:r>
          <w:rPr>
            <w:lang w:val="pl"/>
          </w:rPr>
          <w:t>(</w:t>
        </w:r>
        <w:r w:rsidR="0093676E">
          <w:rPr>
            <w:i/>
            <w:iCs/>
            <w:color w:val="0072BC"/>
            <w:lang w:val="pl"/>
          </w:rPr>
          <w:t>Y </w:t>
        </w:r>
        <w:r w:rsidR="00F343C9">
          <w:rPr>
            <w:i/>
            <w:iCs/>
            <w:color w:val="0072BC"/>
            <w:lang w:val="pl"/>
          </w:rPr>
          <w:t>p. </w:t>
        </w:r>
        <w:r>
          <w:rPr>
            <w:i/>
            <w:iCs/>
            <w:color w:val="0072BC"/>
            <w:lang w:val="pl"/>
          </w:rPr>
          <w:t>Łotwie</w:t>
        </w:r>
        <w:r>
          <w:rPr>
            <w:lang w:val="pl"/>
          </w:rPr>
          <w:t>,</w:t>
        </w:r>
      </w:hyperlink>
      <w:r>
        <w:rPr>
          <w:lang w:val="pl"/>
        </w:rPr>
        <w:t xml:space="preserve"> § 44). Trybunał w podobny sposób odrzucił możliwość zastosowania tego nowego kryterium do zarzutu wniesionego na podstawie art. 2, podkreślając, że prawo do życia jest przedmiotem jednego z najbardziej fundamentalnych postanowień Konwencji </w:t>
      </w:r>
      <w:hyperlink r:id="rId1758" w:history="1">
        <w:r>
          <w:rPr>
            <w:lang w:val="pl"/>
          </w:rPr>
          <w:t>(</w:t>
        </w:r>
        <w:r>
          <w:rPr>
            <w:i/>
            <w:iCs/>
            <w:color w:val="0072BC"/>
            <w:lang w:val="pl"/>
          </w:rPr>
          <w:t>Makuchyan</w:t>
        </w:r>
        <w:r w:rsidR="00F343C9">
          <w:rPr>
            <w:i/>
            <w:iCs/>
            <w:color w:val="0072BC"/>
            <w:lang w:val="pl"/>
          </w:rPr>
          <w:t xml:space="preserve"> i Minasyan p. Azerbejdżanowi i </w:t>
        </w:r>
        <w:r>
          <w:rPr>
            <w:i/>
            <w:iCs/>
            <w:color w:val="0072BC"/>
            <w:lang w:val="pl"/>
          </w:rPr>
          <w:t>Węgrom</w:t>
        </w:r>
        <w:r>
          <w:rPr>
            <w:lang w:val="pl"/>
          </w:rPr>
          <w:t>,</w:t>
        </w:r>
      </w:hyperlink>
      <w:r>
        <w:rPr>
          <w:lang w:val="pl"/>
        </w:rPr>
        <w:t xml:space="preserve"> §§ 72-73). Odnośnie do zarzutów na podstawie art. 5, Trybunał </w:t>
      </w:r>
      <w:r>
        <w:rPr>
          <w:lang w:val="pl"/>
        </w:rPr>
        <w:lastRenderedPageBreak/>
        <w:t>dotychczas odrzucał możliwość zastosowania kryterium dopuszczalności opartego na „bra</w:t>
      </w:r>
      <w:r w:rsidR="00F343C9">
        <w:rPr>
          <w:lang w:val="pl"/>
        </w:rPr>
        <w:t>ku znaczącego uszczerbku” w </w:t>
      </w:r>
      <w:r>
        <w:rPr>
          <w:lang w:val="pl"/>
        </w:rPr>
        <w:t xml:space="preserve">kontekście doniosłości, jaką w społeczeństwie demokratycznym przypisuje się prawu do wolności </w:t>
      </w:r>
      <w:hyperlink r:id="rId1759" w:history="1">
        <w:r>
          <w:rPr>
            <w:lang w:val="pl"/>
          </w:rPr>
          <w:t>(</w:t>
        </w:r>
        <w:r>
          <w:rPr>
            <w:i/>
            <w:iCs/>
            <w:color w:val="0072BC"/>
            <w:lang w:val="pl"/>
          </w:rPr>
          <w:t>Zelčs p. Łotwie</w:t>
        </w:r>
        <w:r>
          <w:rPr>
            <w:lang w:val="pl"/>
          </w:rPr>
          <w:t>,</w:t>
        </w:r>
      </w:hyperlink>
      <w:r>
        <w:rPr>
          <w:lang w:val="pl"/>
        </w:rPr>
        <w:t xml:space="preserve"> § 44 i cytowane tam odniesienia). Trybunał stwierdził ponadto, że w sprawach dotyczących wolności myśli, sumienia i wyznania (art. 9) czy wolności wyrażania opinii (art. 10) przy stosowaniu kryterium braku znaczącego uszczerbku trzeba należycie uwzględnić duże znaczenie tych wolności i poddać daną sytuację gruntownej kontroli Trybunału (co do art. 9 patrz</w:t>
      </w:r>
      <w:hyperlink r:id="rId1760" w:history="1">
        <w:r>
          <w:rPr>
            <w:i/>
            <w:iCs/>
            <w:lang w:val="pl"/>
          </w:rPr>
          <w:t xml:space="preserve"> </w:t>
        </w:r>
        <w:r>
          <w:rPr>
            <w:i/>
            <w:iCs/>
            <w:color w:val="0072BC"/>
            <w:lang w:val="pl"/>
          </w:rPr>
          <w:t>Stavropoulos i Inni p. Grecji</w:t>
        </w:r>
        <w:r>
          <w:rPr>
            <w:lang w:val="pl"/>
          </w:rPr>
          <w:t>,</w:t>
        </w:r>
      </w:hyperlink>
      <w:r>
        <w:rPr>
          <w:lang w:val="pl"/>
        </w:rPr>
        <w:t xml:space="preserve"> §§ 29-30). W kontekście art. 10 owa kontrola powinna obejmować takie elementy jak wkład w rozważania nad interesem ogólnym oraz to, czy dana sprawa dotyczy prasy lub innych mediów ogólnoinformacyjnych </w:t>
      </w:r>
      <w:hyperlink r:id="rId1761" w:history="1">
        <w:r>
          <w:rPr>
            <w:lang w:val="pl"/>
          </w:rPr>
          <w:t>(</w:t>
        </w:r>
        <w:r>
          <w:rPr>
            <w:i/>
            <w:iCs/>
            <w:color w:val="0072BC"/>
            <w:lang w:val="pl"/>
          </w:rPr>
          <w:t>Margulev p. Rosji</w:t>
        </w:r>
        <w:r>
          <w:rPr>
            <w:lang w:val="pl"/>
          </w:rPr>
          <w:t>,</w:t>
        </w:r>
      </w:hyperlink>
      <w:r>
        <w:rPr>
          <w:lang w:val="pl"/>
        </w:rPr>
        <w:t xml:space="preserve"> §§ 41-42;</w:t>
      </w:r>
      <w:hyperlink r:id="rId1762" w:history="1">
        <w:r>
          <w:rPr>
            <w:i/>
            <w:iCs/>
            <w:lang w:val="pl"/>
          </w:rPr>
          <w:t xml:space="preserve"> </w:t>
        </w:r>
        <w:r>
          <w:rPr>
            <w:i/>
            <w:iCs/>
            <w:color w:val="0072BC"/>
            <w:lang w:val="pl"/>
          </w:rPr>
          <w:t xml:space="preserve">Sylka p. Polsce </w:t>
        </w:r>
      </w:hyperlink>
      <w:r>
        <w:rPr>
          <w:lang w:val="pl"/>
        </w:rPr>
        <w:t>(dec.), § 28;</w:t>
      </w:r>
      <w:hyperlink r:id="rId1763" w:history="1">
        <w:r>
          <w:rPr>
            <w:i/>
            <w:iCs/>
            <w:lang w:val="pl"/>
          </w:rPr>
          <w:t xml:space="preserve"> </w:t>
        </w:r>
        <w:r>
          <w:rPr>
            <w:i/>
            <w:iCs/>
            <w:color w:val="0072BC"/>
            <w:lang w:val="pl"/>
          </w:rPr>
          <w:t>Panioglu p. Rumunii</w:t>
        </w:r>
        <w:r>
          <w:rPr>
            <w:lang w:val="pl"/>
          </w:rPr>
          <w:t xml:space="preserve">, </w:t>
        </w:r>
      </w:hyperlink>
      <w:r>
        <w:rPr>
          <w:lang w:val="pl"/>
        </w:rPr>
        <w:t>§§ 72-76;</w:t>
      </w:r>
      <w:hyperlink r:id="rId1764" w:history="1">
        <w:r>
          <w:rPr>
            <w:lang w:val="pl"/>
          </w:rPr>
          <w:t xml:space="preserve"> </w:t>
        </w:r>
        <w:r>
          <w:rPr>
            <w:i/>
            <w:iCs/>
            <w:color w:val="0072BC"/>
            <w:lang w:val="pl"/>
          </w:rPr>
          <w:t>Šeks p. Chorwacji</w:t>
        </w:r>
        <w:r>
          <w:rPr>
            <w:lang w:val="pl"/>
          </w:rPr>
          <w:t>,</w:t>
        </w:r>
      </w:hyperlink>
      <w:r>
        <w:rPr>
          <w:lang w:val="pl"/>
        </w:rPr>
        <w:t xml:space="preserve"> § 48). Jeśli chodzi o sprawy </w:t>
      </w:r>
      <w:r w:rsidR="00F343C9">
        <w:rPr>
          <w:lang w:val="pl"/>
        </w:rPr>
        <w:t>dotyczące wolności zgromadzeń i </w:t>
      </w:r>
      <w:r>
        <w:rPr>
          <w:lang w:val="pl"/>
        </w:rPr>
        <w:t xml:space="preserve">stowarzyszania się (art. 11), Trybunał powinien należycie rozważyć znaczenie tych wolności dla społeczeństwa demokratycznego oraz przeprowadzić gruntowną kontrolę </w:t>
      </w:r>
      <w:hyperlink r:id="rId1765" w:history="1">
        <w:r>
          <w:rPr>
            <w:lang w:val="pl"/>
          </w:rPr>
          <w:t>(</w:t>
        </w:r>
        <w:r>
          <w:rPr>
            <w:i/>
            <w:iCs/>
            <w:color w:val="0072BC"/>
            <w:lang w:val="pl"/>
          </w:rPr>
          <w:t>Obote p. Rosji</w:t>
        </w:r>
        <w:r>
          <w:rPr>
            <w:lang w:val="pl"/>
          </w:rPr>
          <w:t>,</w:t>
        </w:r>
      </w:hyperlink>
      <w:r>
        <w:rPr>
          <w:lang w:val="pl"/>
        </w:rPr>
        <w:t xml:space="preserve"> § 31;</w:t>
      </w:r>
      <w:hyperlink r:id="rId1766" w:history="1">
        <w:r>
          <w:rPr>
            <w:i/>
            <w:iCs/>
            <w:lang w:val="pl"/>
          </w:rPr>
          <w:t xml:space="preserve"> </w:t>
        </w:r>
        <w:r>
          <w:rPr>
            <w:i/>
            <w:iCs/>
            <w:color w:val="0072BC"/>
            <w:lang w:val="pl"/>
          </w:rPr>
          <w:t>Yordanovi p. Bułgarii</w:t>
        </w:r>
        <w:r>
          <w:rPr>
            <w:lang w:val="pl"/>
          </w:rPr>
          <w:t xml:space="preserve">, </w:t>
        </w:r>
      </w:hyperlink>
      <w:r>
        <w:rPr>
          <w:lang w:val="pl"/>
        </w:rPr>
        <w:t>§§ 49-52).</w:t>
      </w:r>
      <w:bookmarkEnd w:id="328"/>
    </w:p>
    <w:p w:rsidR="00B71A20" w:rsidRPr="00926851" w:rsidRDefault="0007621D" w:rsidP="0007621D">
      <w:pPr>
        <w:pStyle w:val="Nagwek31"/>
        <w:keepNext/>
        <w:keepLines/>
        <w:tabs>
          <w:tab w:val="left" w:pos="284"/>
        </w:tabs>
        <w:spacing w:after="100"/>
        <w:jc w:val="both"/>
        <w:rPr>
          <w:lang w:val="pl-PL"/>
        </w:rPr>
      </w:pPr>
      <w:bookmarkStart w:id="329" w:name="_Toc126335704"/>
      <w:bookmarkStart w:id="330" w:name="_Toc126660663"/>
      <w:r>
        <w:rPr>
          <w:lang w:val="pl"/>
        </w:rPr>
        <w:t xml:space="preserve">3.  </w:t>
      </w:r>
      <w:r w:rsidR="000425B4">
        <w:rPr>
          <w:lang w:val="pl"/>
        </w:rPr>
        <w:t>Czy skarżący doznał znaczącego uszczerbku</w:t>
      </w:r>
      <w:bookmarkEnd w:id="329"/>
      <w:bookmarkEnd w:id="330"/>
    </w:p>
    <w:p w:rsidR="00B71A20" w:rsidRPr="000625F6" w:rsidRDefault="000425B4" w:rsidP="00115011">
      <w:pPr>
        <w:pStyle w:val="Teksttreci0"/>
        <w:numPr>
          <w:ilvl w:val="0"/>
          <w:numId w:val="97"/>
        </w:numPr>
        <w:tabs>
          <w:tab w:val="left" w:pos="514"/>
        </w:tabs>
        <w:jc w:val="both"/>
        <w:rPr>
          <w:lang w:val="pl-PL"/>
        </w:rPr>
      </w:pPr>
      <w:r>
        <w:rPr>
          <w:lang w:val="pl"/>
        </w:rPr>
        <w:t>Główny element zawarty w tym kryterium stanowi pytanie, czy skarżący doznał „znaczącego uszczerbku”. „Znaczący uszczerbek” sprowadza się do tego, że narus</w:t>
      </w:r>
      <w:r w:rsidR="00F343C9">
        <w:rPr>
          <w:lang w:val="pl"/>
        </w:rPr>
        <w:t>zenie prawa, choć rzeczywiste z </w:t>
      </w:r>
      <w:r>
        <w:rPr>
          <w:lang w:val="pl"/>
        </w:rPr>
        <w:t xml:space="preserve">prawnego punktu widzenia, powinno być co najmniej tak ciężkie, by uzasadnić rozpatrzenie go przez trybunał międzynarodowy. Naruszenia o charakterze czysto technicznym i nieznaczącym, poza ujęciem formalistycznym, nie zasługują na kontrolę ze strony organów europejskich </w:t>
      </w:r>
      <w:hyperlink r:id="rId1767" w:history="1">
        <w:r>
          <w:rPr>
            <w:lang w:val="pl"/>
          </w:rPr>
          <w:t>(</w:t>
        </w:r>
        <w:r>
          <w:rPr>
            <w:i/>
            <w:iCs/>
            <w:color w:val="0072BC"/>
            <w:lang w:val="pl"/>
          </w:rPr>
          <w:t>Shefer p. Rosji</w:t>
        </w:r>
      </w:hyperlink>
      <w:r>
        <w:rPr>
          <w:color w:val="0072BC"/>
          <w:lang w:val="pl"/>
        </w:rPr>
        <w:t xml:space="preserve"> </w:t>
      </w:r>
      <w:r>
        <w:rPr>
          <w:lang w:val="pl"/>
        </w:rPr>
        <w:t xml:space="preserve">(dec.)). Ocena tej minimalnej ciężkości jest względna i zależy od wszystkich okoliczności sprawy. Ciężar naruszenia powinien być oceniany z uwzględnieniem jego subiektywnego odbioru przez skarżącego oraz obiektywnej istoty konkretnej sprawy </w:t>
      </w:r>
      <w:hyperlink r:id="rId1768" w:history="1">
        <w:r>
          <w:rPr>
            <w:lang w:val="pl"/>
          </w:rPr>
          <w:t>(</w:t>
        </w:r>
        <w:r>
          <w:rPr>
            <w:i/>
            <w:iCs/>
            <w:color w:val="0072BC"/>
            <w:lang w:val="pl"/>
          </w:rPr>
          <w:t xml:space="preserve">Korolev p. Rosji </w:t>
        </w:r>
      </w:hyperlink>
      <w:r>
        <w:rPr>
          <w:lang w:val="pl"/>
        </w:rPr>
        <w:t>(dec.)).</w:t>
      </w:r>
    </w:p>
    <w:p w:rsidR="00B71A20" w:rsidRPr="000625F6" w:rsidRDefault="000425B4">
      <w:pPr>
        <w:pStyle w:val="Teksttreci0"/>
        <w:jc w:val="both"/>
        <w:rPr>
          <w:lang w:val="pl-PL"/>
        </w:rPr>
      </w:pPr>
      <w:r>
        <w:rPr>
          <w:lang w:val="pl"/>
        </w:rPr>
        <w:t xml:space="preserve">Jednak subiektywny odbiór przez skarżącego nie wystarczy, aby móc stwierdzić, że skarżący poniósł znaczący uszczerbek. Subiektywny odbiór musi znaleźć obiektywne uzasadnienie </w:t>
      </w:r>
      <w:hyperlink r:id="rId1769" w:history="1">
        <w:r>
          <w:rPr>
            <w:lang w:val="pl"/>
          </w:rPr>
          <w:t>(</w:t>
        </w:r>
        <w:r>
          <w:rPr>
            <w:i/>
            <w:iCs/>
            <w:color w:val="0072BC"/>
            <w:lang w:val="pl"/>
          </w:rPr>
          <w:t xml:space="preserve">Ladygin p. Rosji </w:t>
        </w:r>
      </w:hyperlink>
      <w:r>
        <w:rPr>
          <w:lang w:val="pl"/>
        </w:rPr>
        <w:t xml:space="preserve">(dec.)). Naruszenie Konwencji może dotyczyć istotnych kwestii zasad i przez to spowodować znaczący uszczerbek niezależnie od interesu pieniężnego </w:t>
      </w:r>
      <w:hyperlink r:id="rId1770" w:history="1">
        <w:r>
          <w:rPr>
            <w:lang w:val="pl"/>
          </w:rPr>
          <w:t>(</w:t>
        </w:r>
        <w:r>
          <w:rPr>
            <w:i/>
            <w:iCs/>
            <w:color w:val="0072BC"/>
            <w:lang w:val="pl"/>
          </w:rPr>
          <w:t>Korolev p. Rosji</w:t>
        </w:r>
      </w:hyperlink>
      <w:r>
        <w:rPr>
          <w:color w:val="0072BC"/>
          <w:lang w:val="pl"/>
        </w:rPr>
        <w:t xml:space="preserve"> </w:t>
      </w:r>
      <w:r>
        <w:rPr>
          <w:lang w:val="pl"/>
        </w:rPr>
        <w:t>(dec.);</w:t>
      </w:r>
      <w:hyperlink r:id="rId1771" w:history="1">
        <w:r>
          <w:rPr>
            <w:i/>
            <w:iCs/>
            <w:lang w:val="pl"/>
          </w:rPr>
          <w:t xml:space="preserve"> </w:t>
        </w:r>
        <w:r>
          <w:rPr>
            <w:i/>
            <w:iCs/>
            <w:color w:val="0072BC"/>
            <w:lang w:val="pl"/>
          </w:rPr>
          <w:t>Biržietis p. Litwie</w:t>
        </w:r>
        <w:r>
          <w:rPr>
            <w:lang w:val="pl"/>
          </w:rPr>
          <w:t>;</w:t>
        </w:r>
      </w:hyperlink>
      <w:hyperlink r:id="rId1772" w:history="1">
        <w:r>
          <w:rPr>
            <w:i/>
            <w:iCs/>
            <w:lang w:val="pl"/>
          </w:rPr>
          <w:t xml:space="preserve"> </w:t>
        </w:r>
        <w:r w:rsidR="00F343C9">
          <w:rPr>
            <w:i/>
            <w:iCs/>
            <w:color w:val="0072BC"/>
            <w:lang w:val="pl"/>
          </w:rPr>
          <w:t>Karelin p. </w:t>
        </w:r>
        <w:r>
          <w:rPr>
            <w:i/>
            <w:iCs/>
            <w:color w:val="0072BC"/>
            <w:lang w:val="pl"/>
          </w:rPr>
          <w:t>Rosji</w:t>
        </w:r>
        <w:r>
          <w:rPr>
            <w:lang w:val="pl"/>
          </w:rPr>
          <w:t>)</w:t>
        </w:r>
      </w:hyperlink>
      <w:r>
        <w:rPr>
          <w:lang w:val="pl"/>
        </w:rPr>
        <w:t>. W sprawie</w:t>
      </w:r>
      <w:hyperlink r:id="rId1773" w:history="1">
        <w:r>
          <w:rPr>
            <w:lang w:val="pl"/>
          </w:rPr>
          <w:t xml:space="preserve"> </w:t>
        </w:r>
        <w:r>
          <w:rPr>
            <w:i/>
            <w:iCs/>
            <w:color w:val="0072BC"/>
            <w:lang w:val="pl"/>
          </w:rPr>
          <w:t>Giuran p. Rumunii</w:t>
        </w:r>
        <w:r>
          <w:rPr>
            <w:lang w:val="pl"/>
          </w:rPr>
          <w:t>,</w:t>
        </w:r>
      </w:hyperlink>
      <w:r>
        <w:rPr>
          <w:lang w:val="pl"/>
        </w:rPr>
        <w:t xml:space="preserve"> §§ 17-25, Trybunał uznał, że skarżący doznał znaczącego uszczerbku, ponieważ postępowanie dotyczyło kwestii, która dla niego była zasadnicza, tj. prawa do poszanowania własności i mieszkania. Stało się tak pomimo faktu, że postępowanie krajowe będące przedmiotem jego skargi miało na celu odzyskanie rzeczy o w</w:t>
      </w:r>
      <w:r w:rsidR="00F343C9">
        <w:rPr>
          <w:lang w:val="pl"/>
        </w:rPr>
        <w:t>artości 350 euro skradzionych z </w:t>
      </w:r>
      <w:r>
        <w:rPr>
          <w:lang w:val="pl"/>
        </w:rPr>
        <w:t>mieszkania skarżącego. Podobnie w sprawie</w:t>
      </w:r>
      <w:hyperlink r:id="rId1774" w:history="1">
        <w:r>
          <w:rPr>
            <w:i/>
            <w:iCs/>
            <w:lang w:val="pl"/>
          </w:rPr>
          <w:t xml:space="preserve"> </w:t>
        </w:r>
        <w:r>
          <w:rPr>
            <w:i/>
            <w:iCs/>
            <w:color w:val="0072BC"/>
            <w:lang w:val="pl"/>
          </w:rPr>
          <w:t>Konstantin Stefanov p. Bułgarii</w:t>
        </w:r>
        <w:r>
          <w:rPr>
            <w:lang w:val="pl"/>
          </w:rPr>
          <w:t>,</w:t>
        </w:r>
      </w:hyperlink>
      <w:r>
        <w:rPr>
          <w:lang w:val="pl"/>
        </w:rPr>
        <w:t xml:space="preserve"> §§ 46-47, Trybunał uwzględnił fakt, że grzywna dotyczyła kwestii zasadniczej dla skarżącego, tj. renomy, jaką cieszył się jako prawnik, kiedy wykonywał swoją pracę.</w:t>
      </w:r>
    </w:p>
    <w:p w:rsidR="00B71A20" w:rsidRPr="000625F6" w:rsidRDefault="000425B4" w:rsidP="00115011">
      <w:pPr>
        <w:pStyle w:val="Teksttreci0"/>
        <w:numPr>
          <w:ilvl w:val="0"/>
          <w:numId w:val="97"/>
        </w:numPr>
        <w:tabs>
          <w:tab w:val="left" w:pos="519"/>
        </w:tabs>
        <w:spacing w:after="220"/>
        <w:jc w:val="both"/>
        <w:rPr>
          <w:lang w:val="pl-PL"/>
        </w:rPr>
      </w:pPr>
      <w:r>
        <w:rPr>
          <w:lang w:val="pl"/>
        </w:rPr>
        <w:t xml:space="preserve">Ponadto, oceniając subiektywne znaczenie sprawy dla skarżącego, Trybunał może wziąć pod uwagę zachowanie skarżącego, na przykład brak aktywności z jego strony przez pewien czas w toku postępowania sądowego, co w danym przypadku świadczyło o tym, że postępowanie nie miało znaczenia dla skarżącej </w:t>
      </w:r>
      <w:hyperlink r:id="rId1775" w:history="1">
        <w:r>
          <w:rPr>
            <w:lang w:val="pl"/>
          </w:rPr>
          <w:t>(</w:t>
        </w:r>
        <w:r>
          <w:rPr>
            <w:i/>
            <w:iCs/>
            <w:color w:val="0072BC"/>
            <w:lang w:val="pl"/>
          </w:rPr>
          <w:t xml:space="preserve">Shefer p. Rosji </w:t>
        </w:r>
      </w:hyperlink>
      <w:r>
        <w:rPr>
          <w:lang w:val="pl"/>
        </w:rPr>
        <w:t>(dec.)). W sprawie</w:t>
      </w:r>
      <w:hyperlink r:id="rId1776" w:history="1">
        <w:r>
          <w:rPr>
            <w:lang w:val="pl"/>
          </w:rPr>
          <w:t xml:space="preserve"> </w:t>
        </w:r>
        <w:r>
          <w:rPr>
            <w:i/>
            <w:iCs/>
            <w:color w:val="0072BC"/>
            <w:lang w:val="pl"/>
          </w:rPr>
          <w:t>Giusti p. Włochom</w:t>
        </w:r>
        <w:r>
          <w:rPr>
            <w:lang w:val="pl"/>
          </w:rPr>
          <w:t>,</w:t>
        </w:r>
      </w:hyperlink>
      <w:r>
        <w:rPr>
          <w:lang w:val="pl"/>
        </w:rPr>
        <w:t xml:space="preserve"> §§ 22-36, Trybunał wprowadził pewne nowe elementy do uwzględnienia przy ustalaniu minimum ciężkości uzasadniającej zbadanie sprawy przez trybunał międzynarodowy, a mianowicie charakter rzekomo naruszonego prawa, ciężar zaskarżonego naruszenia lub potencjalne konsekwencje naruszenia dla </w:t>
      </w:r>
      <w:bookmarkStart w:id="331" w:name="bookmark335"/>
      <w:r>
        <w:rPr>
          <w:lang w:val="pl"/>
        </w:rPr>
        <w:t>sytuacji osobistej skarżącego. Oceniając te konsekwencje, Trybunał zbada w szczególności, czego sprawa dotyczy lub jaki był wynik postępowania krajowego.</w:t>
      </w:r>
      <w:bookmarkEnd w:id="331"/>
    </w:p>
    <w:p w:rsidR="00B71A20" w:rsidRPr="00AD0ADE" w:rsidRDefault="00AD0ADE" w:rsidP="00AD0ADE">
      <w:pPr>
        <w:pStyle w:val="Nagwek41"/>
        <w:keepNext/>
        <w:keepLines/>
        <w:spacing w:after="120"/>
        <w:jc w:val="both"/>
        <w:rPr>
          <w:lang w:val="pl-PL"/>
        </w:rPr>
      </w:pPr>
      <w:bookmarkStart w:id="332" w:name="_Toc126335705"/>
      <w:bookmarkStart w:id="333" w:name="_Toc126660664"/>
      <w:r>
        <w:rPr>
          <w:lang w:val="pl"/>
        </w:rPr>
        <w:t xml:space="preserve">a.  </w:t>
      </w:r>
      <w:r w:rsidR="000425B4">
        <w:rPr>
          <w:lang w:val="pl"/>
        </w:rPr>
        <w:t>Brak znaczącego uszczerbku finansowego</w:t>
      </w:r>
      <w:bookmarkEnd w:id="332"/>
      <w:bookmarkEnd w:id="333"/>
    </w:p>
    <w:p w:rsidR="00B71A20" w:rsidRPr="000625F6" w:rsidRDefault="000425B4" w:rsidP="0007621D">
      <w:pPr>
        <w:pStyle w:val="Teksttreci0"/>
        <w:numPr>
          <w:ilvl w:val="0"/>
          <w:numId w:val="97"/>
        </w:numPr>
        <w:tabs>
          <w:tab w:val="left" w:pos="539"/>
        </w:tabs>
        <w:spacing w:after="120"/>
        <w:jc w:val="both"/>
        <w:rPr>
          <w:lang w:val="pl-PL"/>
        </w:rPr>
      </w:pPr>
      <w:r>
        <w:rPr>
          <w:lang w:val="pl"/>
        </w:rPr>
        <w:t>W wielu przypadkach ciężar naruszenia jest oceniany w świetle skutku finansowego przedmiotu sporu oraz znaczenia sprawy dla skarżącego. Skutek finansowy nie jest oceniany jedynie w świetle szkody niemajątkowej zarzucanej przez skarżącego. W sprawie</w:t>
      </w:r>
      <w:hyperlink r:id="rId1777" w:history="1">
        <w:r>
          <w:rPr>
            <w:i/>
            <w:iCs/>
            <w:lang w:val="pl"/>
          </w:rPr>
          <w:t xml:space="preserve"> </w:t>
        </w:r>
        <w:r>
          <w:rPr>
            <w:i/>
            <w:iCs/>
            <w:color w:val="0072BC"/>
            <w:lang w:val="pl"/>
          </w:rPr>
          <w:t>Kiousi p. Grecji</w:t>
        </w:r>
      </w:hyperlink>
      <w:r>
        <w:rPr>
          <w:color w:val="0072BC"/>
          <w:lang w:val="pl"/>
        </w:rPr>
        <w:t xml:space="preserve"> </w:t>
      </w:r>
      <w:r>
        <w:rPr>
          <w:lang w:val="pl"/>
        </w:rPr>
        <w:t xml:space="preserve">(dec.) Trybunał orzekł, że wartość szkody niemajątkowej dochodzona przez skarżącego, czyli 1000 euro, nie miała znaczenia dla obliczenia, co rzeczywiście stanowiło istotę sprawy dla skarżącego. Stało się tak dlatego, że wartość </w:t>
      </w:r>
      <w:r>
        <w:rPr>
          <w:lang w:val="pl"/>
        </w:rPr>
        <w:lastRenderedPageBreak/>
        <w:t>szkody niemajątkowej jest często obliczana przez samych skarżących na podstawie ich własnych domysłów dotyczących wartości sporu.</w:t>
      </w:r>
    </w:p>
    <w:p w:rsidR="00B71A20" w:rsidRPr="000625F6" w:rsidRDefault="000425B4" w:rsidP="0007621D">
      <w:pPr>
        <w:pStyle w:val="Teksttreci0"/>
        <w:numPr>
          <w:ilvl w:val="0"/>
          <w:numId w:val="97"/>
        </w:numPr>
        <w:tabs>
          <w:tab w:val="left" w:pos="539"/>
        </w:tabs>
        <w:spacing w:after="120"/>
        <w:jc w:val="both"/>
        <w:rPr>
          <w:lang w:val="pl-PL"/>
        </w:rPr>
      </w:pPr>
      <w:r>
        <w:rPr>
          <w:lang w:val="pl"/>
        </w:rPr>
        <w:t>Jeśli chodzi o nieznaczący skutek finansowy, Trybunał dotychczas stwierdził brak „znaczącego uszczerbku” w następujących sprawach, gdzie odnośna kwota wynosiła ok. 500 euro lub mniej:</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postępowania, w którym kwota będąca przedmiotem sporu wynosiła 90 euro </w:t>
      </w:r>
      <w:hyperlink r:id="rId1778" w:history="1">
        <w:r>
          <w:rPr>
            <w:lang w:val="pl"/>
          </w:rPr>
          <w:t>(</w:t>
        </w:r>
        <w:r>
          <w:rPr>
            <w:i/>
            <w:iCs/>
            <w:color w:val="0072BC"/>
            <w:lang w:val="pl"/>
          </w:rPr>
          <w:t>Ionescu</w:t>
        </w:r>
      </w:hyperlink>
      <w:r>
        <w:rPr>
          <w:i/>
          <w:iCs/>
          <w:color w:val="0072BC"/>
          <w:lang w:val="pl"/>
        </w:rPr>
        <w:t xml:space="preserve"> </w:t>
      </w:r>
      <w:hyperlink r:id="rId1779" w:history="1">
        <w:r>
          <w:rPr>
            <w:i/>
            <w:iCs/>
            <w:color w:val="0072BC"/>
            <w:lang w:val="pl"/>
          </w:rPr>
          <w:t xml:space="preserve">p. Rumunii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niezapłacenia skarżącemu przez władze kwoty stanowiącej równowartość mniej niż jednego euro </w:t>
      </w:r>
      <w:hyperlink r:id="rId1780" w:history="1">
        <w:r>
          <w:rPr>
            <w:lang w:val="pl"/>
          </w:rPr>
          <w:t>(</w:t>
        </w:r>
        <w:r>
          <w:rPr>
            <w:i/>
            <w:iCs/>
            <w:color w:val="0072BC"/>
            <w:lang w:val="pl"/>
          </w:rPr>
          <w:t>Korolev p. Rosji</w:t>
        </w:r>
        <w:r>
          <w:rPr>
            <w:color w:val="0072BC"/>
            <w:lang w:val="pl"/>
          </w:rPr>
          <w:t xml:space="preserve">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niezapłacenia skarżącemu przez władze kwoty wynoszącej ok. 12 euro </w:t>
      </w:r>
      <w:hyperlink r:id="rId1781" w:history="1">
        <w:r>
          <w:rPr>
            <w:lang w:val="pl"/>
          </w:rPr>
          <w:t>(</w:t>
        </w:r>
        <w:r>
          <w:rPr>
            <w:i/>
            <w:iCs/>
            <w:color w:val="0072BC"/>
            <w:lang w:val="pl"/>
          </w:rPr>
          <w:t>Vasilchenko p. Rosji</w:t>
        </w:r>
        <w:r>
          <w:rPr>
            <w:lang w:val="pl"/>
          </w:rPr>
          <w:t>,</w:t>
        </w:r>
      </w:hyperlink>
      <w:r w:rsidR="00FA223A">
        <w:rPr>
          <w:lang w:val="pl"/>
        </w:rPr>
        <w:t xml:space="preserve"> § 49);</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mandatu drogowego w wysokości 150 euro i przypisania do prawa jazdy skarżącego jednego punktu karnego </w:t>
      </w:r>
      <w:hyperlink r:id="rId1782" w:history="1">
        <w:r>
          <w:rPr>
            <w:lang w:val="pl"/>
          </w:rPr>
          <w:t>(</w:t>
        </w:r>
        <w:r>
          <w:rPr>
            <w:i/>
            <w:iCs/>
            <w:color w:val="0072BC"/>
            <w:lang w:val="pl"/>
          </w:rPr>
          <w:t xml:space="preserve">Rinck p. Francji </w:t>
        </w:r>
      </w:hyperlink>
      <w:r w:rsidR="00FA223A">
        <w:rPr>
          <w:lang w:val="pl"/>
        </w:rPr>
        <w:t>(dec.));</w:t>
      </w:r>
    </w:p>
    <w:p w:rsidR="00B71A20" w:rsidRPr="000625F6" w:rsidRDefault="000425B4" w:rsidP="00115011">
      <w:pPr>
        <w:pStyle w:val="Teksttreci0"/>
        <w:numPr>
          <w:ilvl w:val="0"/>
          <w:numId w:val="99"/>
        </w:numPr>
        <w:tabs>
          <w:tab w:val="left" w:pos="883"/>
        </w:tabs>
        <w:spacing w:after="60" w:line="276" w:lineRule="auto"/>
        <w:ind w:firstLine="600"/>
        <w:jc w:val="both"/>
        <w:rPr>
          <w:lang w:val="pl-PL"/>
        </w:rPr>
      </w:pPr>
      <w:r>
        <w:rPr>
          <w:lang w:val="pl"/>
        </w:rPr>
        <w:t xml:space="preserve">opóźnienie wypłaty 25 euro </w:t>
      </w:r>
      <w:hyperlink r:id="rId1783" w:history="1">
        <w:r>
          <w:rPr>
            <w:lang w:val="pl"/>
          </w:rPr>
          <w:t>(</w:t>
        </w:r>
        <w:r>
          <w:rPr>
            <w:i/>
            <w:iCs/>
            <w:color w:val="0072BC"/>
            <w:lang w:val="pl"/>
          </w:rPr>
          <w:t xml:space="preserve">Gaftoniuc p. Rumunii </w:t>
        </w:r>
      </w:hyperlink>
      <w:r w:rsidR="00FA223A">
        <w:rPr>
          <w:lang w:val="pl"/>
        </w:rPr>
        <w:t>(dec.));</w:t>
      </w:r>
    </w:p>
    <w:p w:rsidR="00B71A20" w:rsidRPr="000625F6" w:rsidRDefault="000425B4" w:rsidP="00115011">
      <w:pPr>
        <w:pStyle w:val="Teksttreci0"/>
        <w:numPr>
          <w:ilvl w:val="0"/>
          <w:numId w:val="99"/>
        </w:numPr>
        <w:tabs>
          <w:tab w:val="left" w:pos="883"/>
        </w:tabs>
        <w:spacing w:after="60" w:line="276" w:lineRule="auto"/>
        <w:ind w:firstLine="600"/>
        <w:jc w:val="both"/>
        <w:rPr>
          <w:lang w:val="pl-PL"/>
        </w:rPr>
      </w:pPr>
      <w:r>
        <w:rPr>
          <w:lang w:val="pl"/>
        </w:rPr>
        <w:t xml:space="preserve">brak zwrotu 125 euro </w:t>
      </w:r>
      <w:hyperlink r:id="rId1784" w:history="1">
        <w:r>
          <w:rPr>
            <w:lang w:val="pl"/>
          </w:rPr>
          <w:t>(</w:t>
        </w:r>
        <w:r>
          <w:rPr>
            <w:i/>
            <w:iCs/>
            <w:color w:val="0072BC"/>
            <w:lang w:val="pl"/>
          </w:rPr>
          <w:t xml:space="preserve">Ştefănescu p. Rumunii </w:t>
        </w:r>
      </w:hyperlink>
      <w:r w:rsidR="00FA223A">
        <w:rPr>
          <w:lang w:val="pl"/>
        </w:rPr>
        <w:t>(dec.));</w:t>
      </w:r>
    </w:p>
    <w:p w:rsidR="00B71A20" w:rsidRPr="000625F6" w:rsidRDefault="000425B4" w:rsidP="00115011">
      <w:pPr>
        <w:pStyle w:val="Teksttreci0"/>
        <w:numPr>
          <w:ilvl w:val="0"/>
          <w:numId w:val="99"/>
        </w:numPr>
        <w:tabs>
          <w:tab w:val="left" w:pos="883"/>
        </w:tabs>
        <w:spacing w:after="60" w:line="276" w:lineRule="auto"/>
        <w:ind w:firstLine="600"/>
        <w:jc w:val="both"/>
        <w:rPr>
          <w:lang w:val="pl-PL"/>
        </w:rPr>
      </w:pPr>
      <w:r>
        <w:rPr>
          <w:lang w:val="pl"/>
        </w:rPr>
        <w:t xml:space="preserve">niezapłacenie skarżącemu przez władze państwowe 12 euro </w:t>
      </w:r>
      <w:hyperlink r:id="rId1785" w:history="1">
        <w:r>
          <w:rPr>
            <w:lang w:val="pl"/>
          </w:rPr>
          <w:t>(</w:t>
        </w:r>
        <w:r>
          <w:rPr>
            <w:i/>
            <w:iCs/>
            <w:color w:val="0072BC"/>
            <w:lang w:val="pl"/>
          </w:rPr>
          <w:t xml:space="preserve">Fedotov p. Mołdawii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niezapłacenie skarżącemu przez władze państwowe 107 euro plus koszty i wydatki w kwocie 121 euro, czyli w sumie 228 euro </w:t>
      </w:r>
      <w:hyperlink r:id="rId1786" w:history="1">
        <w:r>
          <w:rPr>
            <w:lang w:val="pl"/>
          </w:rPr>
          <w:t>(</w:t>
        </w:r>
        <w:r>
          <w:rPr>
            <w:i/>
            <w:iCs/>
            <w:color w:val="0072BC"/>
            <w:lang w:val="pl"/>
          </w:rPr>
          <w:t xml:space="preserve">Burov p. Mołdawii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kary w wysokości 135 euro, kosztów na kwotę 22 euro i jednego punktu karnego przypisanego do prawa jazdy skarżącego </w:t>
      </w:r>
      <w:hyperlink r:id="rId1787" w:history="1">
        <w:r>
          <w:rPr>
            <w:lang w:val="pl"/>
          </w:rPr>
          <w:t>(</w:t>
        </w:r>
        <w:r>
          <w:rPr>
            <w:i/>
            <w:iCs/>
            <w:color w:val="0072BC"/>
            <w:lang w:val="pl"/>
          </w:rPr>
          <w:t xml:space="preserve">Fernandez p. Francji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w której Trybunał stwierdził, że wysokość dochodzonego odszkodowania wynosiła 504 euro </w:t>
      </w:r>
      <w:hyperlink r:id="rId1788" w:history="1">
        <w:r>
          <w:rPr>
            <w:lang w:val="pl"/>
          </w:rPr>
          <w:t>(</w:t>
        </w:r>
        <w:r>
          <w:rPr>
            <w:i/>
            <w:iCs/>
            <w:color w:val="0072BC"/>
            <w:lang w:val="pl"/>
          </w:rPr>
          <w:t xml:space="preserve">Kiousi p. Grecji </w:t>
        </w:r>
      </w:hyperlink>
      <w:r w:rsidR="00FA223A">
        <w:rPr>
          <w:lang w:val="pl"/>
        </w:rPr>
        <w:t>(dec.));</w:t>
      </w:r>
    </w:p>
    <w:p w:rsidR="00B71A20" w:rsidRPr="000625F6" w:rsidRDefault="000425B4" w:rsidP="00115011">
      <w:pPr>
        <w:pStyle w:val="Teksttreci0"/>
        <w:numPr>
          <w:ilvl w:val="0"/>
          <w:numId w:val="99"/>
        </w:numPr>
        <w:tabs>
          <w:tab w:val="left" w:pos="883"/>
        </w:tabs>
        <w:spacing w:after="60"/>
        <w:ind w:left="880" w:hanging="280"/>
        <w:jc w:val="both"/>
        <w:rPr>
          <w:lang w:val="pl-PL"/>
        </w:rPr>
      </w:pPr>
      <w:r>
        <w:rPr>
          <w:lang w:val="pl"/>
        </w:rPr>
        <w:t xml:space="preserve">w sprawie, w której pierwotne roszczenie na kwotę 99 euro wniesione przez skarżącego przeciwko reprezentującemu go adwokatowi było rozpatrywane razem z faktem, że zasądzono na jego korzyść kwotę stanowiącą równowartość 1515 euro za długość postępowania dotyczącego przedmiotu skargi </w:t>
      </w:r>
      <w:hyperlink r:id="rId1789" w:history="1">
        <w:r>
          <w:rPr>
            <w:lang w:val="pl"/>
          </w:rPr>
          <w:t>(</w:t>
        </w:r>
        <w:r>
          <w:rPr>
            <w:i/>
            <w:iCs/>
            <w:color w:val="0072BC"/>
            <w:lang w:val="pl"/>
          </w:rPr>
          <w:t xml:space="preserve">Havelka p. Czechom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zaległych wynagrodzeń na kwotę stanowiącą równowartość ok. 200 euro </w:t>
      </w:r>
      <w:hyperlink r:id="rId1790" w:history="1">
        <w:r>
          <w:rPr>
            <w:lang w:val="pl"/>
          </w:rPr>
          <w:t>(</w:t>
        </w:r>
        <w:r>
          <w:rPr>
            <w:i/>
            <w:iCs/>
            <w:color w:val="0072BC"/>
            <w:lang w:val="pl"/>
          </w:rPr>
          <w:t>Guruyan</w:t>
        </w:r>
      </w:hyperlink>
      <w:r>
        <w:rPr>
          <w:i/>
          <w:iCs/>
          <w:color w:val="0072BC"/>
          <w:lang w:val="pl"/>
        </w:rPr>
        <w:t xml:space="preserve"> </w:t>
      </w:r>
      <w:hyperlink r:id="rId1791" w:history="1">
        <w:r>
          <w:rPr>
            <w:i/>
            <w:iCs/>
            <w:color w:val="0072BC"/>
            <w:lang w:val="pl"/>
          </w:rPr>
          <w:t xml:space="preserve">p. Armenii </w:t>
        </w:r>
      </w:hyperlink>
      <w:r w:rsidR="00FA223A">
        <w:rPr>
          <w:lang w:val="pl"/>
        </w:rPr>
        <w:t>(dec.));</w:t>
      </w:r>
    </w:p>
    <w:p w:rsidR="00B71A20" w:rsidRPr="000625F6" w:rsidRDefault="000425B4" w:rsidP="00115011">
      <w:pPr>
        <w:pStyle w:val="Teksttreci0"/>
        <w:numPr>
          <w:ilvl w:val="0"/>
          <w:numId w:val="99"/>
        </w:numPr>
        <w:tabs>
          <w:tab w:val="left" w:pos="883"/>
        </w:tabs>
        <w:spacing w:after="60" w:line="276" w:lineRule="auto"/>
        <w:ind w:firstLine="600"/>
        <w:jc w:val="both"/>
        <w:rPr>
          <w:lang w:val="pl-PL"/>
        </w:rPr>
      </w:pPr>
      <w:r>
        <w:rPr>
          <w:lang w:val="pl"/>
        </w:rPr>
        <w:t xml:space="preserve">w sprawie dotyczącej wydatków na kwotę 227 euro </w:t>
      </w:r>
      <w:hyperlink r:id="rId1792" w:history="1">
        <w:r>
          <w:rPr>
            <w:lang w:val="pl"/>
          </w:rPr>
          <w:t>(</w:t>
        </w:r>
        <w:r>
          <w:rPr>
            <w:i/>
            <w:iCs/>
            <w:color w:val="0072BC"/>
            <w:lang w:val="pl"/>
          </w:rPr>
          <w:t xml:space="preserve">Šumbera p. Czechom </w:t>
        </w:r>
      </w:hyperlink>
      <w:r w:rsidR="00FA223A">
        <w:rPr>
          <w:lang w:val="pl"/>
        </w:rPr>
        <w:t>(dec.));</w:t>
      </w:r>
    </w:p>
    <w:p w:rsidR="00B71A20" w:rsidRPr="000625F6" w:rsidRDefault="000425B4" w:rsidP="00115011">
      <w:pPr>
        <w:pStyle w:val="Teksttreci0"/>
        <w:numPr>
          <w:ilvl w:val="0"/>
          <w:numId w:val="99"/>
        </w:numPr>
        <w:tabs>
          <w:tab w:val="left" w:pos="883"/>
        </w:tabs>
        <w:spacing w:after="60" w:line="276" w:lineRule="auto"/>
        <w:ind w:firstLine="600"/>
        <w:jc w:val="both"/>
        <w:rPr>
          <w:lang w:val="pl-PL"/>
        </w:rPr>
      </w:pPr>
      <w:r>
        <w:rPr>
          <w:lang w:val="pl"/>
        </w:rPr>
        <w:t xml:space="preserve">w sprawie dotyczącej wykonania wyroku na kwotę 34 euro </w:t>
      </w:r>
      <w:hyperlink r:id="rId1793" w:history="1">
        <w:r>
          <w:rPr>
            <w:lang w:val="pl"/>
          </w:rPr>
          <w:t>(</w:t>
        </w:r>
        <w:r>
          <w:rPr>
            <w:i/>
            <w:iCs/>
            <w:color w:val="0072BC"/>
            <w:lang w:val="pl"/>
          </w:rPr>
          <w:t xml:space="preserve">Shefer p. Rosji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w sprawie dotyczącej zadośćuczynienia w wysokości 445 euro za odcięcie dopływu prądu </w:t>
      </w:r>
      <w:hyperlink r:id="rId1794" w:history="1">
        <w:r>
          <w:rPr>
            <w:lang w:val="pl"/>
          </w:rPr>
          <w:t>(</w:t>
        </w:r>
        <w:r>
          <w:rPr>
            <w:i/>
            <w:iCs/>
            <w:color w:val="0072BC"/>
            <w:lang w:val="pl"/>
          </w:rPr>
          <w:t xml:space="preserve">Bazelyuk p. Ukrainie </w:t>
        </w:r>
      </w:hyperlink>
      <w:r w:rsidR="00FA223A">
        <w:rPr>
          <w:lang w:val="pl"/>
        </w:rPr>
        <w:t>(dec.));</w:t>
      </w:r>
    </w:p>
    <w:p w:rsidR="00B71A20" w:rsidRPr="000625F6" w:rsidRDefault="000425B4" w:rsidP="002E4DC2">
      <w:pPr>
        <w:pStyle w:val="Teksttreci0"/>
        <w:numPr>
          <w:ilvl w:val="0"/>
          <w:numId w:val="99"/>
        </w:numPr>
        <w:spacing w:after="60" w:line="276" w:lineRule="auto"/>
        <w:ind w:left="879" w:hanging="278"/>
        <w:jc w:val="both"/>
        <w:rPr>
          <w:lang w:val="pl-PL"/>
        </w:rPr>
      </w:pPr>
      <w:r>
        <w:rPr>
          <w:lang w:val="pl"/>
        </w:rPr>
        <w:t xml:space="preserve">w sprawie dotyczącej kar administracyjnych w wysokości 50 euro </w:t>
      </w:r>
      <w:hyperlink r:id="rId1795" w:history="1">
        <w:r>
          <w:rPr>
            <w:lang w:val="pl"/>
          </w:rPr>
          <w:t>(</w:t>
        </w:r>
        <w:r>
          <w:rPr>
            <w:i/>
            <w:iCs/>
            <w:color w:val="0072BC"/>
            <w:lang w:val="pl"/>
          </w:rPr>
          <w:t xml:space="preserve">Boelens i Inni p. Belgii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gdzie roszczenia dotyczyły wynagrodzenia w wysokości od 98 do 137 euro plus odsetki za zwłokę </w:t>
      </w:r>
      <w:hyperlink r:id="rId1796" w:history="1">
        <w:r>
          <w:rPr>
            <w:lang w:val="pl"/>
          </w:rPr>
          <w:t>(</w:t>
        </w:r>
        <w:r>
          <w:rPr>
            <w:i/>
            <w:iCs/>
            <w:color w:val="0072BC"/>
            <w:lang w:val="pl"/>
          </w:rPr>
          <w:t xml:space="preserve">Hudecová i Inni p. Słowacji </w:t>
        </w:r>
      </w:hyperlink>
      <w:r w:rsidR="00FA223A">
        <w:rPr>
          <w:lang w:val="pl"/>
        </w:rPr>
        <w:t>(dec.));</w:t>
      </w:r>
    </w:p>
    <w:p w:rsidR="00B71A20" w:rsidRPr="000625F6" w:rsidRDefault="000425B4" w:rsidP="00115011">
      <w:pPr>
        <w:pStyle w:val="Teksttreci0"/>
        <w:numPr>
          <w:ilvl w:val="0"/>
          <w:numId w:val="99"/>
        </w:numPr>
        <w:tabs>
          <w:tab w:val="left" w:pos="883"/>
        </w:tabs>
        <w:spacing w:after="60" w:line="257" w:lineRule="auto"/>
        <w:ind w:left="880" w:hanging="280"/>
        <w:jc w:val="both"/>
        <w:rPr>
          <w:lang w:val="pl-PL"/>
        </w:rPr>
      </w:pPr>
      <w:r>
        <w:rPr>
          <w:lang w:val="pl"/>
        </w:rPr>
        <w:t xml:space="preserve">brak wyegzekwowania decyzji dotyczących przyznania względnie niewielkich kwot, od 29 do 62 euro </w:t>
      </w:r>
      <w:hyperlink r:id="rId1797" w:history="1">
        <w:r>
          <w:rPr>
            <w:lang w:val="pl"/>
          </w:rPr>
          <w:t>(</w:t>
        </w:r>
        <w:r>
          <w:rPr>
            <w:i/>
            <w:iCs/>
            <w:color w:val="0072BC"/>
            <w:lang w:val="pl"/>
          </w:rPr>
          <w:t>Shtefan</w:t>
        </w:r>
      </w:hyperlink>
      <w:r>
        <w:rPr>
          <w:i/>
          <w:iCs/>
          <w:color w:val="0072BC"/>
          <w:lang w:val="pl"/>
        </w:rPr>
        <w:t xml:space="preserve"> </w:t>
      </w:r>
      <w:hyperlink r:id="rId1798" w:history="1">
        <w:r>
          <w:rPr>
            <w:i/>
            <w:iCs/>
            <w:color w:val="0072BC"/>
            <w:lang w:val="pl"/>
          </w:rPr>
          <w:t>i Inni p. Ukrainie</w:t>
        </w:r>
        <w:r>
          <w:rPr>
            <w:lang w:val="pl"/>
          </w:rPr>
          <w:t>;</w:t>
        </w:r>
      </w:hyperlink>
      <w:hyperlink r:id="rId1799" w:history="1">
        <w:r>
          <w:rPr>
            <w:i/>
            <w:iCs/>
            <w:lang w:val="pl"/>
          </w:rPr>
          <w:t xml:space="preserve"> </w:t>
        </w:r>
        <w:r>
          <w:rPr>
            <w:i/>
            <w:iCs/>
            <w:color w:val="0072BC"/>
            <w:lang w:val="pl"/>
          </w:rPr>
          <w:t>Shchukin i Inni p. Ukrainie</w:t>
        </w:r>
        <w:r>
          <w:rPr>
            <w:lang w:val="pl"/>
          </w:rPr>
          <w:t>)</w:t>
        </w:r>
      </w:hyperlink>
      <w:r w:rsidR="00FA223A">
        <w:rPr>
          <w:lang w:val="pl"/>
        </w:rPr>
        <w:t>;</w:t>
      </w:r>
    </w:p>
    <w:p w:rsidR="00B71A20" w:rsidRPr="000625F6" w:rsidRDefault="000425B4" w:rsidP="00115011">
      <w:pPr>
        <w:pStyle w:val="Teksttreci0"/>
        <w:numPr>
          <w:ilvl w:val="0"/>
          <w:numId w:val="99"/>
        </w:numPr>
        <w:tabs>
          <w:tab w:val="left" w:pos="883"/>
        </w:tabs>
        <w:spacing w:after="60"/>
        <w:ind w:left="880" w:hanging="280"/>
        <w:jc w:val="both"/>
        <w:rPr>
          <w:lang w:val="pl-PL"/>
        </w:rPr>
      </w:pPr>
      <w:r>
        <w:rPr>
          <w:lang w:val="pl"/>
        </w:rPr>
        <w:t xml:space="preserve">w sprawie dotyczącej kar administracyjnych w wysokości 35 i 31 euro </w:t>
      </w:r>
      <w:hyperlink r:id="rId1800" w:history="1">
        <w:r>
          <w:rPr>
            <w:lang w:val="pl"/>
          </w:rPr>
          <w:t>(</w:t>
        </w:r>
        <w:r w:rsidR="00F343C9">
          <w:rPr>
            <w:i/>
            <w:iCs/>
            <w:color w:val="0072BC"/>
            <w:lang w:val="pl"/>
          </w:rPr>
          <w:t>Şimşek, Andiç i </w:t>
        </w:r>
        <w:r>
          <w:rPr>
            <w:i/>
            <w:iCs/>
            <w:color w:val="0072BC"/>
            <w:lang w:val="pl"/>
          </w:rPr>
          <w:t>Boğatekin</w:t>
        </w:r>
      </w:hyperlink>
      <w:r>
        <w:rPr>
          <w:color w:val="0072BC"/>
          <w:lang w:val="pl"/>
        </w:rPr>
        <w:t xml:space="preserve"> </w:t>
      </w:r>
      <w:hyperlink r:id="rId1801" w:history="1">
        <w:r>
          <w:rPr>
            <w:i/>
            <w:iCs/>
            <w:color w:val="0072BC"/>
            <w:lang w:val="pl"/>
          </w:rPr>
          <w:t xml:space="preserve">p. Turcji </w:t>
        </w:r>
      </w:hyperlink>
      <w:r w:rsidR="00FA223A">
        <w:rPr>
          <w:lang w:val="pl"/>
        </w:rPr>
        <w:t>(dec.), §§ 26-29);</w:t>
      </w:r>
    </w:p>
    <w:p w:rsidR="00B71A20" w:rsidRPr="000625F6" w:rsidRDefault="000425B4" w:rsidP="00115011">
      <w:pPr>
        <w:pStyle w:val="Teksttreci0"/>
        <w:numPr>
          <w:ilvl w:val="0"/>
          <w:numId w:val="99"/>
        </w:numPr>
        <w:tabs>
          <w:tab w:val="left" w:pos="883"/>
        </w:tabs>
        <w:ind w:left="880" w:hanging="280"/>
        <w:jc w:val="both"/>
        <w:rPr>
          <w:lang w:val="pl-PL"/>
        </w:rPr>
      </w:pPr>
      <w:r>
        <w:rPr>
          <w:lang w:val="pl"/>
        </w:rPr>
        <w:t xml:space="preserve">zajęcie na okres ponad czterech i pół roku udziałów w spółce, których łączna wartość nominalna wynosiła dwa ruble, tj. niespełna 0,50 euro </w:t>
      </w:r>
      <w:hyperlink r:id="rId1802" w:history="1">
        <w:r>
          <w:rPr>
            <w:lang w:val="pl"/>
          </w:rPr>
          <w:t>(</w:t>
        </w:r>
        <w:r>
          <w:rPr>
            <w:i/>
            <w:iCs/>
            <w:color w:val="0072BC"/>
            <w:lang w:val="pl"/>
          </w:rPr>
          <w:t>Sebeleva i Inni</w:t>
        </w:r>
      </w:hyperlink>
      <w:r>
        <w:rPr>
          <w:i/>
          <w:iCs/>
          <w:color w:val="0072BC"/>
          <w:lang w:val="pl"/>
        </w:rPr>
        <w:t xml:space="preserve"> </w:t>
      </w:r>
      <w:hyperlink r:id="rId1803" w:history="1">
        <w:r>
          <w:rPr>
            <w:i/>
            <w:iCs/>
            <w:color w:val="0072BC"/>
            <w:lang w:val="pl"/>
          </w:rPr>
          <w:t>p. Rosji</w:t>
        </w:r>
      </w:hyperlink>
      <w:r>
        <w:rPr>
          <w:lang w:val="pl"/>
        </w:rPr>
        <w:t>, §§ 42-43).</w:t>
      </w:r>
    </w:p>
    <w:p w:rsidR="00B71A20" w:rsidRPr="000625F6" w:rsidRDefault="000425B4" w:rsidP="0007621D">
      <w:pPr>
        <w:pStyle w:val="Teksttreci0"/>
        <w:numPr>
          <w:ilvl w:val="0"/>
          <w:numId w:val="97"/>
        </w:numPr>
        <w:tabs>
          <w:tab w:val="left" w:pos="505"/>
        </w:tabs>
        <w:jc w:val="both"/>
        <w:rPr>
          <w:lang w:val="pl-PL"/>
        </w:rPr>
      </w:pPr>
      <w:r>
        <w:rPr>
          <w:lang w:val="pl"/>
        </w:rPr>
        <w:t>W sprawie</w:t>
      </w:r>
      <w:hyperlink r:id="rId1804" w:history="1">
        <w:r>
          <w:rPr>
            <w:i/>
            <w:iCs/>
            <w:lang w:val="pl"/>
          </w:rPr>
          <w:t xml:space="preserve"> </w:t>
        </w:r>
        <w:r>
          <w:rPr>
            <w:i/>
            <w:iCs/>
            <w:color w:val="0072BC"/>
            <w:lang w:val="pl"/>
          </w:rPr>
          <w:t xml:space="preserve">Havelka p. Czechom </w:t>
        </w:r>
      </w:hyperlink>
      <w:r>
        <w:rPr>
          <w:lang w:val="pl"/>
        </w:rPr>
        <w:t>(dec.) Trybunał wziął pod uwagę f</w:t>
      </w:r>
      <w:r w:rsidR="00F343C9">
        <w:rPr>
          <w:lang w:val="pl"/>
        </w:rPr>
        <w:t>akt, że zasądzonej kwoty 1515 </w:t>
      </w:r>
      <w:r>
        <w:rPr>
          <w:lang w:val="pl"/>
        </w:rPr>
        <w:t xml:space="preserve">euro nie można było w wąskim ujęciu uznać za stanowiącą właściwy środek naprawczy </w:t>
      </w:r>
      <w:r>
        <w:rPr>
          <w:lang w:val="pl"/>
        </w:rPr>
        <w:lastRenderedPageBreak/>
        <w:t>w</w:t>
      </w:r>
      <w:r w:rsidR="00BA42E1">
        <w:rPr>
          <w:lang w:val="pl"/>
        </w:rPr>
        <w:t> </w:t>
      </w:r>
      <w:r>
        <w:rPr>
          <w:lang w:val="pl"/>
        </w:rPr>
        <w:t>odpowiedniej wysokości w myśl orzecznictwa Trybunału, jednakże nie odbiegała ona od stosownego słusznego zadośćuczynienia w odpowiedniej wysokości na tyle, aby skarżący doznał znaczącego uszczerbku.</w:t>
      </w:r>
    </w:p>
    <w:p w:rsidR="00B71A20" w:rsidRPr="000625F6" w:rsidRDefault="000425B4" w:rsidP="0007621D">
      <w:pPr>
        <w:pStyle w:val="Teksttreci0"/>
        <w:numPr>
          <w:ilvl w:val="0"/>
          <w:numId w:val="97"/>
        </w:numPr>
        <w:tabs>
          <w:tab w:val="left" w:pos="514"/>
        </w:tabs>
        <w:jc w:val="both"/>
        <w:rPr>
          <w:lang w:val="pl-PL"/>
        </w:rPr>
      </w:pPr>
      <w:r>
        <w:rPr>
          <w:lang w:val="pl"/>
        </w:rPr>
        <w:t>W sprawie</w:t>
      </w:r>
      <w:hyperlink r:id="rId1805" w:history="1">
        <w:r>
          <w:rPr>
            <w:i/>
            <w:iCs/>
            <w:lang w:val="pl"/>
          </w:rPr>
          <w:t xml:space="preserve"> </w:t>
        </w:r>
        <w:r>
          <w:rPr>
            <w:i/>
            <w:iCs/>
            <w:color w:val="0072BC"/>
            <w:lang w:val="pl"/>
          </w:rPr>
          <w:t>Magomedov i Inni p. Rosji</w:t>
        </w:r>
      </w:hyperlink>
      <w:r>
        <w:rPr>
          <w:lang w:val="pl"/>
        </w:rPr>
        <w:t xml:space="preserve"> skarżącym przyznano większe ulgi i dodatkowe świadczenia z tytułu uczestnictwa w działaniach ratunkowych na terenie elektrowni jądrowej w Czarnobylu. Władze krajowe nie wniosły odwołania w przewidzianym ustawą terminie, w związku z czym orzeczenia stały się ostateczne. Mimo to władzom przyznano przywrócenie terminu na odwołanie się od tych orzeczeń, po czym owe orzeczenia uchylono. Skarżący podnieśli zarzuty na podstaw</w:t>
      </w:r>
      <w:r w:rsidR="00F343C9">
        <w:rPr>
          <w:lang w:val="pl"/>
        </w:rPr>
        <w:t>ie art. 6 i art. 1 Protokołu nr </w:t>
      </w:r>
      <w:r>
        <w:rPr>
          <w:lang w:val="pl"/>
        </w:rPr>
        <w:t>1. W przypadku niektórych skarżących decyzje wydane przez sąd pierwszej instancji zostały uchylone, zanim mogły zostać wykonane. Trybunał odrzucił twierdzenia rządu, jakoby ci skarżący nie doznali znaczącego uszczerbku (§§ 47</w:t>
      </w:r>
      <w:r>
        <w:rPr>
          <w:lang w:val="pl"/>
        </w:rPr>
        <w:noBreakHyphen/>
        <w:t>48). Jednocześnie skargi tych skarżących, którym wypłacano świadczenia zgodnie z pierwotnymi orzeczeniami, uznano za niedopuszczalne na podstawie tego kryterium. Trybunał zwrócił uwagę, że ci skarżący nie muszą zwracać otrzymanych pieniędzy; że Konwencja nie gwarantuje prawa do świadczenia emerytalnego lub socjalnego w określonej wysokości; że rozpatrywane kwoty nie stanowiły głównego źródła dochodu skarżących; że przysługujące im prawo do ulg i świadczeń nie zostało zakwestionowane, ponieważ skorygowano jedynie sposób wyliczania należnych kwot; oraz że opóźnienie wynikające z wniesienia przez rząd odwołania w podstawowym terminie było korzystne dla skarżących, którzy w międzyczasie nadal otrzym</w:t>
      </w:r>
      <w:r w:rsidR="00F343C9">
        <w:rPr>
          <w:lang w:val="pl"/>
        </w:rPr>
        <w:t>ywali świadczenia w </w:t>
      </w:r>
      <w:r>
        <w:rPr>
          <w:lang w:val="pl"/>
        </w:rPr>
        <w:t>wysokości wyliczonej zgodnie z pierwotnymi orzeczeniami (§§ 50</w:t>
      </w:r>
      <w:r>
        <w:rPr>
          <w:lang w:val="pl"/>
        </w:rPr>
        <w:noBreakHyphen/>
        <w:t>52).</w:t>
      </w:r>
    </w:p>
    <w:p w:rsidR="00B71A20" w:rsidRPr="000625F6" w:rsidRDefault="000425B4" w:rsidP="0007621D">
      <w:pPr>
        <w:pStyle w:val="Teksttreci0"/>
        <w:numPr>
          <w:ilvl w:val="0"/>
          <w:numId w:val="97"/>
        </w:numPr>
        <w:tabs>
          <w:tab w:val="left" w:pos="514"/>
        </w:tabs>
        <w:spacing w:after="220"/>
        <w:jc w:val="both"/>
        <w:rPr>
          <w:lang w:val="pl-PL"/>
        </w:rPr>
      </w:pPr>
      <w:bookmarkStart w:id="334" w:name="bookmark338"/>
      <w:r>
        <w:rPr>
          <w:lang w:val="pl"/>
        </w:rPr>
        <w:t>Ponadto Trybunał jest świadom tego, że nie można mier</w:t>
      </w:r>
      <w:r w:rsidR="00F343C9">
        <w:rPr>
          <w:lang w:val="pl"/>
        </w:rPr>
        <w:t>zyć skutków straty finansowej w </w:t>
      </w:r>
      <w:r>
        <w:rPr>
          <w:lang w:val="pl"/>
        </w:rPr>
        <w:t>kategoriach abstrakcyjnych; nawet niewielka szkoda finansowa może być znacząca w świetle konkretnej sytuacji osoby oraz sytuacji gospodarczej kraju lub region</w:t>
      </w:r>
      <w:r w:rsidR="00F343C9">
        <w:rPr>
          <w:lang w:val="pl"/>
        </w:rPr>
        <w:t>u, w którym ta osoba mieszka. Z </w:t>
      </w:r>
      <w:r>
        <w:rPr>
          <w:lang w:val="pl"/>
        </w:rPr>
        <w:t>związku z tym Trybunał bada skutek straty finansowej, biorąc po</w:t>
      </w:r>
      <w:r w:rsidR="00F343C9">
        <w:rPr>
          <w:lang w:val="pl"/>
        </w:rPr>
        <w:t>d uwagę sytuację danej osoby. W </w:t>
      </w:r>
      <w:r>
        <w:rPr>
          <w:lang w:val="pl"/>
        </w:rPr>
        <w:t xml:space="preserve">sprawie </w:t>
      </w:r>
      <w:hyperlink r:id="rId1806" w:history="1">
        <w:r>
          <w:rPr>
            <w:i/>
            <w:iCs/>
            <w:color w:val="0072BC"/>
            <w:lang w:val="pl"/>
          </w:rPr>
          <w:t xml:space="preserve">Fernandez p. Francji </w:t>
        </w:r>
      </w:hyperlink>
      <w:r>
        <w:rPr>
          <w:lang w:val="pl"/>
        </w:rPr>
        <w:t>(dec.) fakt, że skarżącą była sędzia sądu apelacyjnego w sądzie administracyjnym w Marsylii, był istotny dla orzeczenia Trybunału, że kara w wysokości 135 euro nie stanowiła dla niej znaczącej kwoty.</w:t>
      </w:r>
      <w:bookmarkEnd w:id="334"/>
    </w:p>
    <w:p w:rsidR="00B71A20" w:rsidRDefault="007D6782" w:rsidP="007D6782">
      <w:pPr>
        <w:pStyle w:val="Nagwek41"/>
        <w:keepNext/>
        <w:keepLines/>
        <w:tabs>
          <w:tab w:val="left" w:pos="322"/>
        </w:tabs>
        <w:jc w:val="both"/>
      </w:pPr>
      <w:bookmarkStart w:id="335" w:name="_Toc126335706"/>
      <w:bookmarkStart w:id="336" w:name="_Toc126660665"/>
      <w:r>
        <w:rPr>
          <w:lang w:val="pl"/>
        </w:rPr>
        <w:t xml:space="preserve">b.  </w:t>
      </w:r>
      <w:r w:rsidR="000425B4">
        <w:rPr>
          <w:lang w:val="pl"/>
        </w:rPr>
        <w:t>Znaczący uszczerbek finansowy</w:t>
      </w:r>
      <w:bookmarkEnd w:id="335"/>
      <w:bookmarkEnd w:id="336"/>
    </w:p>
    <w:p w:rsidR="00B71A20" w:rsidRPr="007D6782" w:rsidRDefault="000425B4" w:rsidP="00591CA7">
      <w:pPr>
        <w:pStyle w:val="Teksttreci0"/>
        <w:numPr>
          <w:ilvl w:val="0"/>
          <w:numId w:val="100"/>
        </w:numPr>
        <w:tabs>
          <w:tab w:val="left" w:pos="505"/>
        </w:tabs>
        <w:jc w:val="both"/>
        <w:rPr>
          <w:lang w:val="pl-PL"/>
        </w:rPr>
      </w:pPr>
      <w:r>
        <w:rPr>
          <w:lang w:val="pl"/>
        </w:rPr>
        <w:t>Z kolei tam, gdzie Trybunał stwierdzi, że skarżący poniósł znaczący uszczerbek finansowy, kryterium to może być odrzucone. Tak się stało np. w następujących sprawach:</w:t>
      </w:r>
    </w:p>
    <w:p w:rsidR="00B71A20" w:rsidRPr="000625F6" w:rsidRDefault="000425B4" w:rsidP="00115011">
      <w:pPr>
        <w:pStyle w:val="Teksttreci0"/>
        <w:numPr>
          <w:ilvl w:val="0"/>
          <w:numId w:val="101"/>
        </w:numPr>
        <w:tabs>
          <w:tab w:val="left" w:pos="883"/>
        </w:tabs>
        <w:spacing w:after="60"/>
        <w:ind w:left="880" w:hanging="280"/>
        <w:jc w:val="both"/>
        <w:rPr>
          <w:lang w:val="pl-PL"/>
        </w:rPr>
      </w:pPr>
      <w:r>
        <w:rPr>
          <w:lang w:val="pl"/>
        </w:rPr>
        <w:t xml:space="preserve">w sprawie, w której stwierdzono opóźnienia trwające od dziewięciu do czterdziestu dziewięciu miesięcy w wykonaniu orzeczeń zasądzających odszkodowanie za cały czas trwania postępowania, którego przedmiotem były kwoty </w:t>
      </w:r>
      <w:r w:rsidR="00F343C9">
        <w:rPr>
          <w:lang w:val="pl"/>
        </w:rPr>
        <w:t>w wysokości od 200 do 13 749,99 </w:t>
      </w:r>
      <w:r>
        <w:rPr>
          <w:lang w:val="pl"/>
        </w:rPr>
        <w:t xml:space="preserve">euro </w:t>
      </w:r>
      <w:hyperlink r:id="rId1807" w:history="1">
        <w:r>
          <w:rPr>
            <w:lang w:val="pl"/>
          </w:rPr>
          <w:t>(</w:t>
        </w:r>
        <w:r>
          <w:rPr>
            <w:i/>
            <w:iCs/>
            <w:color w:val="0072BC"/>
            <w:lang w:val="pl"/>
          </w:rPr>
          <w:t>Gaglione i Inni przeciwko Włochom</w:t>
        </w:r>
        <w:r>
          <w:rPr>
            <w:lang w:val="pl"/>
          </w:rPr>
          <w:t>)</w:t>
        </w:r>
      </w:hyperlink>
      <w:r>
        <w:rPr>
          <w:lang w:val="pl"/>
        </w:rPr>
        <w:t>;</w:t>
      </w:r>
    </w:p>
    <w:p w:rsidR="00B71A20" w:rsidRPr="000625F6" w:rsidRDefault="000425B4" w:rsidP="00115011">
      <w:pPr>
        <w:pStyle w:val="Teksttreci0"/>
        <w:numPr>
          <w:ilvl w:val="0"/>
          <w:numId w:val="101"/>
        </w:numPr>
        <w:tabs>
          <w:tab w:val="left" w:pos="883"/>
        </w:tabs>
        <w:spacing w:after="60"/>
        <w:ind w:left="880" w:hanging="280"/>
        <w:jc w:val="both"/>
        <w:rPr>
          <w:lang w:val="pl-PL"/>
        </w:rPr>
      </w:pPr>
      <w:r>
        <w:rPr>
          <w:lang w:val="pl"/>
        </w:rPr>
        <w:t xml:space="preserve">w sprawie dotyczącej opóźnień w wypłacie odszkodowania za wywłaszczoną nieruchomość oraz kwot sięgających dziesiątek tysięcy euro </w:t>
      </w:r>
      <w:hyperlink r:id="rId1808" w:history="1">
        <w:r>
          <w:rPr>
            <w:lang w:val="pl"/>
          </w:rPr>
          <w:t>(</w:t>
        </w:r>
        <w:r>
          <w:rPr>
            <w:i/>
            <w:iCs/>
            <w:color w:val="0072BC"/>
            <w:lang w:val="pl"/>
          </w:rPr>
          <w:t>Sancho Cruz i inne sprawy dotyczące „reformy rolnej”</w:t>
        </w:r>
      </w:hyperlink>
      <w:r>
        <w:rPr>
          <w:i/>
          <w:iCs/>
          <w:color w:val="0072BC"/>
          <w:lang w:val="pl"/>
        </w:rPr>
        <w:t xml:space="preserve"> </w:t>
      </w:r>
      <w:hyperlink r:id="rId1809" w:history="1">
        <w:r>
          <w:rPr>
            <w:i/>
            <w:iCs/>
            <w:color w:val="0072BC"/>
            <w:lang w:val="pl"/>
          </w:rPr>
          <w:t>p. Portugalii</w:t>
        </w:r>
        <w:r>
          <w:rPr>
            <w:lang w:val="pl"/>
          </w:rPr>
          <w:t>,</w:t>
        </w:r>
      </w:hyperlink>
      <w:r>
        <w:rPr>
          <w:lang w:val="pl"/>
        </w:rPr>
        <w:t xml:space="preserve"> §§ 32-35);</w:t>
      </w:r>
    </w:p>
    <w:p w:rsidR="00B71A20" w:rsidRPr="000625F6" w:rsidRDefault="000425B4" w:rsidP="00115011">
      <w:pPr>
        <w:pStyle w:val="Teksttreci0"/>
        <w:numPr>
          <w:ilvl w:val="0"/>
          <w:numId w:val="101"/>
        </w:numPr>
        <w:tabs>
          <w:tab w:val="left" w:pos="883"/>
        </w:tabs>
        <w:spacing w:after="60"/>
        <w:ind w:left="880" w:hanging="280"/>
        <w:jc w:val="both"/>
        <w:rPr>
          <w:lang w:val="pl-PL"/>
        </w:rPr>
      </w:pPr>
      <w:r>
        <w:rPr>
          <w:lang w:val="pl"/>
        </w:rPr>
        <w:t>w sprawie dotyczącej sporu o prawa pracownicze, gdzie kwo</w:t>
      </w:r>
      <w:r w:rsidR="00BA42E1">
        <w:rPr>
          <w:lang w:val="pl"/>
        </w:rPr>
        <w:t>ta roszczenia wynosiła ok. </w:t>
      </w:r>
      <w:r w:rsidR="00F343C9">
        <w:rPr>
          <w:lang w:val="pl"/>
        </w:rPr>
        <w:t>1800 </w:t>
      </w:r>
      <w:r>
        <w:rPr>
          <w:lang w:val="pl"/>
        </w:rPr>
        <w:t xml:space="preserve">euro </w:t>
      </w:r>
      <w:hyperlink r:id="rId1810" w:history="1">
        <w:r>
          <w:rPr>
            <w:lang w:val="pl"/>
          </w:rPr>
          <w:t>(</w:t>
        </w:r>
        <w:r>
          <w:rPr>
            <w:i/>
            <w:iCs/>
            <w:color w:val="0072BC"/>
            <w:lang w:val="pl"/>
          </w:rPr>
          <w:t>Živić p. Serbii</w:t>
        </w:r>
        <w:r>
          <w:rPr>
            <w:lang w:val="pl"/>
          </w:rPr>
          <w:t>)</w:t>
        </w:r>
      </w:hyperlink>
      <w:r>
        <w:rPr>
          <w:lang w:val="pl"/>
        </w:rPr>
        <w:t>;</w:t>
      </w:r>
    </w:p>
    <w:p w:rsidR="00B71A20" w:rsidRPr="000625F6" w:rsidRDefault="000425B4" w:rsidP="00115011">
      <w:pPr>
        <w:pStyle w:val="Teksttreci0"/>
        <w:numPr>
          <w:ilvl w:val="0"/>
          <w:numId w:val="101"/>
        </w:numPr>
        <w:tabs>
          <w:tab w:val="left" w:pos="883"/>
        </w:tabs>
        <w:ind w:left="880" w:hanging="280"/>
        <w:jc w:val="both"/>
        <w:rPr>
          <w:lang w:val="pl-PL"/>
        </w:rPr>
      </w:pPr>
      <w:r>
        <w:rPr>
          <w:lang w:val="pl"/>
        </w:rPr>
        <w:t xml:space="preserve">w sprawie dotyczącej długości postępowania cywilnego trwającego piętnaście lat i pięć miesięcy oraz braku środka odwoławczego wobec roszczenia stanowiącego „poważną kwotę” </w:t>
      </w:r>
      <w:hyperlink r:id="rId1811" w:history="1">
        <w:r>
          <w:rPr>
            <w:lang w:val="pl"/>
          </w:rPr>
          <w:t>(</w:t>
        </w:r>
        <w:r>
          <w:rPr>
            <w:i/>
            <w:iCs/>
            <w:color w:val="0072BC"/>
            <w:lang w:val="pl"/>
          </w:rPr>
          <w:t>Giusti p. Włochom</w:t>
        </w:r>
        <w:r>
          <w:rPr>
            <w:lang w:val="pl"/>
          </w:rPr>
          <w:t>,</w:t>
        </w:r>
      </w:hyperlink>
      <w:r>
        <w:rPr>
          <w:lang w:val="pl"/>
        </w:rPr>
        <w:t xml:space="preserve"> §§ 22-36);</w:t>
      </w:r>
    </w:p>
    <w:p w:rsidR="00B71A20" w:rsidRPr="000625F6" w:rsidRDefault="000425B4" w:rsidP="00115011">
      <w:pPr>
        <w:pStyle w:val="Teksttreci0"/>
        <w:numPr>
          <w:ilvl w:val="0"/>
          <w:numId w:val="101"/>
        </w:numPr>
        <w:tabs>
          <w:tab w:val="left" w:pos="883"/>
        </w:tabs>
        <w:spacing w:after="40"/>
        <w:ind w:left="880" w:hanging="280"/>
        <w:jc w:val="both"/>
        <w:rPr>
          <w:lang w:val="pl-PL"/>
        </w:rPr>
      </w:pPr>
      <w:r>
        <w:rPr>
          <w:lang w:val="pl"/>
        </w:rPr>
        <w:t xml:space="preserve">w sprawie dotyczącej długości postępowania cywilnego, gdzie kwota będącą przedmiotem postępowania dotyczyła rent inwalidzkich, które nie były nieistotne </w:t>
      </w:r>
      <w:hyperlink r:id="rId1812" w:history="1">
        <w:r>
          <w:rPr>
            <w:lang w:val="pl"/>
          </w:rPr>
          <w:t>(</w:t>
        </w:r>
        <w:r>
          <w:rPr>
            <w:i/>
            <w:iCs/>
            <w:color w:val="0072BC"/>
            <w:lang w:val="pl"/>
          </w:rPr>
          <w:t>De Ieso p. Włochom</w:t>
        </w:r>
        <w:r>
          <w:rPr>
            <w:lang w:val="pl"/>
          </w:rPr>
          <w:t>)</w:t>
        </w:r>
      </w:hyperlink>
      <w:r>
        <w:rPr>
          <w:lang w:val="pl"/>
        </w:rPr>
        <w:t>;</w:t>
      </w:r>
    </w:p>
    <w:p w:rsidR="00B71A20" w:rsidRPr="000625F6" w:rsidRDefault="000425B4" w:rsidP="00115011">
      <w:pPr>
        <w:pStyle w:val="Teksttreci0"/>
        <w:numPr>
          <w:ilvl w:val="0"/>
          <w:numId w:val="101"/>
        </w:numPr>
        <w:tabs>
          <w:tab w:val="left" w:pos="883"/>
        </w:tabs>
        <w:spacing w:after="40"/>
        <w:ind w:left="880" w:hanging="280"/>
        <w:jc w:val="both"/>
        <w:rPr>
          <w:lang w:val="pl-PL"/>
        </w:rPr>
      </w:pPr>
      <w:r>
        <w:rPr>
          <w:lang w:val="pl"/>
        </w:rPr>
        <w:t xml:space="preserve">w sprawie, w której skarżąca została zobowiązana do zapłacenia kosztów sądowych przekraczających o 20 procent jej miesięczne dochody </w:t>
      </w:r>
      <w:hyperlink r:id="rId1813" w:history="1">
        <w:r>
          <w:rPr>
            <w:lang w:val="pl"/>
          </w:rPr>
          <w:t>(</w:t>
        </w:r>
        <w:r>
          <w:rPr>
            <w:i/>
            <w:iCs/>
            <w:color w:val="0072BC"/>
            <w:lang w:val="pl"/>
          </w:rPr>
          <w:t>Piętka p. Polsce</w:t>
        </w:r>
        <w:r>
          <w:rPr>
            <w:lang w:val="pl"/>
          </w:rPr>
          <w:t>,</w:t>
        </w:r>
      </w:hyperlink>
      <w:r>
        <w:rPr>
          <w:lang w:val="pl"/>
        </w:rPr>
        <w:t xml:space="preserve"> §§ 33-41);</w:t>
      </w:r>
    </w:p>
    <w:p w:rsidR="00B71A20" w:rsidRPr="000625F6" w:rsidRDefault="000425B4" w:rsidP="00115011">
      <w:pPr>
        <w:pStyle w:val="Teksttreci0"/>
        <w:numPr>
          <w:ilvl w:val="0"/>
          <w:numId w:val="101"/>
        </w:numPr>
        <w:tabs>
          <w:tab w:val="left" w:pos="883"/>
        </w:tabs>
        <w:spacing w:after="220"/>
        <w:ind w:left="880" w:hanging="280"/>
        <w:jc w:val="both"/>
        <w:rPr>
          <w:lang w:val="pl-PL"/>
        </w:rPr>
      </w:pPr>
      <w:r>
        <w:rPr>
          <w:lang w:val="pl"/>
        </w:rPr>
        <w:t xml:space="preserve">w sprawie, w której skarżący byli zobowiązani regularnie ponosić stałą opłatę, mimo że najwyższa należna od nich rata miesięczna nie przekraczała 30 euro, ponieważ łącznej kwoty należności nie można było uznać za nieznaczną, biorąc pod uwagę ogół okoliczności, w jakich </w:t>
      </w:r>
      <w:r>
        <w:rPr>
          <w:lang w:val="pl"/>
        </w:rPr>
        <w:lastRenderedPageBreak/>
        <w:t xml:space="preserve">istniał obowiązek zapłaty, oraz poziom życia w pozwanym państwie </w:t>
      </w:r>
      <w:hyperlink r:id="rId1814" w:history="1">
        <w:r>
          <w:rPr>
            <w:lang w:val="pl"/>
          </w:rPr>
          <w:t>(</w:t>
        </w:r>
        <w:r>
          <w:rPr>
            <w:i/>
            <w:iCs/>
            <w:color w:val="0072BC"/>
            <w:lang w:val="pl"/>
          </w:rPr>
          <w:t>Strezovski i Inni p. Macedonii Północnej</w:t>
        </w:r>
        <w:r>
          <w:rPr>
            <w:lang w:val="pl"/>
          </w:rPr>
          <w:t>,</w:t>
        </w:r>
      </w:hyperlink>
      <w:r>
        <w:rPr>
          <w:lang w:val="pl"/>
        </w:rPr>
        <w:t xml:space="preserve"> §§ 47-49).</w:t>
      </w:r>
    </w:p>
    <w:p w:rsidR="00B71A20" w:rsidRPr="007D6782" w:rsidRDefault="007D6782" w:rsidP="007D6782">
      <w:pPr>
        <w:pStyle w:val="Nagwek41"/>
        <w:keepNext/>
        <w:keepLines/>
        <w:tabs>
          <w:tab w:val="left" w:pos="322"/>
        </w:tabs>
        <w:spacing w:after="120"/>
        <w:jc w:val="both"/>
        <w:rPr>
          <w:lang w:val="pl-PL"/>
        </w:rPr>
      </w:pPr>
      <w:bookmarkStart w:id="337" w:name="bookmark341"/>
      <w:bookmarkStart w:id="338" w:name="_Toc126335707"/>
      <w:bookmarkStart w:id="339" w:name="_Toc126660666"/>
      <w:r>
        <w:rPr>
          <w:lang w:val="pl"/>
        </w:rPr>
        <w:t xml:space="preserve">c.  </w:t>
      </w:r>
      <w:r w:rsidR="000425B4">
        <w:rPr>
          <w:lang w:val="pl"/>
        </w:rPr>
        <w:t>Brak znaczącego uszczerbku niefinansowego</w:t>
      </w:r>
      <w:bookmarkEnd w:id="337"/>
      <w:bookmarkEnd w:id="338"/>
      <w:bookmarkEnd w:id="339"/>
    </w:p>
    <w:p w:rsidR="00B71A20" w:rsidRPr="000625F6" w:rsidRDefault="000425B4" w:rsidP="00591CA7">
      <w:pPr>
        <w:pStyle w:val="Teksttreci0"/>
        <w:numPr>
          <w:ilvl w:val="0"/>
          <w:numId w:val="102"/>
        </w:numPr>
        <w:tabs>
          <w:tab w:val="left" w:pos="519"/>
        </w:tabs>
        <w:spacing w:after="120"/>
        <w:jc w:val="both"/>
        <w:rPr>
          <w:lang w:val="pl-PL"/>
        </w:rPr>
      </w:pPr>
      <w:r>
        <w:rPr>
          <w:lang w:val="pl"/>
        </w:rPr>
        <w:t>Trybunał nie jest jednak zainteresowany wyłącznie sprawami dotyczącymi nieznaczących kwot finansowych, gdy stosuje kryterium braku znaczącego uszczerbku. Faktyczny wynik sprawy na poziomie krajowym może mieć reperkusje inne niż finansowe. W sprawach</w:t>
      </w:r>
      <w:hyperlink r:id="rId1815" w:history="1">
        <w:r>
          <w:rPr>
            <w:lang w:val="pl"/>
          </w:rPr>
          <w:t xml:space="preserve"> </w:t>
        </w:r>
        <w:r>
          <w:rPr>
            <w:i/>
            <w:iCs/>
            <w:color w:val="0072BC"/>
            <w:lang w:val="pl"/>
          </w:rPr>
          <w:t xml:space="preserve">Holub p. Czechom </w:t>
        </w:r>
      </w:hyperlink>
      <w:r>
        <w:rPr>
          <w:lang w:val="pl"/>
        </w:rPr>
        <w:t>(dec.),</w:t>
      </w:r>
      <w:hyperlink r:id="rId1816" w:history="1">
        <w:r>
          <w:rPr>
            <w:lang w:val="pl"/>
          </w:rPr>
          <w:t xml:space="preserve"> </w:t>
        </w:r>
        <w:r>
          <w:rPr>
            <w:i/>
            <w:iCs/>
            <w:color w:val="0072BC"/>
            <w:lang w:val="pl"/>
          </w:rPr>
          <w:t>Bratři</w:t>
        </w:r>
      </w:hyperlink>
      <w:r>
        <w:rPr>
          <w:i/>
          <w:iCs/>
          <w:color w:val="0072BC"/>
          <w:lang w:val="pl"/>
        </w:rPr>
        <w:t xml:space="preserve"> </w:t>
      </w:r>
      <w:hyperlink r:id="rId1817" w:history="1">
        <w:r>
          <w:rPr>
            <w:i/>
            <w:iCs/>
            <w:color w:val="0072BC"/>
            <w:lang w:val="pl"/>
          </w:rPr>
          <w:t xml:space="preserve">Zátkové, A.S., p. Czechom </w:t>
        </w:r>
      </w:hyperlink>
      <w:r>
        <w:rPr>
          <w:lang w:val="pl"/>
        </w:rPr>
        <w:t>(dec.),</w:t>
      </w:r>
      <w:hyperlink r:id="rId1818" w:history="1">
        <w:r>
          <w:rPr>
            <w:lang w:val="pl"/>
          </w:rPr>
          <w:t xml:space="preserve"> </w:t>
        </w:r>
        <w:r>
          <w:rPr>
            <w:i/>
            <w:iCs/>
            <w:color w:val="0072BC"/>
            <w:lang w:val="pl"/>
          </w:rPr>
          <w:t xml:space="preserve">Matoušek p. Czechom </w:t>
        </w:r>
      </w:hyperlink>
      <w:r>
        <w:rPr>
          <w:lang w:val="pl"/>
        </w:rPr>
        <w:t>(dec.),</w:t>
      </w:r>
      <w:hyperlink r:id="rId1819" w:history="1">
        <w:r>
          <w:rPr>
            <w:lang w:val="pl"/>
          </w:rPr>
          <w:t xml:space="preserve"> </w:t>
        </w:r>
        <w:r>
          <w:rPr>
            <w:i/>
            <w:iCs/>
            <w:color w:val="0072BC"/>
            <w:lang w:val="pl"/>
          </w:rPr>
          <w:t>Čavajda p.</w:t>
        </w:r>
      </w:hyperlink>
      <w:r>
        <w:rPr>
          <w:i/>
          <w:iCs/>
          <w:color w:val="0072BC"/>
          <w:lang w:val="pl"/>
        </w:rPr>
        <w:t xml:space="preserve"> </w:t>
      </w:r>
      <w:hyperlink r:id="rId1820" w:history="1">
        <w:r>
          <w:rPr>
            <w:i/>
            <w:iCs/>
            <w:color w:val="0072BC"/>
            <w:lang w:val="pl"/>
          </w:rPr>
          <w:t xml:space="preserve">Czechom </w:t>
        </w:r>
      </w:hyperlink>
      <w:r>
        <w:rPr>
          <w:lang w:val="pl"/>
        </w:rPr>
        <w:t>(dec.) oraz</w:t>
      </w:r>
      <w:hyperlink r:id="rId1821" w:history="1">
        <w:r>
          <w:rPr>
            <w:lang w:val="pl"/>
          </w:rPr>
          <w:t xml:space="preserve"> </w:t>
        </w:r>
        <w:r w:rsidR="002E4DC2">
          <w:rPr>
            <w:i/>
            <w:iCs/>
            <w:color w:val="0072BC"/>
            <w:lang w:val="pl"/>
          </w:rPr>
          <w:t>Hanzl i </w:t>
        </w:r>
        <w:r>
          <w:rPr>
            <w:i/>
            <w:iCs/>
            <w:color w:val="0072BC"/>
            <w:lang w:val="pl"/>
          </w:rPr>
          <w:t xml:space="preserve">Špadrna p. Czechom </w:t>
        </w:r>
      </w:hyperlink>
      <w:r>
        <w:rPr>
          <w:lang w:val="pl"/>
        </w:rPr>
        <w:t>(dec.) Trybunał oparł swoje decyzje na fakcie, że niezakomunikowane uwagi innych stron nie zawierały niczego nowego lub istotnego dla sprawy, a każdorazowo decyzja Trybunału Konstytucyjnego nie była na nich oparta. W sprawie</w:t>
      </w:r>
      <w:hyperlink r:id="rId1822" w:history="1">
        <w:r>
          <w:rPr>
            <w:lang w:val="pl"/>
          </w:rPr>
          <w:t xml:space="preserve"> </w:t>
        </w:r>
        <w:r>
          <w:rPr>
            <w:i/>
            <w:iCs/>
            <w:color w:val="0072BC"/>
            <w:lang w:val="pl"/>
          </w:rPr>
          <w:t>Liga Portug</w:t>
        </w:r>
        <w:r w:rsidR="002E4DC2">
          <w:rPr>
            <w:i/>
            <w:iCs/>
            <w:color w:val="0072BC"/>
            <w:lang w:val="pl"/>
          </w:rPr>
          <w:t>uesa de Futebol Profissional p. </w:t>
        </w:r>
        <w:r>
          <w:rPr>
            <w:i/>
            <w:iCs/>
            <w:color w:val="0072BC"/>
            <w:lang w:val="pl"/>
          </w:rPr>
          <w:t xml:space="preserve">Portugalii </w:t>
        </w:r>
      </w:hyperlink>
      <w:r>
        <w:rPr>
          <w:lang w:val="pl"/>
        </w:rPr>
        <w:t>(dec.) Trybunał przyjął tę samą linię argumentacyjną, co w sprawie</w:t>
      </w:r>
      <w:hyperlink r:id="rId1823" w:history="1">
        <w:r>
          <w:rPr>
            <w:lang w:val="pl"/>
          </w:rPr>
          <w:t xml:space="preserve"> </w:t>
        </w:r>
        <w:r>
          <w:rPr>
            <w:i/>
            <w:iCs/>
            <w:color w:val="0072BC"/>
            <w:lang w:val="pl"/>
          </w:rPr>
          <w:t xml:space="preserve">Holub p. Czechom </w:t>
        </w:r>
      </w:hyperlink>
      <w:r>
        <w:rPr>
          <w:lang w:val="pl"/>
        </w:rPr>
        <w:t>(dec.). Rzeczonym uszczerbkiem był fakt, że skarżącemu nie przesłano opinii prokuratora, a nie kwota 19 milionów euro, którą spółka mogła być zmuszona zapłacić. Trybunał stwierdził, że skarżąca spółka nie poniosła uszczerbku z powodu braku przekazania jej rzeczonej opinii.</w:t>
      </w:r>
    </w:p>
    <w:p w:rsidR="00B71A20" w:rsidRPr="000625F6" w:rsidRDefault="000425B4" w:rsidP="00115011">
      <w:pPr>
        <w:pStyle w:val="Teksttreci0"/>
        <w:numPr>
          <w:ilvl w:val="0"/>
          <w:numId w:val="102"/>
        </w:numPr>
        <w:tabs>
          <w:tab w:val="left" w:pos="519"/>
        </w:tabs>
        <w:spacing w:after="120"/>
        <w:jc w:val="both"/>
        <w:rPr>
          <w:lang w:val="pl-PL"/>
        </w:rPr>
      </w:pPr>
      <w:r>
        <w:rPr>
          <w:lang w:val="pl"/>
        </w:rPr>
        <w:t>Podobnie w sprawie</w:t>
      </w:r>
      <w:hyperlink r:id="rId1824" w:history="1">
        <w:r>
          <w:rPr>
            <w:i/>
            <w:iCs/>
            <w:lang w:val="pl"/>
          </w:rPr>
          <w:t xml:space="preserve"> </w:t>
        </w:r>
        <w:r>
          <w:rPr>
            <w:i/>
            <w:iCs/>
            <w:color w:val="0072BC"/>
            <w:lang w:val="pl"/>
          </w:rPr>
          <w:t xml:space="preserve">Jančev p. Byłej Jugosłowiańskiej Republice Macedonii </w:t>
        </w:r>
      </w:hyperlink>
      <w:r>
        <w:rPr>
          <w:lang w:val="pl"/>
        </w:rPr>
        <w:t xml:space="preserve">(dec.) skarga dotyczyła braku publicznego ogłoszenia decyzji sądu pierwszej instancji. Trybunał orzekł, że skarżący nie poniósł znaczącego uszczerbku, ponieważ nie był stroną poszkodowaną. Trybunał również wziął pod uwagę to, że obowiązek zburzenia ściany i usunięcia cegieł, wynikający z niezgodnego z prawem zachowania skarżącego, nie nakładał na niego znaczącego obciążenia finansowego. Inną sprawa, w której skarżący nie przywoływał bezpośrednio kwoty finansowej, była </w:t>
      </w:r>
      <w:hyperlink r:id="rId1825" w:history="1">
        <w:r>
          <w:rPr>
            <w:i/>
            <w:iCs/>
            <w:color w:val="0072BC"/>
            <w:lang w:val="pl"/>
          </w:rPr>
          <w:t xml:space="preserve">Savu p. Rumunii </w:t>
        </w:r>
      </w:hyperlink>
      <w:r>
        <w:rPr>
          <w:lang w:val="pl"/>
        </w:rPr>
        <w:t>(dec.). W tej sprawie skarżący zarzucał niewykonanie określonych orzeczeń sądowych na jego korzyść, w tym obowiązku wydania zaświadczenia.</w:t>
      </w:r>
    </w:p>
    <w:p w:rsidR="00B71A20" w:rsidRPr="000625F6" w:rsidRDefault="000425B4" w:rsidP="00115011">
      <w:pPr>
        <w:pStyle w:val="Teksttreci0"/>
        <w:numPr>
          <w:ilvl w:val="0"/>
          <w:numId w:val="102"/>
        </w:numPr>
        <w:tabs>
          <w:tab w:val="left" w:pos="514"/>
        </w:tabs>
        <w:spacing w:after="120"/>
        <w:jc w:val="both"/>
        <w:rPr>
          <w:lang w:val="pl-PL"/>
        </w:rPr>
      </w:pPr>
      <w:r>
        <w:rPr>
          <w:lang w:val="pl"/>
        </w:rPr>
        <w:t>W sprawie</w:t>
      </w:r>
      <w:hyperlink r:id="rId1826" w:history="1">
        <w:r>
          <w:rPr>
            <w:i/>
            <w:iCs/>
            <w:lang w:val="pl"/>
          </w:rPr>
          <w:t xml:space="preserve"> </w:t>
        </w:r>
        <w:r>
          <w:rPr>
            <w:i/>
            <w:iCs/>
            <w:color w:val="0072BC"/>
            <w:lang w:val="pl"/>
          </w:rPr>
          <w:t>Gagliano Giorgi p. Włochom</w:t>
        </w:r>
        <w:r>
          <w:rPr>
            <w:lang w:val="pl"/>
          </w:rPr>
          <w:t xml:space="preserve"> </w:t>
        </w:r>
      </w:hyperlink>
      <w:r>
        <w:rPr>
          <w:lang w:val="pl"/>
        </w:rPr>
        <w:t xml:space="preserve">Trybunał po raz pierwszy orzekał o zarzucie dotyczącym długości trwania postępowania </w:t>
      </w:r>
      <w:r>
        <w:rPr>
          <w:i/>
          <w:iCs/>
          <w:lang w:val="pl"/>
        </w:rPr>
        <w:t>karnego</w:t>
      </w:r>
      <w:r>
        <w:rPr>
          <w:lang w:val="pl"/>
        </w:rPr>
        <w:t xml:space="preserve">. Biorąc pod uwagę fakt, że wyrok wobec skarżącego został skrócony w wyniku długości postępowania, Trybunał orzekł, że to skrócenie zrekompensowało skarżącemu lub w szczególny sposób zmniejszyło uszczerbek, jaki ten mógłby ponieść w wyniku przewlekłego postępowania. Zgodnie z powyższym Trybunał orzekł, że skarżący nie poniósł znaczącego uszczerbku. W </w:t>
      </w:r>
      <w:hyperlink r:id="rId1827" w:history="1">
        <w:r>
          <w:rPr>
            <w:i/>
            <w:iCs/>
            <w:color w:val="0072BC"/>
            <w:lang w:val="pl"/>
          </w:rPr>
          <w:t xml:space="preserve">Galović p. Chorwacji </w:t>
        </w:r>
      </w:hyperlink>
      <w:r>
        <w:rPr>
          <w:lang w:val="pl"/>
        </w:rPr>
        <w:t>(dec.) Trybunał stwierdził, że skar</w:t>
      </w:r>
      <w:r w:rsidR="002E4DC2">
        <w:rPr>
          <w:lang w:val="pl"/>
        </w:rPr>
        <w:t>żąca tak naprawdę skorzystała z </w:t>
      </w:r>
      <w:r>
        <w:rPr>
          <w:lang w:val="pl"/>
        </w:rPr>
        <w:t xml:space="preserve">przewlekającego się postępowania </w:t>
      </w:r>
      <w:r>
        <w:rPr>
          <w:i/>
          <w:iCs/>
          <w:lang w:val="pl"/>
        </w:rPr>
        <w:t>cywilnego</w:t>
      </w:r>
      <w:r>
        <w:rPr>
          <w:lang w:val="pl"/>
        </w:rPr>
        <w:t>, ponieważ pozostała w zajmowanej nieruchomości przez kolejne sześć lat i dwa miesiące. Inne dwie sprawy holenderskie również dotyczyły długości postępowania karnego oraz braku skutecznego środka odwoławczego, a mianowicie</w:t>
      </w:r>
      <w:hyperlink r:id="rId1828" w:history="1">
        <w:r>
          <w:rPr>
            <w:i/>
            <w:iCs/>
            <w:lang w:val="pl"/>
          </w:rPr>
          <w:t xml:space="preserve"> </w:t>
        </w:r>
        <w:r>
          <w:rPr>
            <w:i/>
            <w:iCs/>
            <w:color w:val="0072BC"/>
            <w:lang w:val="pl"/>
          </w:rPr>
          <w:t xml:space="preserve">Çelik p. Holandii </w:t>
        </w:r>
      </w:hyperlink>
      <w:r>
        <w:rPr>
          <w:lang w:val="pl"/>
        </w:rPr>
        <w:t>(dec.) i</w:t>
      </w:r>
      <w:hyperlink r:id="rId1829" w:history="1">
        <w:r>
          <w:rPr>
            <w:i/>
            <w:iCs/>
            <w:lang w:val="pl"/>
          </w:rPr>
          <w:t xml:space="preserve"> </w:t>
        </w:r>
        <w:r>
          <w:rPr>
            <w:i/>
            <w:iCs/>
            <w:color w:val="0072BC"/>
            <w:lang w:val="pl"/>
          </w:rPr>
          <w:t>Van der Putten p.</w:t>
        </w:r>
      </w:hyperlink>
      <w:r>
        <w:rPr>
          <w:i/>
          <w:iCs/>
          <w:color w:val="0072BC"/>
          <w:lang w:val="pl"/>
        </w:rPr>
        <w:t xml:space="preserve"> </w:t>
      </w:r>
      <w:hyperlink r:id="rId1830" w:history="1">
        <w:r>
          <w:rPr>
            <w:i/>
            <w:iCs/>
            <w:color w:val="0072BC"/>
            <w:lang w:val="pl"/>
          </w:rPr>
          <w:t xml:space="preserve">Holandii </w:t>
        </w:r>
      </w:hyperlink>
      <w:r>
        <w:rPr>
          <w:lang w:val="pl"/>
        </w:rPr>
        <w:t>(dec.). Zarzuty skarżących dotyczyły wyłącznie długości postępowania przed Sądem Najwyższym wynikającej z czasu, jaki Sąd Apelacyjny potrzebował, by skompletować akta sprawy. Jednak w obu sprawach skarżący wnieśli odwołanie do Sądu Najwyższego, w którym podnieśli kwestie prawne, nie przedstawiając żadnej podstawy do odwołania. Stwierdzając brak zarzutu wobec orzeczenia Sądu Apelacyjnego lub jakiegokolwiek aspektu wcześniejszego postępowania karnego, Trybunał orzekł w obu sprawach, że skarżący nie ponieśli znaczącego uszczerbku.</w:t>
      </w:r>
    </w:p>
    <w:p w:rsidR="00B71A20" w:rsidRPr="000625F6" w:rsidRDefault="000425B4" w:rsidP="00115011">
      <w:pPr>
        <w:pStyle w:val="Teksttreci0"/>
        <w:numPr>
          <w:ilvl w:val="0"/>
          <w:numId w:val="102"/>
        </w:numPr>
        <w:tabs>
          <w:tab w:val="left" w:pos="514"/>
        </w:tabs>
        <w:spacing w:line="233" w:lineRule="auto"/>
        <w:jc w:val="both"/>
        <w:rPr>
          <w:lang w:val="pl-PL"/>
        </w:rPr>
      </w:pPr>
      <w:r>
        <w:rPr>
          <w:lang w:val="pl"/>
        </w:rPr>
        <w:t>W sprawie</w:t>
      </w:r>
      <w:hyperlink r:id="rId1831" w:history="1">
        <w:r>
          <w:rPr>
            <w:i/>
            <w:iCs/>
            <w:lang w:val="pl"/>
          </w:rPr>
          <w:t xml:space="preserve"> </w:t>
        </w:r>
        <w:r>
          <w:rPr>
            <w:i/>
            <w:iCs/>
            <w:color w:val="0072BC"/>
            <w:lang w:val="pl"/>
          </w:rPr>
          <w:t>Kiril Zlatkov Nikolov p. Francji</w:t>
        </w:r>
      </w:hyperlink>
      <w:r>
        <w:rPr>
          <w:lang w:val="pl"/>
        </w:rPr>
        <w:t xml:space="preserve"> Trybunał uznał, że nic nie wskazywało, aby w świetle toczącego się przeciwko skarżącemu postępowania karnego doszło do znaczącego oddziaływania na korzystanie przez niego z prawa do niedyskryminacji i prawa do rzetelnego procesu sądowego, a co więcej, na jego sytuację osobistą. Tym samym Trybunał stwierdził, że zarzucana przez skarżącego dyskryminacja w korzystaniu przez niego z prawa do rzetelnego procesu sądowego w żadnym razie nie spowodowała u niego „znaczącego uszczerbku”.</w:t>
      </w:r>
    </w:p>
    <w:p w:rsidR="00B71A20" w:rsidRPr="000625F6" w:rsidRDefault="000425B4" w:rsidP="00115011">
      <w:pPr>
        <w:pStyle w:val="Teksttreci0"/>
        <w:numPr>
          <w:ilvl w:val="0"/>
          <w:numId w:val="102"/>
        </w:numPr>
        <w:tabs>
          <w:tab w:val="left" w:pos="510"/>
        </w:tabs>
        <w:jc w:val="both"/>
        <w:rPr>
          <w:lang w:val="pl-PL"/>
        </w:rPr>
      </w:pPr>
      <w:r>
        <w:rPr>
          <w:lang w:val="pl"/>
        </w:rPr>
        <w:t>W sprawie</w:t>
      </w:r>
      <w:hyperlink r:id="rId1832" w:history="1">
        <w:r>
          <w:rPr>
            <w:i/>
            <w:iCs/>
            <w:lang w:val="pl"/>
          </w:rPr>
          <w:t xml:space="preserve"> </w:t>
        </w:r>
        <w:r>
          <w:rPr>
            <w:i/>
            <w:iCs/>
            <w:color w:val="0072BC"/>
            <w:lang w:val="pl"/>
          </w:rPr>
          <w:t xml:space="preserve">Zwinkels p. Holandii </w:t>
        </w:r>
      </w:hyperlink>
      <w:r>
        <w:rPr>
          <w:lang w:val="pl"/>
        </w:rPr>
        <w:t>(dec.) jedyną ingerencją w prawo do poszanowania mieszkania na podstawie art. 8 było nieuprawnione wejście inspektorów pracy do garażu, w związku z czym Trybunał oddalił skargę jako wywierającą „nie więcej niż minimalny skutek” na prawo skarżącego do poszanowania mieszkania lub życia prywatnego. Podobnie w sprawie</w:t>
      </w:r>
      <w:hyperlink r:id="rId1833" w:history="1">
        <w:r>
          <w:rPr>
            <w:i/>
            <w:iCs/>
            <w:lang w:val="pl"/>
          </w:rPr>
          <w:t xml:space="preserve"> </w:t>
        </w:r>
        <w:r>
          <w:rPr>
            <w:i/>
            <w:iCs/>
            <w:color w:val="0072BC"/>
            <w:lang w:val="pl"/>
          </w:rPr>
          <w:t xml:space="preserve">Borg i Vella p. Malcie </w:t>
        </w:r>
      </w:hyperlink>
      <w:r>
        <w:rPr>
          <w:lang w:val="pl"/>
        </w:rPr>
        <w:t>(dec.), § 41, fakt, że skarżących na pewien czas wywłaszczono ze stosunkowo niewielkiej nieruchomości gruntowej, nie wydawał się mieć dla nich szczególnych następstw.</w:t>
      </w:r>
    </w:p>
    <w:p w:rsidR="00B71A20" w:rsidRPr="000625F6" w:rsidRDefault="000425B4" w:rsidP="00115011">
      <w:pPr>
        <w:pStyle w:val="Teksttreci0"/>
        <w:numPr>
          <w:ilvl w:val="0"/>
          <w:numId w:val="102"/>
        </w:numPr>
        <w:tabs>
          <w:tab w:val="left" w:pos="505"/>
        </w:tabs>
        <w:jc w:val="both"/>
        <w:rPr>
          <w:lang w:val="pl-PL"/>
        </w:rPr>
      </w:pPr>
      <w:r>
        <w:rPr>
          <w:lang w:val="pl"/>
        </w:rPr>
        <w:lastRenderedPageBreak/>
        <w:t>W sprawie</w:t>
      </w:r>
      <w:hyperlink r:id="rId1834" w:history="1">
        <w:r>
          <w:rPr>
            <w:i/>
            <w:iCs/>
            <w:lang w:val="pl"/>
          </w:rPr>
          <w:t xml:space="preserve"> </w:t>
        </w:r>
        <w:r>
          <w:rPr>
            <w:i/>
            <w:iCs/>
            <w:color w:val="0072BC"/>
            <w:lang w:val="pl"/>
          </w:rPr>
          <w:t xml:space="preserve">C.P. p. Wielkiej Brytanii </w:t>
        </w:r>
      </w:hyperlink>
      <w:r>
        <w:rPr>
          <w:lang w:val="pl"/>
        </w:rPr>
        <w:t>(dec.) skarżący twierdził, że tymczasowe wydalenie go ze szkoły na trzy miesiące naruszało jego prawo do edukacji. Trybunał orzekł, że „w większości przypadków trzymiesięczne wydalenie ze szkoły będzie stanowiło »znaczący uszczerbek« dla dziecka”. Jednakże w przedmiotowej sprawie występował szereg czynników zmniejszających znaczenie jakiegokolwiek trwałego „uszczerbku” dla skarżącego. W rezultacie wszelkie twierdzenia o uszczerbku doznanym przez skarżącego w związku z należnym mu prawem do edukacji miały co do swojej istoty charakter spekulacji.</w:t>
      </w:r>
    </w:p>
    <w:p w:rsidR="00B71A20" w:rsidRPr="000625F6" w:rsidRDefault="000425B4" w:rsidP="00115011">
      <w:pPr>
        <w:pStyle w:val="Teksttreci0"/>
        <w:numPr>
          <w:ilvl w:val="0"/>
          <w:numId w:val="102"/>
        </w:numPr>
        <w:tabs>
          <w:tab w:val="left" w:pos="514"/>
        </w:tabs>
        <w:jc w:val="both"/>
        <w:rPr>
          <w:lang w:val="pl-PL"/>
        </w:rPr>
      </w:pPr>
      <w:r>
        <w:rPr>
          <w:lang w:val="pl"/>
        </w:rPr>
        <w:t>W sprawie</w:t>
      </w:r>
      <w:hyperlink r:id="rId1835" w:history="1">
        <w:r>
          <w:rPr>
            <w:i/>
            <w:iCs/>
            <w:lang w:val="pl"/>
          </w:rPr>
          <w:t xml:space="preserve"> </w:t>
        </w:r>
        <w:r>
          <w:rPr>
            <w:i/>
            <w:iCs/>
            <w:color w:val="0072BC"/>
            <w:lang w:val="pl"/>
          </w:rPr>
          <w:t xml:space="preserve">Vasyanovich p. Rosji </w:t>
        </w:r>
      </w:hyperlink>
      <w:r>
        <w:rPr>
          <w:lang w:val="pl"/>
        </w:rPr>
        <w:t>(dec.) Trybunał skonstatował, że najważniejszym co do istoty elementem zarzutu skarżącego był brak możliwości zrealizowania żetonów piwnych i że w tym aspekcie zarzut został podniesiony skutecznie. Zarzut w pozostałej części, a także wniosek odwoławczy, oba dotyczące zakładów, które skarżący przegrał, i roszczenia o zadośćuczynienie, miały zasadniczo spekulacyjny charakter. W sprawie</w:t>
      </w:r>
      <w:hyperlink r:id="rId1836" w:history="1">
        <w:r>
          <w:rPr>
            <w:i/>
            <w:iCs/>
            <w:lang w:val="pl"/>
          </w:rPr>
          <w:t xml:space="preserve"> </w:t>
        </w:r>
        <w:r>
          <w:rPr>
            <w:i/>
            <w:iCs/>
            <w:color w:val="0072BC"/>
            <w:lang w:val="pl"/>
          </w:rPr>
          <w:t>Grozdanić i</w:t>
        </w:r>
      </w:hyperlink>
      <w:r>
        <w:rPr>
          <w:i/>
          <w:iCs/>
          <w:color w:val="0072BC"/>
          <w:lang w:val="pl"/>
        </w:rPr>
        <w:t xml:space="preserve"> </w:t>
      </w:r>
      <w:hyperlink r:id="rId1837" w:history="1">
        <w:r>
          <w:rPr>
            <w:i/>
            <w:iCs/>
            <w:color w:val="0072BC"/>
            <w:lang w:val="pl"/>
          </w:rPr>
          <w:t>Gršković</w:t>
        </w:r>
        <w:r>
          <w:rPr>
            <w:rFonts w:ascii="Times New Roman" w:hAnsi="Times New Roman"/>
            <w:i/>
            <w:iCs/>
            <w:color w:val="0072BC"/>
            <w:lang w:val="pl"/>
          </w:rPr>
          <w:t>-</w:t>
        </w:r>
        <w:r>
          <w:rPr>
            <w:i/>
            <w:iCs/>
            <w:color w:val="0072BC"/>
            <w:lang w:val="pl"/>
          </w:rPr>
          <w:t>Grozdanić p. Chorwacji</w:t>
        </w:r>
        <w:r>
          <w:rPr>
            <w:lang w:val="pl"/>
          </w:rPr>
          <w:t>,</w:t>
        </w:r>
      </w:hyperlink>
      <w:r>
        <w:rPr>
          <w:lang w:val="pl"/>
        </w:rPr>
        <w:t xml:space="preserve"> §§ 127-132, Trybunał zwrócił uwagę, że zarzut dotyczący dostępu do sądu, podniesiony prz</w:t>
      </w:r>
      <w:r w:rsidR="00D854E1">
        <w:rPr>
          <w:lang w:val="pl"/>
        </w:rPr>
        <w:t>ez skarżącego na podstawie art. </w:t>
      </w:r>
      <w:r>
        <w:rPr>
          <w:lang w:val="pl"/>
        </w:rPr>
        <w:t>6 ust. 1 Konwencji, dotyczył odmowy rozpoznania wniosku odwoławczego, w którym powołano się na kwestie prawne i który nie miał żadnych szans powodzenia (co do przedmiotu skargi); na tej podstawie Trybunał uznał, że skarżący nie doznał znaczącego uszczerbku.</w:t>
      </w:r>
    </w:p>
    <w:p w:rsidR="00B71A20" w:rsidRPr="000625F6" w:rsidRDefault="000425B4" w:rsidP="00115011">
      <w:pPr>
        <w:pStyle w:val="Teksttreci0"/>
        <w:numPr>
          <w:ilvl w:val="0"/>
          <w:numId w:val="102"/>
        </w:numPr>
        <w:tabs>
          <w:tab w:val="left" w:pos="505"/>
        </w:tabs>
        <w:spacing w:after="220"/>
        <w:jc w:val="both"/>
        <w:rPr>
          <w:lang w:val="pl-PL"/>
        </w:rPr>
      </w:pPr>
      <w:bookmarkStart w:id="340" w:name="bookmark344"/>
      <w:r>
        <w:rPr>
          <w:lang w:val="pl"/>
        </w:rPr>
        <w:t>W kontekście wolności wyrażania opinii kryterium braku znaczącego uszczerbku Trybunał zastosował po raz pierwszy w sprawie</w:t>
      </w:r>
      <w:hyperlink r:id="rId1838" w:history="1">
        <w:r>
          <w:rPr>
            <w:i/>
            <w:iCs/>
            <w:lang w:val="pl"/>
          </w:rPr>
          <w:t xml:space="preserve"> </w:t>
        </w:r>
        <w:r>
          <w:rPr>
            <w:i/>
            <w:iCs/>
            <w:color w:val="0072BC"/>
            <w:lang w:val="pl"/>
          </w:rPr>
          <w:t xml:space="preserve">Sylka p. Polsce </w:t>
        </w:r>
      </w:hyperlink>
      <w:r>
        <w:rPr>
          <w:lang w:val="pl"/>
        </w:rPr>
        <w:t>(dec.), § 35. Sprawa ta dotyczyła niefortunnej wymiany zdań między skarżącym a policjantem i nie miała większych następstw ani podtekstu godzącego w interes publiczny, co mogłoby budzić rzeczywiste w</w:t>
      </w:r>
      <w:r w:rsidR="00D854E1">
        <w:rPr>
          <w:lang w:val="pl"/>
        </w:rPr>
        <w:t>ątpliwości w świetle art. 10 (w </w:t>
      </w:r>
      <w:r>
        <w:rPr>
          <w:lang w:val="pl"/>
        </w:rPr>
        <w:t>przeciwieństwie do</w:t>
      </w:r>
      <w:hyperlink r:id="rId1839" w:history="1">
        <w:r>
          <w:rPr>
            <w:i/>
            <w:iCs/>
            <w:lang w:val="pl"/>
          </w:rPr>
          <w:t xml:space="preserve"> </w:t>
        </w:r>
        <w:r>
          <w:rPr>
            <w:i/>
            <w:iCs/>
            <w:color w:val="0072BC"/>
            <w:lang w:val="pl"/>
          </w:rPr>
          <w:t>Eon p. Francji</w:t>
        </w:r>
        <w:r>
          <w:rPr>
            <w:lang w:val="pl"/>
          </w:rPr>
          <w:t>)</w:t>
        </w:r>
      </w:hyperlink>
      <w:r>
        <w:rPr>
          <w:lang w:val="pl"/>
        </w:rPr>
        <w:t>.</w:t>
      </w:r>
      <w:bookmarkEnd w:id="340"/>
    </w:p>
    <w:p w:rsidR="00B71A20" w:rsidRDefault="007D6782" w:rsidP="007D6782">
      <w:pPr>
        <w:pStyle w:val="Nagwek41"/>
        <w:keepNext/>
        <w:keepLines/>
        <w:tabs>
          <w:tab w:val="left" w:pos="322"/>
        </w:tabs>
        <w:jc w:val="both"/>
      </w:pPr>
      <w:bookmarkStart w:id="341" w:name="_Toc126335708"/>
      <w:bookmarkStart w:id="342" w:name="_Toc126660667"/>
      <w:r>
        <w:rPr>
          <w:lang w:val="pl"/>
        </w:rPr>
        <w:t xml:space="preserve">d.  </w:t>
      </w:r>
      <w:r w:rsidR="000425B4">
        <w:rPr>
          <w:lang w:val="pl"/>
        </w:rPr>
        <w:t>Znaczący uszczerbek niefinansowy</w:t>
      </w:r>
      <w:bookmarkEnd w:id="341"/>
      <w:bookmarkEnd w:id="342"/>
    </w:p>
    <w:p w:rsidR="00B71A20" w:rsidRPr="00BA42E1" w:rsidRDefault="000425B4" w:rsidP="00591CA7">
      <w:pPr>
        <w:pStyle w:val="Teksttreci0"/>
        <w:numPr>
          <w:ilvl w:val="0"/>
          <w:numId w:val="103"/>
        </w:numPr>
        <w:tabs>
          <w:tab w:val="left" w:pos="505"/>
        </w:tabs>
        <w:jc w:val="both"/>
        <w:rPr>
          <w:lang w:val="pl-PL"/>
        </w:rPr>
      </w:pPr>
      <w:r>
        <w:rPr>
          <w:lang w:val="pl"/>
        </w:rPr>
        <w:t>Przechodząc do spraw, w których Trybunał odrzucił to nowe kryterium, w</w:t>
      </w:r>
      <w:hyperlink r:id="rId1840" w:history="1">
        <w:r>
          <w:rPr>
            <w:lang w:val="pl"/>
          </w:rPr>
          <w:t xml:space="preserve"> </w:t>
        </w:r>
        <w:r>
          <w:rPr>
            <w:i/>
            <w:iCs/>
            <w:color w:val="0072BC"/>
            <w:lang w:val="pl"/>
          </w:rPr>
          <w:t>3A.CZ s.r.o. p.</w:t>
        </w:r>
      </w:hyperlink>
      <w:r>
        <w:rPr>
          <w:i/>
          <w:iCs/>
          <w:color w:val="0072BC"/>
          <w:lang w:val="pl"/>
        </w:rPr>
        <w:t xml:space="preserve"> </w:t>
      </w:r>
      <w:hyperlink r:id="rId1841" w:history="1">
        <w:r>
          <w:rPr>
            <w:i/>
            <w:iCs/>
            <w:color w:val="0072BC"/>
            <w:lang w:val="pl"/>
          </w:rPr>
          <w:t>Czechom</w:t>
        </w:r>
        <w:r>
          <w:rPr>
            <w:lang w:val="pl"/>
          </w:rPr>
          <w:t>,</w:t>
        </w:r>
      </w:hyperlink>
      <w:r>
        <w:rPr>
          <w:lang w:val="pl"/>
        </w:rPr>
        <w:t xml:space="preserve"> § 34, Trybunał stwierdził, że niezakomunikowane spostrzeżenia mo</w:t>
      </w:r>
      <w:r w:rsidR="00D854E1">
        <w:rPr>
          <w:lang w:val="pl"/>
        </w:rPr>
        <w:t>gły zawierać nowe informacje, o </w:t>
      </w:r>
      <w:r>
        <w:rPr>
          <w:lang w:val="pl"/>
        </w:rPr>
        <w:t>których skarżąca spółka nie wiedziała. Wyróżniając sprawy z kategorii</w:t>
      </w:r>
      <w:hyperlink r:id="rId1842" w:history="1">
        <w:r>
          <w:rPr>
            <w:i/>
            <w:iCs/>
            <w:lang w:val="pl"/>
          </w:rPr>
          <w:t xml:space="preserve"> </w:t>
        </w:r>
        <w:r>
          <w:rPr>
            <w:i/>
            <w:iCs/>
            <w:color w:val="0072BC"/>
            <w:lang w:val="pl"/>
          </w:rPr>
          <w:t>Holub</w:t>
        </w:r>
      </w:hyperlink>
      <w:r>
        <w:rPr>
          <w:i/>
          <w:iCs/>
          <w:color w:val="0072BC"/>
          <w:lang w:val="pl"/>
        </w:rPr>
        <w:t xml:space="preserve"> </w:t>
      </w:r>
      <w:hyperlink r:id="rId1843" w:history="1">
        <w:r>
          <w:rPr>
            <w:i/>
            <w:iCs/>
            <w:color w:val="0072BC"/>
            <w:lang w:val="pl"/>
          </w:rPr>
          <w:t xml:space="preserve">p. Czechom </w:t>
        </w:r>
      </w:hyperlink>
      <w:r>
        <w:rPr>
          <w:lang w:val="pl"/>
        </w:rPr>
        <w:t>(dec.), Trybunał nie mógł orzec, że spółka nie poniosła znaczącego uszczerbku. Tej samej argumentacji użyto w</w:t>
      </w:r>
      <w:hyperlink r:id="rId1844" w:history="1">
        <w:r>
          <w:rPr>
            <w:i/>
            <w:iCs/>
            <w:lang w:val="pl"/>
          </w:rPr>
          <w:t xml:space="preserve"> </w:t>
        </w:r>
        <w:r w:rsidR="00BA42E1">
          <w:rPr>
            <w:i/>
            <w:iCs/>
            <w:color w:val="0072BC"/>
            <w:lang w:val="pl"/>
          </w:rPr>
          <w:t xml:space="preserve">BENet Praha, spol. s </w:t>
        </w:r>
        <w:r>
          <w:rPr>
            <w:i/>
            <w:iCs/>
            <w:color w:val="0072BC"/>
            <w:lang w:val="pl"/>
          </w:rPr>
          <w:t>r.o., p.</w:t>
        </w:r>
      </w:hyperlink>
      <w:r>
        <w:rPr>
          <w:i/>
          <w:iCs/>
          <w:color w:val="0072BC"/>
          <w:lang w:val="pl"/>
        </w:rPr>
        <w:t xml:space="preserve"> </w:t>
      </w:r>
      <w:hyperlink r:id="rId1845" w:history="1">
        <w:r>
          <w:rPr>
            <w:i/>
            <w:iCs/>
            <w:color w:val="0072BC"/>
            <w:lang w:val="pl"/>
          </w:rPr>
          <w:t>Czechom</w:t>
        </w:r>
        <w:r>
          <w:rPr>
            <w:lang w:val="pl"/>
          </w:rPr>
          <w:t>,</w:t>
        </w:r>
      </w:hyperlink>
      <w:r>
        <w:rPr>
          <w:lang w:val="pl"/>
        </w:rPr>
        <w:t xml:space="preserve"> § 135; i</w:t>
      </w:r>
      <w:hyperlink r:id="rId1846" w:history="1">
        <w:r>
          <w:rPr>
            <w:i/>
            <w:iCs/>
            <w:lang w:val="pl"/>
          </w:rPr>
          <w:t xml:space="preserve"> </w:t>
        </w:r>
        <w:r>
          <w:rPr>
            <w:i/>
            <w:iCs/>
            <w:color w:val="0072BC"/>
            <w:lang w:val="pl"/>
          </w:rPr>
          <w:t>Joos p. Szwajcarii</w:t>
        </w:r>
        <w:r>
          <w:rPr>
            <w:lang w:val="pl"/>
          </w:rPr>
          <w:t>,</w:t>
        </w:r>
      </w:hyperlink>
      <w:r>
        <w:rPr>
          <w:lang w:val="pl"/>
        </w:rPr>
        <w:t xml:space="preserve"> § 20.</w:t>
      </w:r>
    </w:p>
    <w:p w:rsidR="00B71A20" w:rsidRPr="000625F6" w:rsidRDefault="000425B4" w:rsidP="00115011">
      <w:pPr>
        <w:pStyle w:val="Teksttreci0"/>
        <w:numPr>
          <w:ilvl w:val="0"/>
          <w:numId w:val="103"/>
        </w:numPr>
        <w:tabs>
          <w:tab w:val="left" w:pos="514"/>
        </w:tabs>
        <w:jc w:val="both"/>
        <w:rPr>
          <w:lang w:val="pl-PL"/>
        </w:rPr>
      </w:pPr>
      <w:r>
        <w:rPr>
          <w:lang w:val="pl"/>
        </w:rPr>
        <w:t>W sprawie</w:t>
      </w:r>
      <w:hyperlink r:id="rId1847" w:history="1">
        <w:r>
          <w:rPr>
            <w:lang w:val="pl"/>
          </w:rPr>
          <w:t xml:space="preserve"> </w:t>
        </w:r>
        <w:r>
          <w:rPr>
            <w:i/>
            <w:iCs/>
            <w:color w:val="0072BC"/>
            <w:lang w:val="pl"/>
          </w:rPr>
          <w:t>Luchaninova p. Ukrainie</w:t>
        </w:r>
        <w:r>
          <w:rPr>
            <w:lang w:val="pl"/>
          </w:rPr>
          <w:t>,</w:t>
        </w:r>
      </w:hyperlink>
      <w:r>
        <w:rPr>
          <w:lang w:val="pl"/>
        </w:rPr>
        <w:t xml:space="preserve"> §§ 46-50, Trybunał zauważył, że wynik postępowania, które skarżąca uznała za niezgodne z prawem i prowadzone w sposób niesprawiedliwy, wywarł szczególnie negatywny skutek na jej życie zawodowe. W szczególności ze skazania skarżącej uczyniono podstawę do zwolnienia jej z pracy. Zatem skarżąca poniosła znaczący uszczerbek. W</w:t>
      </w:r>
      <w:hyperlink r:id="rId1848" w:history="1">
        <w:r>
          <w:rPr>
            <w:lang w:val="pl"/>
          </w:rPr>
          <w:t xml:space="preserve"> </w:t>
        </w:r>
        <w:r>
          <w:rPr>
            <w:i/>
            <w:iCs/>
            <w:color w:val="0072BC"/>
            <w:lang w:val="pl"/>
          </w:rPr>
          <w:t>Diacenco p. Rumunii</w:t>
        </w:r>
        <w:r>
          <w:rPr>
            <w:lang w:val="pl"/>
          </w:rPr>
          <w:t>,</w:t>
        </w:r>
      </w:hyperlink>
      <w:r>
        <w:rPr>
          <w:lang w:val="pl"/>
        </w:rPr>
        <w:t xml:space="preserve"> § 46, kwestią zasadniczą dla skarżącego było jego prawo do domniemania ni</w:t>
      </w:r>
      <w:r w:rsidR="007D6782">
        <w:rPr>
          <w:lang w:val="pl"/>
        </w:rPr>
        <w:t>ewinności zgodnie z art. 6 ust. </w:t>
      </w:r>
      <w:r>
        <w:rPr>
          <w:lang w:val="pl"/>
        </w:rPr>
        <w:t>2.</w:t>
      </w:r>
    </w:p>
    <w:p w:rsidR="00B71A20" w:rsidRDefault="000425B4" w:rsidP="00115011">
      <w:pPr>
        <w:pStyle w:val="Teksttreci0"/>
        <w:numPr>
          <w:ilvl w:val="0"/>
          <w:numId w:val="103"/>
        </w:numPr>
        <w:tabs>
          <w:tab w:val="left" w:pos="514"/>
        </w:tabs>
        <w:spacing w:after="120"/>
        <w:jc w:val="both"/>
      </w:pPr>
      <w:r>
        <w:rPr>
          <w:lang w:val="pl"/>
        </w:rPr>
        <w:t>Innym przykładem związanym z art. 6 jest sprawa</w:t>
      </w:r>
      <w:hyperlink r:id="rId1849" w:history="1">
        <w:r>
          <w:rPr>
            <w:i/>
            <w:iCs/>
            <w:lang w:val="pl"/>
          </w:rPr>
          <w:t xml:space="preserve"> </w:t>
        </w:r>
        <w:r>
          <w:rPr>
            <w:i/>
            <w:iCs/>
            <w:color w:val="0072BC"/>
            <w:lang w:val="pl"/>
          </w:rPr>
          <w:t>Selmani i Inni p. Byłej Jugosłowiańskiej Republice Macedonii</w:t>
        </w:r>
        <w:r>
          <w:rPr>
            <w:lang w:val="pl"/>
          </w:rPr>
          <w:t>,</w:t>
        </w:r>
      </w:hyperlink>
      <w:r>
        <w:rPr>
          <w:lang w:val="pl"/>
        </w:rPr>
        <w:t xml:space="preserve"> §§ 28</w:t>
      </w:r>
      <w:r>
        <w:rPr>
          <w:lang w:val="pl"/>
        </w:rPr>
        <w:noBreakHyphen/>
        <w:t>30 i 40</w:t>
      </w:r>
      <w:r>
        <w:rPr>
          <w:lang w:val="pl"/>
        </w:rPr>
        <w:noBreakHyphen/>
        <w:t>41, która dotyczyła braku wysłuchania w postępowaniu przed Trybunałem Konstytucyjnym. Rząd twierdził, że wysłuchanie nie wpłynęłoby na ustalenie nowych lub innych faktów, a istotne fakty dotyczące usunięcia skarżących z balkonu na sali obrad parlamentu nie stanowiły przedmiotu sporu między stronami i mogły być ustalone na podstawie dowodów na piśmie wniesionych na poparcie skargi konstytucyjnej skarżących. Trybunał uznał, że sprzeciw rządu dotyczył istoty zarzutu, w związku z czym zbadał go na etapie badania przedmiotu skargi. Trybunał zwrócił uwagę, że sprawę skarżących rozpatrywano tylko przed Trybunałem Konstytucyjnym, który był sądem pierwszej i jedynej instancji. Trybunał uznał ponadto, że choć usun</w:t>
      </w:r>
      <w:r w:rsidR="00D854E1">
        <w:rPr>
          <w:lang w:val="pl"/>
        </w:rPr>
        <w:t>ięcie skarżących z balkonu w </w:t>
      </w:r>
      <w:r>
        <w:rPr>
          <w:lang w:val="pl"/>
        </w:rPr>
        <w:t xml:space="preserve">parlamencie samo w sobie nie budziło wątpliwości stron, orzeczenie Trybunału Konstytucyjnego opierało się na faktach podawanych przez skarżących, a jednocześnie </w:t>
      </w:r>
      <w:r w:rsidR="00D854E1">
        <w:rPr>
          <w:lang w:val="pl"/>
        </w:rPr>
        <w:t>istotnych dla rozstrzygnięcia w </w:t>
      </w:r>
      <w:r>
        <w:rPr>
          <w:lang w:val="pl"/>
        </w:rPr>
        <w:t>sprawie. Nie były to kwestie techniczne ani wyłącznie prawne. Skarżący mieli więc prawo do bycia wysłuchanymi przed Trybunałem Konstytucyjnym. Tym samym Trybunał w Strasburgu oddalił zastrzeżenie rządu.</w:t>
      </w:r>
    </w:p>
    <w:p w:rsidR="00B71A20" w:rsidRPr="000625F6" w:rsidRDefault="000425B4" w:rsidP="00115011">
      <w:pPr>
        <w:pStyle w:val="Teksttreci0"/>
        <w:numPr>
          <w:ilvl w:val="0"/>
          <w:numId w:val="103"/>
        </w:numPr>
        <w:tabs>
          <w:tab w:val="left" w:pos="510"/>
        </w:tabs>
        <w:spacing w:after="120"/>
        <w:jc w:val="both"/>
        <w:rPr>
          <w:lang w:val="pl-PL"/>
        </w:rPr>
      </w:pPr>
      <w:r>
        <w:rPr>
          <w:lang w:val="pl"/>
        </w:rPr>
        <w:t>W sprawie</w:t>
      </w:r>
      <w:hyperlink r:id="rId1850" w:history="1">
        <w:r>
          <w:rPr>
            <w:i/>
            <w:iCs/>
            <w:lang w:val="pl"/>
          </w:rPr>
          <w:t xml:space="preserve"> </w:t>
        </w:r>
        <w:r>
          <w:rPr>
            <w:i/>
            <w:iCs/>
            <w:color w:val="0072BC"/>
            <w:lang w:val="pl"/>
          </w:rPr>
          <w:t>Schmidt p. Łotwie</w:t>
        </w:r>
        <w:r>
          <w:rPr>
            <w:lang w:val="pl"/>
          </w:rPr>
          <w:t>,</w:t>
        </w:r>
      </w:hyperlink>
      <w:r>
        <w:rPr>
          <w:lang w:val="pl"/>
        </w:rPr>
        <w:t xml:space="preserve"> §§ 72</w:t>
      </w:r>
      <w:r>
        <w:rPr>
          <w:lang w:val="pl"/>
        </w:rPr>
        <w:noBreakHyphen/>
        <w:t xml:space="preserve">75, skarżąca rozstała się z mężem, z którym mieszkała na Łotwie, i przeniosła się do Niemiec, do mieszkania, w którym małżeństwo mieszkało wcześniej. </w:t>
      </w:r>
      <w:r>
        <w:rPr>
          <w:lang w:val="pl"/>
        </w:rPr>
        <w:lastRenderedPageBreak/>
        <w:t>Następnie mąż skarżącej wniósł pozew o rozwód na Łotwie, o czym jej nie poinformował. Sądowi prowadzącemu sprawę oświadczył, że nie zna aktualnego adresu żony. Po nieudanej próbie doręczenia skarżącej dokumentów rozwodowych w miejscu zamieszkania małżonków na Łotwie, sąd opublikował dwa powiadomienia w łotewskim Dzienniku Urzędowym. Skarżąca nie wiedziała, że toczy się postępowanie, w związku z czym nie stawiła się na rozprawie i sąd orzekł o rozwodzie bez jej udziału. O rozwiązaniu swojego małżeństwa i o tym, że jej mąż ponownie się ożenił, dowiedziała się dopiero kiedy przyjechała na – jak jej się wydawało – pogrzeb męża. Skarżąca zarzuciła, że postępowanie rozwodowe przeprowadzono z naruszeniem art. 6. Trybunał uznał, że nie ma podstaw, aby stwierdzić, że skarżąca nie doznała znaczącego uszczerbku, przy czym zwrócił uwagę m.in. na to, że nie można umniejszać znaczeniu tej sprawy dla skarżącej ani skutkom, jakie wywa</w:t>
      </w:r>
      <w:r w:rsidR="00D854E1">
        <w:rPr>
          <w:lang w:val="pl"/>
        </w:rPr>
        <w:t>rła ona na jej życie prywatne i </w:t>
      </w:r>
      <w:r>
        <w:rPr>
          <w:lang w:val="pl"/>
        </w:rPr>
        <w:t>rodzinne.</w:t>
      </w:r>
    </w:p>
    <w:p w:rsidR="00B71A20" w:rsidRPr="000625F6" w:rsidRDefault="000425B4" w:rsidP="00115011">
      <w:pPr>
        <w:pStyle w:val="Teksttreci0"/>
        <w:numPr>
          <w:ilvl w:val="0"/>
          <w:numId w:val="103"/>
        </w:numPr>
        <w:tabs>
          <w:tab w:val="left" w:pos="505"/>
        </w:tabs>
        <w:spacing w:after="120"/>
        <w:jc w:val="both"/>
        <w:rPr>
          <w:lang w:val="pl-PL"/>
        </w:rPr>
      </w:pPr>
      <w:r>
        <w:rPr>
          <w:lang w:val="pl"/>
        </w:rPr>
        <w:t>Trybunał wielokrotnie stwierdzał, jak ważna w społeczeństwie demokratycznym jest wolność osobista, i dotychczas nie zastosował kryterium braku znaczącego u</w:t>
      </w:r>
      <w:r w:rsidR="00D854E1">
        <w:rPr>
          <w:lang w:val="pl"/>
        </w:rPr>
        <w:t>szczerbku do sprawy z art. 5. W </w:t>
      </w:r>
      <w:r>
        <w:rPr>
          <w:lang w:val="pl"/>
        </w:rPr>
        <w:t xml:space="preserve">sprawie </w:t>
      </w:r>
      <w:hyperlink r:id="rId1851" w:history="1">
        <w:r>
          <w:rPr>
            <w:i/>
            <w:iCs/>
            <w:color w:val="0072BC"/>
            <w:lang w:val="pl"/>
          </w:rPr>
          <w:t>Čamans i Timofejeva p. Łotwie</w:t>
        </w:r>
        <w:r>
          <w:rPr>
            <w:lang w:val="pl"/>
          </w:rPr>
          <w:t>,</w:t>
        </w:r>
      </w:hyperlink>
      <w:r>
        <w:rPr>
          <w:lang w:val="pl"/>
        </w:rPr>
        <w:t xml:space="preserve"> §§ 80</w:t>
      </w:r>
      <w:r>
        <w:rPr>
          <w:lang w:val="pl"/>
        </w:rPr>
        <w:noBreakHyphen/>
        <w:t xml:space="preserve">81, rząd wskazał, że zarzucane ograniczenia praw skarżących do tego, aby nie pozbawiać ich wolności, były stosowane jedynie przez kilka godzin. Trybunał uznał, że skarżący doznali uszczerbku, którego nie można uznać za nieznaczący. Innym przykładem na to, jak ważna jest wolność osobista, powiązanym z art. 6, była sprawa </w:t>
      </w:r>
      <w:hyperlink r:id="rId1852" w:history="1">
        <w:r>
          <w:rPr>
            <w:i/>
            <w:iCs/>
            <w:color w:val="0072BC"/>
            <w:lang w:val="pl"/>
          </w:rPr>
          <w:t>Hebat Aslan i Firas Aslan p. Turcji</w:t>
        </w:r>
        <w:r>
          <w:rPr>
            <w:lang w:val="pl"/>
          </w:rPr>
          <w:t>.</w:t>
        </w:r>
      </w:hyperlink>
      <w:r>
        <w:rPr>
          <w:lang w:val="pl"/>
        </w:rPr>
        <w:t xml:space="preserve"> W tym przypadku kluczowe znaczenie dla skarżących miały osnowa i efekt wniosków odwoławczych, ponieważ skarżący wystąpili o orzeczenie o zgodności z prawem pozbawienia ich wolności, a w szczególności o odstąpieniu od pozbawienia wolności, jeśli zostałoby ono uznane za niezgodne z prawem. Mając na względzie znaczenie prawa do wolności w społeczeństwie demokratycznym, Trybunał nie mógł orzec, że skarżący nie doznali „znaczącego uszczerbku”, wykonując swoje prawo do prawidłowego uczestnictwa w postępowaniach dotyczących rozpatrzenia ich wniosków odwoławczych.</w:t>
      </w:r>
    </w:p>
    <w:p w:rsidR="00B71A20" w:rsidRPr="000625F6" w:rsidRDefault="000425B4" w:rsidP="00115011">
      <w:pPr>
        <w:pStyle w:val="Teksttreci0"/>
        <w:numPr>
          <w:ilvl w:val="0"/>
          <w:numId w:val="103"/>
        </w:numPr>
        <w:tabs>
          <w:tab w:val="left" w:pos="510"/>
        </w:tabs>
        <w:spacing w:after="120"/>
        <w:jc w:val="both"/>
        <w:rPr>
          <w:lang w:val="pl-PL"/>
        </w:rPr>
      </w:pPr>
      <w:r>
        <w:rPr>
          <w:lang w:val="pl"/>
        </w:rPr>
        <w:t>W sprawie</w:t>
      </w:r>
      <w:hyperlink r:id="rId1853" w:history="1">
        <w:r>
          <w:rPr>
            <w:lang w:val="pl"/>
          </w:rPr>
          <w:t xml:space="preserve"> </w:t>
        </w:r>
        <w:r>
          <w:rPr>
            <w:i/>
            <w:iCs/>
            <w:color w:val="0072BC"/>
            <w:lang w:val="pl"/>
          </w:rPr>
          <w:t>Van Velden p. Holandii</w:t>
        </w:r>
        <w:r>
          <w:rPr>
            <w:lang w:val="pl"/>
          </w:rPr>
          <w:t>,</w:t>
        </w:r>
      </w:hyperlink>
      <w:r>
        <w:rPr>
          <w:lang w:val="pl"/>
        </w:rPr>
        <w:t xml:space="preserve"> §§ 33-39, skarżący wniósł skargę na podstawie art. 5 ust. 4 Konwencji. Rząd podniósł argument, że skarżący nie doznał znaczącego</w:t>
      </w:r>
      <w:r w:rsidR="00D854E1">
        <w:rPr>
          <w:lang w:val="pl"/>
        </w:rPr>
        <w:t xml:space="preserve"> uszczerbku, gdyż cały okres, w </w:t>
      </w:r>
      <w:r>
        <w:rPr>
          <w:lang w:val="pl"/>
        </w:rPr>
        <w:t xml:space="preserve">którym przebywał w areszcie tymczasowym, został odliczony od zasądzonego mu wyroku pozbawienia wolności. Jednak Trybunał stwierdził, że postępowanie karne wielu układających się stron miało tę cechę, że okresy pozbawienia wolności przed wyrokiem skazującym i pozbawieniem wolności były odliczane od ostatecznego wyroku; gdyby Trybunał orzekł ogólnie, że wszelki uszczerbek wynikający z tymczasowego aresztowania był zatem </w:t>
      </w:r>
      <w:r>
        <w:rPr>
          <w:i/>
          <w:iCs/>
          <w:lang w:val="pl"/>
        </w:rPr>
        <w:t xml:space="preserve">ipso facto </w:t>
      </w:r>
      <w:r>
        <w:rPr>
          <w:lang w:val="pl"/>
        </w:rPr>
        <w:t>bez znaczenia dla celów Konwencji, tym samym wyłączyłby duży odsetek potencjalnych skarg na podstawie art. 5 z zakresu swojego badania. Zastrzeżenie rządu powołującego się na kryterium braku znaczącego uszczerbku zostało zatem odrzucone. Kolejną sprawą z art. 5, w której zastrzeżenie rządu na podstawie niniejszego kryterium zostało odrzucone, była</w:t>
      </w:r>
      <w:hyperlink r:id="rId1854" w:history="1">
        <w:r>
          <w:rPr>
            <w:lang w:val="pl"/>
          </w:rPr>
          <w:t xml:space="preserve"> </w:t>
        </w:r>
        <w:r>
          <w:rPr>
            <w:i/>
            <w:iCs/>
            <w:color w:val="0072BC"/>
            <w:lang w:val="pl"/>
          </w:rPr>
          <w:t>Bannikov p. Łotwie</w:t>
        </w:r>
        <w:r>
          <w:rPr>
            <w:lang w:val="pl"/>
          </w:rPr>
          <w:t>,</w:t>
        </w:r>
      </w:hyperlink>
      <w:r>
        <w:rPr>
          <w:lang w:val="pl"/>
        </w:rPr>
        <w:t xml:space="preserve"> §§ 54-60. W tym przypadku okres aresztu tymczasowego wynosił rok, jedenaście miesięcy i osiemnaście dni.</w:t>
      </w:r>
    </w:p>
    <w:p w:rsidR="00B71A20" w:rsidRPr="000625F6" w:rsidRDefault="000425B4" w:rsidP="00115011">
      <w:pPr>
        <w:pStyle w:val="Teksttreci0"/>
        <w:numPr>
          <w:ilvl w:val="0"/>
          <w:numId w:val="103"/>
        </w:numPr>
        <w:tabs>
          <w:tab w:val="left" w:pos="510"/>
        </w:tabs>
        <w:spacing w:after="120"/>
        <w:jc w:val="both"/>
        <w:rPr>
          <w:lang w:val="pl-PL"/>
        </w:rPr>
      </w:pPr>
      <w:r>
        <w:rPr>
          <w:lang w:val="pl"/>
        </w:rPr>
        <w:t>W interesujących sprawach dotyczących skarg z art. 8, 9, 10 i 11 zastrzeżenia rządu na podstawie braku znaczącego uszczerbku również zostały odrzucone. W sprawie</w:t>
      </w:r>
      <w:hyperlink r:id="rId1855" w:history="1">
        <w:r>
          <w:rPr>
            <w:i/>
            <w:iCs/>
            <w:lang w:val="pl"/>
          </w:rPr>
          <w:t xml:space="preserve"> </w:t>
        </w:r>
        <w:r>
          <w:rPr>
            <w:i/>
            <w:iCs/>
            <w:color w:val="0072BC"/>
            <w:lang w:val="pl"/>
          </w:rPr>
          <w:t>Biržietis p. Litwie</w:t>
        </w:r>
        <w:r>
          <w:rPr>
            <w:lang w:val="pl"/>
          </w:rPr>
          <w:t>,</w:t>
        </w:r>
      </w:hyperlink>
      <w:r>
        <w:rPr>
          <w:lang w:val="pl"/>
        </w:rPr>
        <w:t xml:space="preserve"> §§ 34</w:t>
      </w:r>
      <w:r>
        <w:rPr>
          <w:lang w:val="pl"/>
        </w:rPr>
        <w:noBreakHyphen/>
        <w:t>37, przepisy wewnętrzne obowiązujące w zakładzie karnym zakazywały skarżącemu zapuszczenia brody, co, jak twierdził, nastręczyło mu cierpienia psychicznego. Trybunał uznał, że w tej sprawie wątpliwości budziło ograniczanie swobody więźniów do decydowania o swoim wyglądzie, co można było uznać za ważną kwestię zasad. W sprawie</w:t>
      </w:r>
      <w:hyperlink r:id="rId1856" w:history="1">
        <w:r>
          <w:rPr>
            <w:i/>
            <w:iCs/>
            <w:lang w:val="pl"/>
          </w:rPr>
          <w:t xml:space="preserve"> </w:t>
        </w:r>
        <w:r>
          <w:rPr>
            <w:i/>
            <w:iCs/>
            <w:color w:val="0072BC"/>
            <w:lang w:val="pl"/>
          </w:rPr>
          <w:t>Brazzi p. Włochom</w:t>
        </w:r>
        <w:r>
          <w:rPr>
            <w:lang w:val="pl"/>
          </w:rPr>
          <w:t>,</w:t>
        </w:r>
      </w:hyperlink>
      <w:r>
        <w:rPr>
          <w:lang w:val="pl"/>
        </w:rPr>
        <w:t xml:space="preserve"> §§ 24</w:t>
      </w:r>
      <w:r>
        <w:rPr>
          <w:lang w:val="pl"/>
        </w:rPr>
        <w:noBreakHyphen/>
        <w:t>29,</w:t>
      </w:r>
      <w:r w:rsidR="00F343C9">
        <w:rPr>
          <w:lang w:val="pl"/>
        </w:rPr>
        <w:t xml:space="preserve"> która dotyczyła przeszukania w </w:t>
      </w:r>
      <w:r>
        <w:rPr>
          <w:lang w:val="pl"/>
        </w:rPr>
        <w:t>mieszkaniu bez następstw natury finansowej, Trybunał wziął pod uwagę subiektywne znaczenie rozpatrywanych wydarzeń dla skarżącego (dla jego prawa do niezak</w:t>
      </w:r>
      <w:r w:rsidR="00D854E1">
        <w:rPr>
          <w:lang w:val="pl"/>
        </w:rPr>
        <w:t>łóconego korzystania z mienia i </w:t>
      </w:r>
      <w:r>
        <w:rPr>
          <w:lang w:val="pl"/>
        </w:rPr>
        <w:t>mieszkania), a także kwestie mające obiektywne znaczenie dla sprawy, tj. istnienie w prawie krajowym skutecznego nadzoru sądowego nad przeszukaniem. W sprawie</w:t>
      </w:r>
      <w:hyperlink r:id="rId1857" w:history="1">
        <w:r>
          <w:rPr>
            <w:i/>
            <w:iCs/>
            <w:lang w:val="pl"/>
          </w:rPr>
          <w:t xml:space="preserve"> </w:t>
        </w:r>
        <w:r>
          <w:rPr>
            <w:i/>
            <w:iCs/>
            <w:color w:val="0072BC"/>
            <w:lang w:val="pl"/>
          </w:rPr>
          <w:t>Cordella i Inni p. Włochom</w:t>
        </w:r>
        <w:r>
          <w:rPr>
            <w:lang w:val="pl"/>
          </w:rPr>
          <w:t>,</w:t>
        </w:r>
      </w:hyperlink>
      <w:r>
        <w:rPr>
          <w:lang w:val="pl"/>
        </w:rPr>
        <w:t xml:space="preserve"> §§ 135</w:t>
      </w:r>
      <w:r>
        <w:rPr>
          <w:lang w:val="pl"/>
        </w:rPr>
        <w:noBreakHyphen/>
        <w:t xml:space="preserve">139, dotyczącej zarzucanego braku reakcji państwa na zanieczyszczanie powietrza przez hutę stali, ze szkodą dla zdrowia ludności mieszkającej w pobliżu tego zakładu, Trybunał wziął pod uwagę charakter zarzutów podniesionych przez skarżących (na podstawie art. 8) oraz to, czy istnieją badania naukowe pokazujące, jak emisje z hut stali zanieczyszczają środowisko i jaki ma to wpływ na zdrowie </w:t>
      </w:r>
      <w:r>
        <w:rPr>
          <w:lang w:val="pl"/>
        </w:rPr>
        <w:lastRenderedPageBreak/>
        <w:t>mieszkańców zanieczyszczonych obszarów. W sprawie</w:t>
      </w:r>
      <w:hyperlink r:id="rId1858" w:history="1">
        <w:r>
          <w:rPr>
            <w:lang w:val="pl"/>
          </w:rPr>
          <w:t xml:space="preserve"> </w:t>
        </w:r>
        <w:r>
          <w:rPr>
            <w:i/>
            <w:iCs/>
            <w:color w:val="0072BC"/>
            <w:lang w:val="pl"/>
          </w:rPr>
          <w:t>Vartic p. Rumunii (nr 2)</w:t>
        </w:r>
        <w:r>
          <w:rPr>
            <w:lang w:val="pl"/>
          </w:rPr>
          <w:t>,</w:t>
        </w:r>
      </w:hyperlink>
      <w:r>
        <w:rPr>
          <w:lang w:val="pl"/>
        </w:rPr>
        <w:t xml:space="preserve"> §§ 37-41, skarżący zarzucał, że odmawiając mu diety wegetariańskiej wynikającej z jego przekonań jako buddysty, władze więzienia naruszyły jego prawo do uzewnętrzniania swojego wyznania na podstawie art. 9. Trybunał orzekł, że przedmiot skargi dotyczy ważnej kwestii zasad (patrz też sprawa</w:t>
      </w:r>
      <w:hyperlink r:id="rId1859" w:history="1">
        <w:r>
          <w:rPr>
            <w:i/>
            <w:iCs/>
            <w:lang w:val="pl"/>
          </w:rPr>
          <w:t xml:space="preserve"> </w:t>
        </w:r>
        <w:r>
          <w:rPr>
            <w:i/>
            <w:iCs/>
            <w:color w:val="0072BC"/>
            <w:lang w:val="pl"/>
          </w:rPr>
          <w:t>Stavropoulos i Inni p. Grecji</w:t>
        </w:r>
        <w:r>
          <w:rPr>
            <w:lang w:val="pl"/>
          </w:rPr>
          <w:t>,</w:t>
        </w:r>
      </w:hyperlink>
      <w:r>
        <w:rPr>
          <w:lang w:val="pl"/>
        </w:rPr>
        <w:t xml:space="preserve"> §§ 29-30, dotycząca świadectwa urodzenia, w którym ujawniono, że rodzice podjęli decyzję, aby nie chrzcić dziecka, oraz związku między tą sytuacją a prawem rodziców do tego, aby nie uzewnętrzniać swoich przekonań). W sprawie</w:t>
      </w:r>
      <w:hyperlink r:id="rId1860" w:history="1">
        <w:r>
          <w:rPr>
            <w:i/>
            <w:iCs/>
            <w:lang w:val="pl"/>
          </w:rPr>
          <w:t xml:space="preserve"> </w:t>
        </w:r>
        <w:r>
          <w:rPr>
            <w:i/>
            <w:iCs/>
            <w:color w:val="0072BC"/>
            <w:lang w:val="pl"/>
          </w:rPr>
          <w:t>Eon</w:t>
        </w:r>
      </w:hyperlink>
      <w:r>
        <w:rPr>
          <w:i/>
          <w:iCs/>
          <w:color w:val="0072BC"/>
          <w:lang w:val="pl"/>
        </w:rPr>
        <w:t xml:space="preserve"> </w:t>
      </w:r>
      <w:hyperlink r:id="rId1861" w:history="1">
        <w:r>
          <w:rPr>
            <w:i/>
            <w:iCs/>
            <w:color w:val="0072BC"/>
            <w:lang w:val="pl"/>
          </w:rPr>
          <w:t>p. Francji</w:t>
        </w:r>
        <w:r>
          <w:rPr>
            <w:lang w:val="pl"/>
          </w:rPr>
          <w:t>,</w:t>
        </w:r>
      </w:hyperlink>
      <w:r>
        <w:rPr>
          <w:lang w:val="pl"/>
        </w:rPr>
        <w:t xml:space="preserve"> § 34, skarga na podstawie art. 10 dotyczyła tego, czy obrażanie głowy państwa powinno pozostać przestępstwem. Odrzucając zastrzeżenie rządu, Trybunał stwierdził, że kwestia ta była subiektywnie ważna dla skarżącego i obiektywnie stanowiła sprawę interesu publicznego. Inna sprawa z art. 10,</w:t>
      </w:r>
      <w:hyperlink r:id="rId1862" w:history="1">
        <w:r>
          <w:rPr>
            <w:i/>
            <w:iCs/>
            <w:lang w:val="pl"/>
          </w:rPr>
          <w:t xml:space="preserve"> </w:t>
        </w:r>
        <w:r>
          <w:rPr>
            <w:i/>
            <w:iCs/>
            <w:color w:val="0072BC"/>
            <w:lang w:val="pl"/>
          </w:rPr>
          <w:t>Jankovskis p. Litwie</w:t>
        </w:r>
        <w:r>
          <w:rPr>
            <w:lang w:val="pl"/>
          </w:rPr>
          <w:t>,</w:t>
        </w:r>
      </w:hyperlink>
      <w:r>
        <w:rPr>
          <w:lang w:val="pl"/>
        </w:rPr>
        <w:t xml:space="preserve"> §§ 59</w:t>
      </w:r>
      <w:r>
        <w:rPr>
          <w:lang w:val="pl"/>
        </w:rPr>
        <w:noBreakHyphen/>
        <w:t>63, dotyczyła prawa osadzonego do otrzymywania informacji. Skarżącemu odmówiono dostępu do strony internetowej z informacjami o programach uczenia się i studiów. Takie informacje miały bezpośrednie znaczenie dla interesu skarżącego polegającego na uzyskaniu wykształcenia, co z kolei miało znaczenie dla jego resocjalizacji, a następnie powrotu do społeczeństwa. Mając na uwadze skutki tej ingerencji dla skarżącego, Trybunał oddalił zastrzeżenia rządu, jakoby skarżący nie doznał znaczącego uszczerbku. W sprawie</w:t>
      </w:r>
      <w:hyperlink r:id="rId1863" w:history="1">
        <w:r>
          <w:rPr>
            <w:lang w:val="pl"/>
          </w:rPr>
          <w:t xml:space="preserve"> </w:t>
        </w:r>
        <w:r w:rsidR="00D854E1">
          <w:rPr>
            <w:i/>
            <w:iCs/>
            <w:color w:val="0072BC"/>
            <w:lang w:val="pl"/>
          </w:rPr>
          <w:t>Šeks p. </w:t>
        </w:r>
        <w:r>
          <w:rPr>
            <w:i/>
            <w:iCs/>
            <w:color w:val="0072BC"/>
            <w:lang w:val="pl"/>
          </w:rPr>
          <w:t>Chorwacji</w:t>
        </w:r>
        <w:r>
          <w:rPr>
            <w:lang w:val="pl"/>
          </w:rPr>
          <w:t>,</w:t>
        </w:r>
      </w:hyperlink>
      <w:r>
        <w:rPr>
          <w:lang w:val="pl"/>
        </w:rPr>
        <w:t xml:space="preserve"> § 49, w której skarżący podnosił, że władze krajowe odmówiły odtajnienia dokumentów, które w jego opinii miały kluczowe znaczenie dla monografii naukowej jego autorstwa, Trybunał oddalił zastrzeżenie rządu, które opierało się na fakcie ostatecznego opublikowania rzeczonej książki, choć bez przywołanych materiałów źródłowych. W sprawie</w:t>
      </w:r>
      <w:hyperlink r:id="rId1864" w:history="1">
        <w:r>
          <w:rPr>
            <w:i/>
            <w:iCs/>
            <w:lang w:val="pl"/>
          </w:rPr>
          <w:t xml:space="preserve"> </w:t>
        </w:r>
        <w:r>
          <w:rPr>
            <w:i/>
            <w:iCs/>
            <w:color w:val="0072BC"/>
            <w:lang w:val="pl"/>
          </w:rPr>
          <w:t>Panioglu p. Rumunii</w:t>
        </w:r>
        <w:r>
          <w:rPr>
            <w:lang w:val="pl"/>
          </w:rPr>
          <w:t>,</w:t>
        </w:r>
      </w:hyperlink>
      <w:r>
        <w:rPr>
          <w:lang w:val="pl"/>
        </w:rPr>
        <w:t xml:space="preserve"> §§ 75-76, Trybunał również oddalił zastrzeżenie rządu i uznał, że zarzucane naruszenie art. 10 (postępowanie dyscyplinarne wobec sędzi w związku z opublikowaniem przez nią insynuacji kwestionujących moralność i etykę zawodową przewodniczącego Sądu Kasacyjnego) dotyczyło „ważnych kwestii zasad”, mając na uwadze subiektywne odczucia skarżącej co do wpływu postępowania na rozwój jej kariery zawodowej i co do faktu, że postępowanie było dla niej karą za udział w debacie prowadzonej w interesie ogólnym na temat reformy i funkcjonowania wymiaru sprawiedliwości. W sprawie</w:t>
      </w:r>
      <w:hyperlink r:id="rId1865" w:history="1">
        <w:r>
          <w:rPr>
            <w:i/>
            <w:iCs/>
            <w:lang w:val="pl"/>
          </w:rPr>
          <w:t xml:space="preserve"> </w:t>
        </w:r>
        <w:r>
          <w:rPr>
            <w:i/>
            <w:iCs/>
            <w:color w:val="0072BC"/>
            <w:lang w:val="pl"/>
          </w:rPr>
          <w:t>Berladir i Inni p. Rosji</w:t>
        </w:r>
        <w:r>
          <w:rPr>
            <w:lang w:val="pl"/>
          </w:rPr>
          <w:t>,</w:t>
        </w:r>
      </w:hyperlink>
      <w:r>
        <w:rPr>
          <w:lang w:val="pl"/>
        </w:rPr>
        <w:t xml:space="preserve"> § 34, Trybunał nie uznał za słuszne oddalenia zarzutów na podstawie art. 10 i 11 w związku z art. 35 ust. 3 lit. b Konwencji, gdyż mogły one dotyczyć kwestii zasad. W sprawie</w:t>
      </w:r>
      <w:hyperlink r:id="rId1866" w:history="1">
        <w:r>
          <w:rPr>
            <w:i/>
            <w:iCs/>
            <w:lang w:val="pl"/>
          </w:rPr>
          <w:t xml:space="preserve"> </w:t>
        </w:r>
        <w:r>
          <w:rPr>
            <w:i/>
            <w:iCs/>
            <w:color w:val="0072BC"/>
            <w:lang w:val="pl"/>
          </w:rPr>
          <w:t>Akarsubaşı i Alçiçek p. Turcji</w:t>
        </w:r>
        <w:r>
          <w:rPr>
            <w:lang w:val="pl"/>
          </w:rPr>
          <w:t>,</w:t>
        </w:r>
      </w:hyperlink>
      <w:r>
        <w:rPr>
          <w:lang w:val="pl"/>
        </w:rPr>
        <w:t xml:space="preserve"> §§ 16</w:t>
      </w:r>
      <w:r>
        <w:rPr>
          <w:lang w:val="pl"/>
        </w:rPr>
        <w:noBreakHyphen/>
        <w:t>20, skarżący, którzy należeli do związku zawodowego, zostali ukarani grzywną za przymocowanie banera z napisem „W tym miejscu pracy jest strajk” do ogrodzenia przed szkołą średnią w dniu ogólnokrajowej mobilizacji. Skarżący podnieśli zarzuty w związku z art. 11 Konwencji. Trybunał odrzucił twierdzenia rządu, jakoby ci skarżący nie doznali znaczącego uszczerbku. Podkreślił także podstawowe znaczenie, jakie ma prawo do pokojowych zgromadzeń, i zwrócił uwagę, ze zarzut naruszenia mógł mieć istotny wpływ na wykonywanie tego prawa przez skarżących, jako że grzywny mogły zniechęcić ich do udziału w innych zgromadzeniach w ramach działalności związkowej. Na podstawowym znaczeniu wolności pokojowych zgromadzeń oparł się Trybunał również w sprawie</w:t>
      </w:r>
      <w:hyperlink r:id="rId1867" w:history="1">
        <w:r>
          <w:rPr>
            <w:i/>
            <w:iCs/>
            <w:lang w:val="pl"/>
          </w:rPr>
          <w:t xml:space="preserve"> </w:t>
        </w:r>
        <w:r>
          <w:rPr>
            <w:i/>
            <w:iCs/>
            <w:color w:val="0072BC"/>
            <w:lang w:val="pl"/>
          </w:rPr>
          <w:t>Öğrü i Inni p. Turcji</w:t>
        </w:r>
        <w:r>
          <w:rPr>
            <w:lang w:val="pl"/>
          </w:rPr>
          <w:t>,</w:t>
        </w:r>
      </w:hyperlink>
      <w:r>
        <w:rPr>
          <w:lang w:val="pl"/>
        </w:rPr>
        <w:t xml:space="preserve"> §§ 53</w:t>
      </w:r>
      <w:r>
        <w:rPr>
          <w:lang w:val="pl"/>
        </w:rPr>
        <w:noBreakHyphen/>
        <w:t>54 (dotyczącej aktywistów na rzecz praw człowieka), w które</w:t>
      </w:r>
      <w:r w:rsidR="00D854E1">
        <w:rPr>
          <w:lang w:val="pl"/>
        </w:rPr>
        <w:t>j odrzucił zastrzeżenia rządu w </w:t>
      </w:r>
      <w:r>
        <w:rPr>
          <w:lang w:val="pl"/>
        </w:rPr>
        <w:t>związku z art. 35 ust. 3 lit. b Konwencji. W odniesieniu do wolności stowarzyszania się patrz</w:t>
      </w:r>
      <w:hyperlink r:id="rId1868" w:history="1">
        <w:r>
          <w:rPr>
            <w:i/>
            <w:iCs/>
            <w:lang w:val="pl"/>
          </w:rPr>
          <w:t xml:space="preserve"> </w:t>
        </w:r>
        <w:r>
          <w:rPr>
            <w:i/>
            <w:iCs/>
            <w:color w:val="0072BC"/>
            <w:lang w:val="pl"/>
          </w:rPr>
          <w:t>Yordanovi p. Bułgarii</w:t>
        </w:r>
        <w:r>
          <w:rPr>
            <w:lang w:val="pl"/>
          </w:rPr>
          <w:t xml:space="preserve">, </w:t>
        </w:r>
      </w:hyperlink>
      <w:r>
        <w:rPr>
          <w:lang w:val="pl"/>
        </w:rPr>
        <w:t>§§ 49-52 (sprawa dotycząca postępowania karnego w związku z próbą założenia ugrupowania politycznego).</w:t>
      </w:r>
    </w:p>
    <w:p w:rsidR="00B71A20" w:rsidRPr="000625F6" w:rsidRDefault="000425B4" w:rsidP="00115011">
      <w:pPr>
        <w:pStyle w:val="Teksttreci0"/>
        <w:numPr>
          <w:ilvl w:val="0"/>
          <w:numId w:val="103"/>
        </w:numPr>
        <w:tabs>
          <w:tab w:val="left" w:pos="514"/>
        </w:tabs>
        <w:spacing w:after="220"/>
        <w:jc w:val="both"/>
        <w:rPr>
          <w:lang w:val="pl-PL"/>
        </w:rPr>
      </w:pPr>
      <w:r>
        <w:rPr>
          <w:lang w:val="pl"/>
        </w:rPr>
        <w:t>Dwa przypadki, w których Trybunał odrzucił zastrzeżenia rządu</w:t>
      </w:r>
      <w:r w:rsidR="00D854E1">
        <w:rPr>
          <w:lang w:val="pl"/>
        </w:rPr>
        <w:t xml:space="preserve"> dotyczące zarzutów w związku z </w:t>
      </w:r>
      <w:r>
        <w:rPr>
          <w:lang w:val="pl"/>
        </w:rPr>
        <w:t>art. 1 Protokołu nr 1, to sprawy</w:t>
      </w:r>
      <w:hyperlink r:id="rId1869" w:history="1">
        <w:r>
          <w:rPr>
            <w:i/>
            <w:iCs/>
            <w:lang w:val="pl"/>
          </w:rPr>
          <w:t xml:space="preserve"> </w:t>
        </w:r>
        <w:r>
          <w:rPr>
            <w:i/>
            <w:iCs/>
            <w:color w:val="0072BC"/>
            <w:lang w:val="pl"/>
          </w:rPr>
          <w:t xml:space="preserve">Siemaszko i Olszyński p. Polsce </w:t>
        </w:r>
      </w:hyperlink>
      <w:r>
        <w:rPr>
          <w:lang w:val="pl"/>
        </w:rPr>
        <w:t>i</w:t>
      </w:r>
      <w:hyperlink r:id="rId1870" w:history="1">
        <w:r>
          <w:rPr>
            <w:i/>
            <w:iCs/>
            <w:lang w:val="pl"/>
          </w:rPr>
          <w:t xml:space="preserve"> </w:t>
        </w:r>
        <w:r>
          <w:rPr>
            <w:i/>
            <w:iCs/>
            <w:color w:val="0072BC"/>
            <w:lang w:val="pl"/>
          </w:rPr>
          <w:t>Statileo p. Chorwacji</w:t>
        </w:r>
        <w:r>
          <w:rPr>
            <w:lang w:val="pl"/>
          </w:rPr>
          <w:t>.</w:t>
        </w:r>
      </w:hyperlink>
      <w:r>
        <w:rPr>
          <w:lang w:val="pl"/>
        </w:rPr>
        <w:t xml:space="preserve"> Pierwsza z nich dotyczyła osadzonych, którzy sprzeciwiali się obowiązkowi deponowania kwot mających stanowić oszczędności, które zostaną im przekazane po wyjściu na wolność, na rachunku</w:t>
      </w:r>
      <w:r w:rsidR="00D854E1">
        <w:rPr>
          <w:lang w:val="pl"/>
        </w:rPr>
        <w:t xml:space="preserve"> oszczędnościowym z </w:t>
      </w:r>
      <w:r>
        <w:rPr>
          <w:lang w:val="pl"/>
        </w:rPr>
        <w:t xml:space="preserve">tak niskim oprocentowaniem, że wartość ich zasobów malała. W drugiej sprawie rozpatrywano </w:t>
      </w:r>
      <w:bookmarkStart w:id="343" w:name="bookmark347"/>
      <w:r>
        <w:rPr>
          <w:lang w:val="pl"/>
        </w:rPr>
        <w:t>przepisy dotyczące mieszkalnictwa w Chorwacji. Skarżący zarzucał, że nie mógł sprzedać mieszkania, wynająć go wybranej osobie ani pobierać czynszu za wynajem w stawkach odpowiadających wartości rynkowej.</w:t>
      </w:r>
      <w:bookmarkEnd w:id="343"/>
    </w:p>
    <w:p w:rsidR="00B71A20" w:rsidRPr="000625F6" w:rsidRDefault="00591CA7" w:rsidP="00591CA7">
      <w:pPr>
        <w:pStyle w:val="Nagwek31"/>
        <w:keepNext/>
        <w:keepLines/>
        <w:spacing w:after="100"/>
        <w:ind w:left="426" w:hanging="426"/>
        <w:jc w:val="both"/>
        <w:rPr>
          <w:lang w:val="pl-PL"/>
        </w:rPr>
      </w:pPr>
      <w:bookmarkStart w:id="344" w:name="_Toc126335709"/>
      <w:bookmarkStart w:id="345" w:name="_Toc126660668"/>
      <w:r>
        <w:rPr>
          <w:lang w:val="pl"/>
        </w:rPr>
        <w:lastRenderedPageBreak/>
        <w:t xml:space="preserve">4.  </w:t>
      </w:r>
      <w:r w:rsidR="000425B4">
        <w:rPr>
          <w:lang w:val="pl"/>
        </w:rPr>
        <w:t>Klauzula ochronna: czy poszanowanie praw człowieka wymaga zbadania przedmiotu skargi</w:t>
      </w:r>
      <w:bookmarkEnd w:id="344"/>
      <w:bookmarkEnd w:id="345"/>
    </w:p>
    <w:p w:rsidR="00B71A20" w:rsidRPr="000625F6" w:rsidRDefault="000425B4" w:rsidP="00115011">
      <w:pPr>
        <w:pStyle w:val="Teksttreci0"/>
        <w:numPr>
          <w:ilvl w:val="0"/>
          <w:numId w:val="103"/>
        </w:numPr>
        <w:tabs>
          <w:tab w:val="left" w:pos="510"/>
        </w:tabs>
        <w:jc w:val="both"/>
        <w:rPr>
          <w:lang w:val="pl-PL"/>
        </w:rPr>
      </w:pPr>
      <w:r>
        <w:rPr>
          <w:lang w:val="pl"/>
        </w:rPr>
        <w:t>Gdy Trybunał stwierdzi, zgodnie z wyżej opisanym podejściem, że nie doszło do żadnego znaczącego uszczerbku, sprawdza, czy mimo to klauzula ochronna zawarta w art. 35 ust. 3 lit. b nie zobowiązuje go do rozpatrzenia przedmiotu skargi.</w:t>
      </w:r>
    </w:p>
    <w:p w:rsidR="00B71A20" w:rsidRDefault="000425B4" w:rsidP="00115011">
      <w:pPr>
        <w:pStyle w:val="Teksttreci0"/>
        <w:numPr>
          <w:ilvl w:val="0"/>
          <w:numId w:val="103"/>
        </w:numPr>
        <w:tabs>
          <w:tab w:val="left" w:pos="510"/>
        </w:tabs>
        <w:jc w:val="both"/>
      </w:pPr>
      <w:r>
        <w:rPr>
          <w:lang w:val="pl"/>
        </w:rPr>
        <w:t>Drugi element stanowi klauzula ochronna (patrz</w:t>
      </w:r>
      <w:hyperlink r:id="rId1871" w:history="1">
        <w:r>
          <w:rPr>
            <w:lang w:val="pl"/>
          </w:rPr>
          <w:t xml:space="preserve"> </w:t>
        </w:r>
        <w:r>
          <w:rPr>
            <w:color w:val="0072BC"/>
            <w:lang w:val="pl"/>
          </w:rPr>
          <w:t xml:space="preserve">Raport wyjaśniający </w:t>
        </w:r>
      </w:hyperlink>
      <w:r>
        <w:rPr>
          <w:lang w:val="pl"/>
        </w:rPr>
        <w:t xml:space="preserve">do Protokołu nr 14 do Konwencji, § 81), zgodnie z którą skarga zostanie uznana za dopuszczalną, jeśli poszanowanie praw człowieka określonych w Konwencji lub Protokołach do niej wymaga rozpatrzenia przedmiotu skargi. Takie kwestie o charakterze ogólnym mogłyby wystąpić na przykład w przypadku potrzeby wyjaśnienia zobowiązań państw w ramach Konwencji lub skłonienia pozwanego państwa do rozwiązania systemowego problemu mającego wpływ na inne osoby znajdujące się w tej samej sytuacji co skarżący </w:t>
      </w:r>
      <w:hyperlink r:id="rId1872" w:history="1">
        <w:r>
          <w:rPr>
            <w:lang w:val="pl"/>
          </w:rPr>
          <w:t>(</w:t>
        </w:r>
        <w:r>
          <w:rPr>
            <w:i/>
            <w:iCs/>
            <w:color w:val="0072BC"/>
            <w:lang w:val="pl"/>
          </w:rPr>
          <w:t xml:space="preserve">Savelyev p. Rosji </w:t>
        </w:r>
      </w:hyperlink>
      <w:r>
        <w:rPr>
          <w:lang w:val="pl"/>
        </w:rPr>
        <w:t>(dec.) § 33).</w:t>
      </w:r>
    </w:p>
    <w:p w:rsidR="00B71A20" w:rsidRPr="000625F6" w:rsidRDefault="000425B4">
      <w:pPr>
        <w:pStyle w:val="Teksttreci0"/>
        <w:jc w:val="both"/>
        <w:rPr>
          <w:lang w:val="pl-PL"/>
        </w:rPr>
      </w:pPr>
      <w:r>
        <w:rPr>
          <w:lang w:val="pl"/>
        </w:rPr>
        <w:t>Brzmienie tego elementu zostało zaczerpnięte z art. 37 ust. 1 zdanie drugie Konwencji, tj. postanowienia, które pełni podobną funkcję w kontekście decyzji dotyczących skreślenia skarg z listy spraw Trybunału. To samo sformułowanie użyte zostało w art. 39 ust. 1 Konwencji jako podstawa polubownego rozstrzygnięcia sporu między stronami.</w:t>
      </w:r>
    </w:p>
    <w:p w:rsidR="00B71A20" w:rsidRPr="000625F6" w:rsidRDefault="000425B4" w:rsidP="00115011">
      <w:pPr>
        <w:pStyle w:val="Teksttreci0"/>
        <w:numPr>
          <w:ilvl w:val="0"/>
          <w:numId w:val="103"/>
        </w:numPr>
        <w:tabs>
          <w:tab w:val="left" w:pos="514"/>
        </w:tabs>
        <w:jc w:val="both"/>
        <w:rPr>
          <w:lang w:val="pl-PL"/>
        </w:rPr>
      </w:pPr>
      <w:r>
        <w:rPr>
          <w:lang w:val="pl"/>
        </w:rPr>
        <w:t xml:space="preserve">Organy konwencyjne konsekwentnie interpretują te postanowienia w taki sposób, że wymaga się od nich dalszego badania sprawy, niezależnie od jej rozstrzygnięcia przez strony lub istnienia jakiejkolwiek innej podstawy do skreślenia sprawy z listy. W związku z tym nawet jeśli są spełnione inne kryteria odrzucenia skargi na podstawie art. 35 ust. 3 lit. b Konwencji, ze względu na przestrzeganie praw człowieka Trybunał może być zobowiązany do zbadania przedmiotu skargi </w:t>
      </w:r>
      <w:hyperlink r:id="rId1873" w:history="1">
        <w:r>
          <w:rPr>
            <w:lang w:val="pl"/>
          </w:rPr>
          <w:t>(</w:t>
        </w:r>
        <w:r>
          <w:rPr>
            <w:i/>
            <w:iCs/>
            <w:color w:val="0072BC"/>
            <w:lang w:val="pl"/>
          </w:rPr>
          <w:t>Maravić Markeš p. Chorwacji</w:t>
        </w:r>
        <w:r>
          <w:rPr>
            <w:lang w:val="pl"/>
          </w:rPr>
          <w:t>,</w:t>
        </w:r>
      </w:hyperlink>
      <w:r>
        <w:rPr>
          <w:lang w:val="pl"/>
        </w:rPr>
        <w:t xml:space="preserve"> §§ 50</w:t>
      </w:r>
      <w:r>
        <w:rPr>
          <w:lang w:val="pl"/>
        </w:rPr>
        <w:noBreakHyphen/>
        <w:t>55). W sprawie</w:t>
      </w:r>
      <w:hyperlink r:id="rId1874" w:history="1">
        <w:r>
          <w:rPr>
            <w:i/>
            <w:iCs/>
            <w:lang w:val="pl"/>
          </w:rPr>
          <w:t xml:space="preserve"> </w:t>
        </w:r>
        <w:r>
          <w:rPr>
            <w:i/>
            <w:iCs/>
            <w:color w:val="0072BC"/>
            <w:lang w:val="pl"/>
          </w:rPr>
          <w:t>Daniel</w:t>
        </w:r>
      </w:hyperlink>
      <w:r>
        <w:rPr>
          <w:i/>
          <w:iCs/>
          <w:color w:val="0072BC"/>
          <w:lang w:val="pl"/>
        </w:rPr>
        <w:t xml:space="preserve"> </w:t>
      </w:r>
      <w:hyperlink r:id="rId1875" w:history="1">
        <w:r>
          <w:rPr>
            <w:i/>
            <w:iCs/>
            <w:color w:val="0072BC"/>
            <w:lang w:val="pl"/>
          </w:rPr>
          <w:t>Faulkner p. Wielkiej Brytanii</w:t>
        </w:r>
        <w:r>
          <w:rPr>
            <w:lang w:val="pl"/>
          </w:rPr>
          <w:t>,</w:t>
        </w:r>
      </w:hyperlink>
      <w:r>
        <w:rPr>
          <w:lang w:val="pl"/>
        </w:rPr>
        <w:t xml:space="preserve"> § 27, Trybunał nie uznał za konieczne ustalenia, czy w przypadku skarżącego można mówić o „znaczącym uszczerbku”, ponieważ podniesiony przez niego zarzut zwracał uwagę na nowy problem dotyczący zasad w związku z art. 5, który wymagał rozważenia przez Trybunał.</w:t>
      </w:r>
    </w:p>
    <w:p w:rsidR="00B71A20" w:rsidRPr="000625F6" w:rsidRDefault="000425B4" w:rsidP="00115011">
      <w:pPr>
        <w:pStyle w:val="Teksttreci0"/>
        <w:numPr>
          <w:ilvl w:val="0"/>
          <w:numId w:val="103"/>
        </w:numPr>
        <w:tabs>
          <w:tab w:val="left" w:pos="505"/>
        </w:tabs>
        <w:jc w:val="both"/>
        <w:rPr>
          <w:lang w:val="pl-PL"/>
        </w:rPr>
      </w:pPr>
      <w:r>
        <w:rPr>
          <w:lang w:val="pl"/>
        </w:rPr>
        <w:t>Trybunał w ten sam sposób podszedł do sprawy</w:t>
      </w:r>
      <w:hyperlink r:id="rId1876" w:history="1">
        <w:r>
          <w:rPr>
            <w:lang w:val="pl"/>
          </w:rPr>
          <w:t xml:space="preserve"> </w:t>
        </w:r>
        <w:r>
          <w:rPr>
            <w:i/>
            <w:iCs/>
            <w:color w:val="0072BC"/>
            <w:lang w:val="pl"/>
          </w:rPr>
          <w:t>Finger p. Bułgarii</w:t>
        </w:r>
        <w:r>
          <w:rPr>
            <w:lang w:val="pl"/>
          </w:rPr>
          <w:t>,</w:t>
        </w:r>
      </w:hyperlink>
      <w:r>
        <w:rPr>
          <w:lang w:val="pl"/>
        </w:rPr>
        <w:t xml:space="preserve"> §§ 67-77, uznając za konieczne ustalenie, czy skarżący poniósł znaczący uszczerbek, ponieważ poszanowanie praw człowieka wymagało zbadania przedmiotu skargi (dotyczącego potencjalnego problemu systemowego wynikającego z nieuzasadnionej długości trwania postępowania cywilnego i zarzucanego braku skutecznego środka odwoławczego).</w:t>
      </w:r>
    </w:p>
    <w:p w:rsidR="00B71A20" w:rsidRPr="000625F6" w:rsidRDefault="000425B4" w:rsidP="00115011">
      <w:pPr>
        <w:pStyle w:val="Teksttreci0"/>
        <w:numPr>
          <w:ilvl w:val="0"/>
          <w:numId w:val="103"/>
        </w:numPr>
        <w:tabs>
          <w:tab w:val="left" w:pos="514"/>
        </w:tabs>
        <w:jc w:val="both"/>
        <w:rPr>
          <w:lang w:val="pl-PL"/>
        </w:rPr>
      </w:pPr>
      <w:r>
        <w:rPr>
          <w:lang w:val="pl"/>
        </w:rPr>
        <w:t>W sprawie</w:t>
      </w:r>
      <w:hyperlink r:id="rId1877" w:history="1">
        <w:r>
          <w:rPr>
            <w:lang w:val="pl"/>
          </w:rPr>
          <w:t xml:space="preserve"> </w:t>
        </w:r>
        <w:r>
          <w:rPr>
            <w:i/>
            <w:iCs/>
            <w:color w:val="0072BC"/>
            <w:lang w:val="pl"/>
          </w:rPr>
          <w:t>Živić p. Serbii</w:t>
        </w:r>
        <w:r>
          <w:rPr>
            <w:lang w:val="pl"/>
          </w:rPr>
          <w:t>,</w:t>
        </w:r>
      </w:hyperlink>
      <w:r>
        <w:rPr>
          <w:lang w:val="pl"/>
        </w:rPr>
        <w:t xml:space="preserve"> §§ 36-42, Trybunał również stwierdził, że nawet przy założeniu, że skarżący nie poniósł znaczącego uszczerbku, sprawa dotyczyła interesu ogólnego, który należało zbadać. Wynikało to z niekonsekwentnego orzecznictwa Sądu Okręgowego w Belgradzie dotyczącego prawa do sprawiedliwego wynagrodzenia i równej płacy za równą pracę, czyli w tym przypadku wypłaty tej samej podwyżki wynagrodzenia przyznanej określonej kategorii policjantów.</w:t>
      </w:r>
    </w:p>
    <w:p w:rsidR="00B71A20" w:rsidRPr="000625F6" w:rsidRDefault="000425B4" w:rsidP="00115011">
      <w:pPr>
        <w:pStyle w:val="Teksttreci0"/>
        <w:numPr>
          <w:ilvl w:val="0"/>
          <w:numId w:val="103"/>
        </w:numPr>
        <w:tabs>
          <w:tab w:val="left" w:pos="519"/>
        </w:tabs>
        <w:spacing w:after="120"/>
        <w:jc w:val="both"/>
        <w:rPr>
          <w:lang w:val="pl-PL"/>
        </w:rPr>
      </w:pPr>
      <w:r>
        <w:rPr>
          <w:lang w:val="pl"/>
        </w:rPr>
        <w:t>Podobnie w sprawie</w:t>
      </w:r>
      <w:hyperlink r:id="rId1878" w:history="1">
        <w:r>
          <w:rPr>
            <w:i/>
            <w:iCs/>
            <w:lang w:val="pl"/>
          </w:rPr>
          <w:t xml:space="preserve"> </w:t>
        </w:r>
        <w:r>
          <w:rPr>
            <w:i/>
            <w:iCs/>
            <w:color w:val="0072BC"/>
            <w:lang w:val="pl"/>
          </w:rPr>
          <w:t>Nicoleta Gheorghe p. Rumunii</w:t>
        </w:r>
      </w:hyperlink>
      <w:r>
        <w:rPr>
          <w:lang w:val="pl"/>
        </w:rPr>
        <w:t xml:space="preserve"> Trybunał odrzucił nowe kryterium, mimo że chodziło o zasądzenie nieistotnej kwoty (17 euro), ponieważ decyzja w tej sprawie dotycząca zasady była potrzebna dla krajowego sądownictwa (sprawa dotyczyła kw</w:t>
      </w:r>
      <w:r w:rsidR="00D854E1">
        <w:rPr>
          <w:lang w:val="pl"/>
        </w:rPr>
        <w:t>estii domniemania niewinności i </w:t>
      </w:r>
      <w:r>
        <w:rPr>
          <w:lang w:val="pl"/>
        </w:rPr>
        <w:t>równego traktowania w postępowaniu karnym i była pierwszym orzeczeniem po zmianie prawa krajowego). W sprawie</w:t>
      </w:r>
      <w:hyperlink r:id="rId1879" w:history="1">
        <w:r>
          <w:rPr>
            <w:lang w:val="pl"/>
          </w:rPr>
          <w:t xml:space="preserve"> </w:t>
        </w:r>
        <w:r>
          <w:rPr>
            <w:i/>
            <w:iCs/>
            <w:color w:val="0072BC"/>
            <w:lang w:val="pl"/>
          </w:rPr>
          <w:t xml:space="preserve">Juhas Đurić p. Serbii </w:t>
        </w:r>
      </w:hyperlink>
      <w:r>
        <w:rPr>
          <w:lang w:val="pl"/>
        </w:rPr>
        <w:t>(rewizja) skarżący podnosił kwestię wypłaty wynagrodzenia obrońcy powołanemu przez policję w trakcie postępowania przygotowawczego w sprawie karnej. Trybunał stwierdził, że zaskarżone kwestie nie mogły być uznane za błahe lub, w konsekwencji, za coś, co nie zasługiwało na zbadanie co do przedmiotu, ponieważ dotyczyły one funkcjonowania systemu wymiaru sprawiedliwości w sprawach karnych. Zatem zastrzeżenie rządu oparte na nowym kryterium dopuszczalności zostało odrzucone, ponieważ poszanowanie praw człowieka wymagało zbadania skargi co do jej przedmiotu. W sprawie</w:t>
      </w:r>
      <w:hyperlink r:id="rId1880" w:history="1">
        <w:r>
          <w:rPr>
            <w:i/>
            <w:iCs/>
            <w:lang w:val="pl"/>
          </w:rPr>
          <w:t xml:space="preserve"> </w:t>
        </w:r>
        <w:r>
          <w:rPr>
            <w:i/>
            <w:iCs/>
            <w:color w:val="0072BC"/>
            <w:lang w:val="pl"/>
          </w:rPr>
          <w:t>Strezovski i</w:t>
        </w:r>
      </w:hyperlink>
      <w:r>
        <w:rPr>
          <w:i/>
          <w:iCs/>
          <w:color w:val="0072BC"/>
          <w:lang w:val="pl"/>
        </w:rPr>
        <w:t xml:space="preserve"> </w:t>
      </w:r>
      <w:hyperlink r:id="rId1881" w:history="1">
        <w:r>
          <w:rPr>
            <w:i/>
            <w:iCs/>
            <w:color w:val="0072BC"/>
            <w:lang w:val="pl"/>
          </w:rPr>
          <w:t>Inni p. Macedonii Północnej</w:t>
        </w:r>
        <w:r>
          <w:rPr>
            <w:lang w:val="pl"/>
          </w:rPr>
          <w:t xml:space="preserve"> </w:t>
        </w:r>
      </w:hyperlink>
      <w:r>
        <w:rPr>
          <w:lang w:val="pl"/>
        </w:rPr>
        <w:t xml:space="preserve">Trybunał odrzucił zastrzeżenie rządu m.in. dlatego, że sprawa dotyczyła kwestii o powszechnym znaczeniu (w podobnej sytuacji jak skarżący znajdowało się 12 tys. gospodarstw domowych), a przed Trybunałem było </w:t>
      </w:r>
      <w:r>
        <w:rPr>
          <w:lang w:val="pl"/>
        </w:rPr>
        <w:lastRenderedPageBreak/>
        <w:t>zawisłych ponad 120 podobnych spraw (§ 49).</w:t>
      </w:r>
    </w:p>
    <w:p w:rsidR="00B71A20" w:rsidRPr="000625F6" w:rsidRDefault="000425B4" w:rsidP="00115011">
      <w:pPr>
        <w:pStyle w:val="Teksttreci0"/>
        <w:numPr>
          <w:ilvl w:val="0"/>
          <w:numId w:val="103"/>
        </w:numPr>
        <w:tabs>
          <w:tab w:val="left" w:pos="510"/>
        </w:tabs>
        <w:spacing w:after="120"/>
        <w:jc w:val="both"/>
        <w:rPr>
          <w:lang w:val="pl-PL"/>
        </w:rPr>
      </w:pPr>
      <w:r>
        <w:rPr>
          <w:lang w:val="pl"/>
        </w:rPr>
        <w:t>Jak zauważono w ust. 39</w:t>
      </w:r>
      <w:hyperlink r:id="rId1882" w:history="1">
        <w:r>
          <w:rPr>
            <w:lang w:val="pl"/>
          </w:rPr>
          <w:t xml:space="preserve"> </w:t>
        </w:r>
        <w:r>
          <w:rPr>
            <w:color w:val="0072BC"/>
            <w:lang w:val="pl"/>
          </w:rPr>
          <w:t xml:space="preserve">Raportu wyjaśniającego </w:t>
        </w:r>
      </w:hyperlink>
      <w:r>
        <w:rPr>
          <w:lang w:val="pl"/>
        </w:rPr>
        <w:t xml:space="preserve">do Protokołu nr 14, stosowanie kryterium dopuszczalności powinno zapewnić, że nie będą odrzucane sprawy, które, mimo błahego charakteru, podnoszą poważne kwestie wpływające na stosowanie lub interpretację Konwencji lub istotne kwestie z zakresu prawa krajowego </w:t>
      </w:r>
      <w:hyperlink r:id="rId1883" w:history="1">
        <w:r>
          <w:rPr>
            <w:lang w:val="pl"/>
          </w:rPr>
          <w:t>(</w:t>
        </w:r>
        <w:r>
          <w:rPr>
            <w:i/>
            <w:iCs/>
            <w:color w:val="0072BC"/>
            <w:lang w:val="pl"/>
          </w:rPr>
          <w:t>Maravić Markeš p. Chorwacji</w:t>
        </w:r>
        <w:r>
          <w:rPr>
            <w:lang w:val="pl"/>
          </w:rPr>
          <w:t>,</w:t>
        </w:r>
      </w:hyperlink>
      <w:r>
        <w:rPr>
          <w:lang w:val="pl"/>
        </w:rPr>
        <w:t xml:space="preserve"> § 51).</w:t>
      </w:r>
    </w:p>
    <w:p w:rsidR="00B71A20" w:rsidRPr="000625F6" w:rsidRDefault="000425B4" w:rsidP="00115011">
      <w:pPr>
        <w:pStyle w:val="Teksttreci0"/>
        <w:numPr>
          <w:ilvl w:val="0"/>
          <w:numId w:val="103"/>
        </w:numPr>
        <w:tabs>
          <w:tab w:val="left" w:pos="519"/>
        </w:tabs>
        <w:spacing w:after="120"/>
        <w:jc w:val="both"/>
        <w:rPr>
          <w:lang w:val="pl-PL"/>
        </w:rPr>
        <w:sectPr w:rsidR="00B71A20" w:rsidRPr="000625F6">
          <w:pgSz w:w="11900" w:h="16840"/>
          <w:pgMar w:top="1436" w:right="1400" w:bottom="1417" w:left="1400" w:header="0" w:footer="3" w:gutter="0"/>
          <w:cols w:space="720"/>
          <w:noEndnote/>
          <w:docGrid w:linePitch="360"/>
          <w15:footnoteColumns w:val="1"/>
        </w:sectPr>
      </w:pPr>
      <w:r>
        <w:rPr>
          <w:lang w:val="pl"/>
        </w:rPr>
        <w:t xml:space="preserve">Trybunał wcześniej orzekł, że poszanowanie praw człowieka nie wymaga od niego dalszego badania skargi gdy, na przykład, odnośne prawo uległo zmianie i podobne kwestie zostały rozstrzygnięte w innych sprawach wniesionych do Trybunału </w:t>
      </w:r>
      <w:hyperlink r:id="rId1884" w:history="1">
        <w:r>
          <w:rPr>
            <w:lang w:val="pl"/>
          </w:rPr>
          <w:t>(</w:t>
        </w:r>
        <w:r>
          <w:rPr>
            <w:i/>
            <w:iCs/>
            <w:color w:val="0072BC"/>
            <w:lang w:val="pl"/>
          </w:rPr>
          <w:t xml:space="preserve">Léger p. Francji </w:t>
        </w:r>
      </w:hyperlink>
      <w:r>
        <w:rPr>
          <w:lang w:val="pl"/>
        </w:rPr>
        <w:t>(skreślenie) [WI], § 51;</w:t>
      </w:r>
      <w:hyperlink r:id="rId1885" w:history="1">
        <w:r>
          <w:rPr>
            <w:i/>
            <w:iCs/>
            <w:lang w:val="pl"/>
          </w:rPr>
          <w:t xml:space="preserve"> </w:t>
        </w:r>
        <w:r>
          <w:rPr>
            <w:i/>
            <w:iCs/>
            <w:color w:val="0072BC"/>
            <w:lang w:val="pl"/>
          </w:rPr>
          <w:t>Rinck p. Francji</w:t>
        </w:r>
      </w:hyperlink>
      <w:r>
        <w:rPr>
          <w:color w:val="0072BC"/>
          <w:lang w:val="pl"/>
        </w:rPr>
        <w:t xml:space="preserve"> </w:t>
      </w:r>
      <w:r>
        <w:rPr>
          <w:lang w:val="pl"/>
        </w:rPr>
        <w:t>(dec.);</w:t>
      </w:r>
      <w:hyperlink r:id="rId1886" w:history="1">
        <w:r>
          <w:rPr>
            <w:i/>
            <w:iCs/>
            <w:lang w:val="pl"/>
          </w:rPr>
          <w:t xml:space="preserve"> </w:t>
        </w:r>
        <w:r>
          <w:rPr>
            <w:i/>
            <w:iCs/>
            <w:color w:val="0072BC"/>
            <w:lang w:val="pl"/>
          </w:rPr>
          <w:t>Fedotova p. Rosji</w:t>
        </w:r>
        <w:r>
          <w:rPr>
            <w:lang w:val="pl"/>
          </w:rPr>
          <w:t>)</w:t>
        </w:r>
      </w:hyperlink>
      <w:r>
        <w:rPr>
          <w:lang w:val="pl"/>
        </w:rPr>
        <w:t xml:space="preserve">. Trybunał nie bada również skargi, gdy dotyczy ona uchylonego przepisu prawa, a skarga przed Trybunałem ma jedynie wartość historyczną </w:t>
      </w:r>
      <w:hyperlink r:id="rId1887" w:history="1">
        <w:r>
          <w:rPr>
            <w:lang w:val="pl"/>
          </w:rPr>
          <w:t>(</w:t>
        </w:r>
        <w:r>
          <w:rPr>
            <w:i/>
            <w:iCs/>
            <w:color w:val="0072BC"/>
            <w:lang w:val="pl"/>
          </w:rPr>
          <w:t xml:space="preserve">Ionescu p. Rumunii </w:t>
        </w:r>
      </w:hyperlink>
      <w:r>
        <w:rPr>
          <w:lang w:val="pl"/>
        </w:rPr>
        <w:t xml:space="preserve">(dec.)). Podobnie poszanowanie praw człowieka nie nakłada na Trybunał obowiązku zbadania skargi, jeżeli Trybunał i Komitet Ministrów ustosunkowali się do kwestii jako do problemu systemowego, np. niewykonywania orzeczeń sądów krajowych przez Federację Rosyjską </w:t>
      </w:r>
      <w:hyperlink r:id="rId1888" w:history="1">
        <w:r>
          <w:rPr>
            <w:lang w:val="pl"/>
          </w:rPr>
          <w:t>(</w:t>
        </w:r>
        <w:r>
          <w:rPr>
            <w:i/>
            <w:iCs/>
            <w:color w:val="0072BC"/>
            <w:lang w:val="pl"/>
          </w:rPr>
          <w:t>Vasilchenko p. Rosji</w:t>
        </w:r>
        <w:r>
          <w:rPr>
            <w:lang w:val="pl"/>
          </w:rPr>
          <w:t>)</w:t>
        </w:r>
      </w:hyperlink>
      <w:r>
        <w:rPr>
          <w:lang w:val="pl"/>
        </w:rPr>
        <w:t xml:space="preserve"> lub Rumunię </w:t>
      </w:r>
      <w:hyperlink r:id="rId1889" w:history="1">
        <w:r>
          <w:rPr>
            <w:lang w:val="pl"/>
          </w:rPr>
          <w:t>(</w:t>
        </w:r>
        <w:r>
          <w:rPr>
            <w:i/>
            <w:iCs/>
            <w:color w:val="0072BC"/>
            <w:lang w:val="pl"/>
          </w:rPr>
          <w:t>Gaftoniuc</w:t>
        </w:r>
      </w:hyperlink>
      <w:r>
        <w:rPr>
          <w:i/>
          <w:iCs/>
          <w:color w:val="0072BC"/>
          <w:lang w:val="pl"/>
        </w:rPr>
        <w:t xml:space="preserve"> </w:t>
      </w:r>
      <w:hyperlink r:id="rId1890" w:history="1">
        <w:r>
          <w:rPr>
            <w:i/>
            <w:iCs/>
            <w:color w:val="0072BC"/>
            <w:lang w:val="pl"/>
          </w:rPr>
          <w:t xml:space="preserve">p. Rumunii </w:t>
        </w:r>
      </w:hyperlink>
      <w:r>
        <w:rPr>
          <w:lang w:val="pl"/>
        </w:rPr>
        <w:t>(dec.);</w:t>
      </w:r>
      <w:hyperlink r:id="rId1891" w:history="1">
        <w:r>
          <w:rPr>
            <w:lang w:val="pl"/>
          </w:rPr>
          <w:t xml:space="preserve"> </w:t>
        </w:r>
        <w:r>
          <w:rPr>
            <w:i/>
            <w:iCs/>
            <w:color w:val="0072BC"/>
            <w:lang w:val="pl"/>
          </w:rPr>
          <w:t xml:space="preserve">Savu p. Rumunii </w:t>
        </w:r>
      </w:hyperlink>
      <w:r>
        <w:rPr>
          <w:lang w:val="pl"/>
        </w:rPr>
        <w:t xml:space="preserve">(dec.)), czy też przez Republikę Mołdawii </w:t>
      </w:r>
      <w:hyperlink r:id="rId1892" w:history="1">
        <w:r>
          <w:rPr>
            <w:lang w:val="pl"/>
          </w:rPr>
          <w:t>(</w:t>
        </w:r>
        <w:r>
          <w:rPr>
            <w:i/>
            <w:iCs/>
            <w:color w:val="0072BC"/>
            <w:lang w:val="pl"/>
          </w:rPr>
          <w:t>Burov p. Mołdawii</w:t>
        </w:r>
      </w:hyperlink>
      <w:r>
        <w:rPr>
          <w:color w:val="0072BC"/>
          <w:lang w:val="pl"/>
        </w:rPr>
        <w:t xml:space="preserve"> </w:t>
      </w:r>
      <w:r>
        <w:rPr>
          <w:lang w:val="pl"/>
        </w:rPr>
        <w:t xml:space="preserve">(dec.)) lub Armenię </w:t>
      </w:r>
      <w:hyperlink r:id="rId1893" w:history="1">
        <w:r>
          <w:rPr>
            <w:lang w:val="pl"/>
          </w:rPr>
          <w:t>(</w:t>
        </w:r>
        <w:r>
          <w:rPr>
            <w:i/>
            <w:iCs/>
            <w:color w:val="0072BC"/>
            <w:lang w:val="pl"/>
          </w:rPr>
          <w:t xml:space="preserve">Guruyan p. Armenii </w:t>
        </w:r>
      </w:hyperlink>
      <w:r>
        <w:rPr>
          <w:lang w:val="pl"/>
        </w:rPr>
        <w:t xml:space="preserve">(dec.)). Ponadto jeżeli sprawa dotyczy przewlekłości postępowań w Grecji </w:t>
      </w:r>
      <w:hyperlink r:id="rId1894" w:history="1">
        <w:r>
          <w:rPr>
            <w:lang w:val="pl"/>
          </w:rPr>
          <w:t>(</w:t>
        </w:r>
        <w:r>
          <w:rPr>
            <w:i/>
            <w:iCs/>
            <w:color w:val="0072BC"/>
            <w:lang w:val="pl"/>
          </w:rPr>
          <w:t xml:space="preserve">Kiousi p. Grecji </w:t>
        </w:r>
      </w:hyperlink>
      <w:r>
        <w:rPr>
          <w:lang w:val="pl"/>
        </w:rPr>
        <w:t xml:space="preserve">(dec.)) lub Czechach </w:t>
      </w:r>
      <w:hyperlink r:id="rId1895" w:history="1">
        <w:r>
          <w:rPr>
            <w:lang w:val="pl"/>
          </w:rPr>
          <w:t>(</w:t>
        </w:r>
        <w:r>
          <w:rPr>
            <w:i/>
            <w:iCs/>
            <w:color w:val="0072BC"/>
            <w:lang w:val="pl"/>
          </w:rPr>
          <w:t>Havelka p.</w:t>
        </w:r>
      </w:hyperlink>
      <w:r>
        <w:rPr>
          <w:i/>
          <w:iCs/>
          <w:color w:val="0072BC"/>
          <w:lang w:val="pl"/>
        </w:rPr>
        <w:t xml:space="preserve"> </w:t>
      </w:r>
      <w:hyperlink r:id="rId1896" w:history="1">
        <w:r>
          <w:rPr>
            <w:i/>
            <w:iCs/>
            <w:color w:val="0072BC"/>
            <w:lang w:val="pl"/>
          </w:rPr>
          <w:t xml:space="preserve">Czechom </w:t>
        </w:r>
      </w:hyperlink>
      <w:r>
        <w:rPr>
          <w:lang w:val="pl"/>
        </w:rPr>
        <w:t xml:space="preserve">(dec.)), Trybunał miał wiele sposobności, by odnieść się do tej kwestii we wcześniejszych wyrokach. Dotyczy to w równym stopniu publicznego ogłaszania wyroków </w:t>
      </w:r>
      <w:hyperlink r:id="rId1897" w:history="1">
        <w:r>
          <w:rPr>
            <w:lang w:val="pl"/>
          </w:rPr>
          <w:t>(</w:t>
        </w:r>
        <w:r>
          <w:rPr>
            <w:i/>
            <w:iCs/>
            <w:color w:val="0072BC"/>
            <w:lang w:val="pl"/>
          </w:rPr>
          <w:t>Jančev</w:t>
        </w:r>
      </w:hyperlink>
      <w:r>
        <w:rPr>
          <w:i/>
          <w:iCs/>
          <w:color w:val="0072BC"/>
          <w:lang w:val="pl"/>
        </w:rPr>
        <w:t xml:space="preserve"> </w:t>
      </w:r>
      <w:hyperlink r:id="rId1898" w:history="1">
        <w:r>
          <w:rPr>
            <w:i/>
            <w:iCs/>
            <w:color w:val="0072BC"/>
            <w:lang w:val="pl"/>
          </w:rPr>
          <w:t xml:space="preserve">p. Byłej Jugosłowiańskiej Republice Macedonii </w:t>
        </w:r>
      </w:hyperlink>
      <w:r>
        <w:rPr>
          <w:lang w:val="pl"/>
        </w:rPr>
        <w:t xml:space="preserve">(dec.)) lub możliwości zapoznania się i skomentowania uwag złożonych lub dowodów przytoczonych przez drugą stronę </w:t>
      </w:r>
      <w:hyperlink r:id="rId1899" w:history="1">
        <w:r>
          <w:rPr>
            <w:lang w:val="pl"/>
          </w:rPr>
          <w:t>(</w:t>
        </w:r>
        <w:r>
          <w:rPr>
            <w:i/>
            <w:iCs/>
            <w:color w:val="0072BC"/>
            <w:lang w:val="pl"/>
          </w:rPr>
          <w:t xml:space="preserve">Bazelyuk p. Ukrainie </w:t>
        </w:r>
      </w:hyperlink>
      <w:r>
        <w:rPr>
          <w:lang w:val="pl"/>
        </w:rPr>
        <w:t>(dec.)).</w:t>
      </w:r>
    </w:p>
    <w:p w:rsidR="00B71A20" w:rsidRPr="000625F6" w:rsidRDefault="000425B4">
      <w:pPr>
        <w:pStyle w:val="Nagwek11"/>
        <w:keepNext/>
        <w:keepLines/>
        <w:spacing w:after="500"/>
        <w:jc w:val="center"/>
        <w:rPr>
          <w:lang w:val="pl-PL"/>
        </w:rPr>
      </w:pPr>
      <w:bookmarkStart w:id="346" w:name="_Toc126335710"/>
      <w:bookmarkStart w:id="347" w:name="_Toc126660669"/>
      <w:r>
        <w:rPr>
          <w:color w:val="2F2F2F"/>
          <w:lang w:val="pl"/>
        </w:rPr>
        <w:lastRenderedPageBreak/>
        <w:t>Lista spraw cytowanych</w:t>
      </w:r>
      <w:bookmarkEnd w:id="346"/>
      <w:bookmarkEnd w:id="347"/>
    </w:p>
    <w:p w:rsidR="00B71A20" w:rsidRPr="000625F6" w:rsidRDefault="000425B4">
      <w:pPr>
        <w:pStyle w:val="Teksttreci0"/>
        <w:spacing w:after="120"/>
        <w:jc w:val="both"/>
        <w:rPr>
          <w:lang w:val="pl-PL"/>
        </w:rPr>
      </w:pPr>
      <w:bookmarkStart w:id="348" w:name="bookmark352"/>
      <w:r>
        <w:rPr>
          <w:lang w:val="pl"/>
        </w:rPr>
        <w:t>Orzecznictwo cytowane w tym Przewodniku odnosi się do wyroków lub decyzji wydanych przez Trybunał oraz do decyzji i raportów Europejskiej Komisji Praw Człowieka (dalej „Komisji”).</w:t>
      </w:r>
      <w:bookmarkEnd w:id="348"/>
    </w:p>
    <w:p w:rsidR="00B71A20" w:rsidRPr="000625F6" w:rsidRDefault="000425B4">
      <w:pPr>
        <w:pStyle w:val="Teksttreci0"/>
        <w:spacing w:after="120"/>
        <w:jc w:val="both"/>
        <w:rPr>
          <w:lang w:val="pl-PL"/>
        </w:rPr>
      </w:pPr>
      <w:r>
        <w:rPr>
          <w:lang w:val="pl"/>
        </w:rPr>
        <w:t>Jeśli z informacji nie wynika inaczej, referencja cytowana odsyła do wyroku co do przedmiotu skargi wydanego przez jedną z Izb Trybunału. Skrót „(dec.)” oznacza, że cytowanie pochodzi z decyzji Trybunału, natomiast skrót „[WI]” oznacza, że sprawa była rozpatrywana przez Wielką Izbę.</w:t>
      </w:r>
    </w:p>
    <w:p w:rsidR="00B71A20" w:rsidRPr="000625F6" w:rsidRDefault="000425B4">
      <w:pPr>
        <w:pStyle w:val="Teksttreci0"/>
        <w:spacing w:after="120"/>
        <w:jc w:val="both"/>
        <w:rPr>
          <w:lang w:val="pl-PL"/>
        </w:rPr>
      </w:pPr>
      <w:r>
        <w:rPr>
          <w:lang w:val="pl"/>
        </w:rPr>
        <w:t>Wyroki Izby, które nie miały waloru ostateczności w rozumieniu art. 44 Konwencji z chwilą publikacji niniejszej aktualizacji, w poniższym wykazie są oznaczone gwiazdką (*). Artykuł 44 ust. 2 Konwencji stanowi: „Wyrok Izby staje się ostateczny a) jeżeli strony oświadczą</w:t>
      </w:r>
      <w:r w:rsidR="00D854E1">
        <w:rPr>
          <w:lang w:val="pl"/>
        </w:rPr>
        <w:t>, że nie będą składać wniosku o </w:t>
      </w:r>
      <w:r>
        <w:rPr>
          <w:lang w:val="pl"/>
        </w:rPr>
        <w:t>przekazanie sprawy do Wielkiej Izby, lub b) po upływie trzech miesięcy od daty wydania wyroku, jeżeli nie złożono wniosku o przekazanie sprawy do Wielkiej Izby, lub c) jeżeli zespół Wielkiej Izby odrzuci wniosek o przekazanie sprawy Wielkiej Izbie w trybie artykułu 43”. W sprawach, w których zespół Wielkiej Izby przyjął wniosek o przekazanie, wyrokiem ostatecznym jest wydany następnie wyrok Wielkiej Izby, a nie wyrok Izby.</w:t>
      </w:r>
    </w:p>
    <w:p w:rsidR="00B71A20" w:rsidRPr="000625F6" w:rsidRDefault="000425B4">
      <w:pPr>
        <w:pStyle w:val="Teksttreci0"/>
        <w:spacing w:after="120"/>
        <w:jc w:val="both"/>
        <w:rPr>
          <w:lang w:val="pl-PL"/>
        </w:rPr>
      </w:pPr>
      <w:r>
        <w:rPr>
          <w:lang w:val="pl"/>
        </w:rPr>
        <w:t xml:space="preserve">Hiperłącza do spraw cytowanych w wersji elektronicznej Przewodnika prowadzą do bazy danych HUDOC </w:t>
      </w:r>
      <w:hyperlink r:id="rId1900" w:history="1">
        <w:r>
          <w:rPr>
            <w:lang w:val="pl"/>
          </w:rPr>
          <w:t>(</w:t>
        </w:r>
        <w:r>
          <w:rPr>
            <w:color w:val="0072BC"/>
            <w:lang w:val="pl"/>
          </w:rPr>
          <w:t>http://hudoc.echr.coe.int</w:t>
        </w:r>
        <w:r>
          <w:rPr>
            <w:lang w:val="pl"/>
          </w:rPr>
          <w:t>)</w:t>
        </w:r>
      </w:hyperlink>
      <w:r>
        <w:rPr>
          <w:lang w:val="pl"/>
        </w:rPr>
        <w:t xml:space="preserve"> zawierającej orzecznictwo Trybunału (wyroki i decyzje Wielkiej Izby, Izb i Komitetu, sprawy zakomunikowane, opinie doradcze i streszczenia prawne z Notatki Informacyjnej Orzecznictwa) i Komisji (decyzje i raporty) oraz uchwały Komitetu Ministrów.</w:t>
      </w:r>
    </w:p>
    <w:p w:rsidR="00B71A20" w:rsidRPr="000625F6" w:rsidRDefault="000425B4">
      <w:pPr>
        <w:pStyle w:val="Teksttreci0"/>
        <w:spacing w:after="860"/>
        <w:jc w:val="both"/>
        <w:rPr>
          <w:lang w:val="pl-PL"/>
        </w:rPr>
      </w:pPr>
      <w:r>
        <w:rPr>
          <w:lang w:val="pl"/>
        </w:rPr>
        <w:t>Trybunał wydaje wyroki i decyzje w języku angielskim lub francuskim, które są jego językami oficjalnymi. HUDOC zawiera również tłumaczenia wielu ważnych spraw na ponad trzydzieści języków nieoficjalnych oraz linki do około stu internetowych zbiorów orzecznictwa utworzonych przez osoby trzecie.</w:t>
      </w:r>
    </w:p>
    <w:p w:rsidR="00B71A20" w:rsidRPr="000625F6" w:rsidRDefault="000425B4">
      <w:pPr>
        <w:pStyle w:val="Teksttreci30"/>
        <w:spacing w:after="120"/>
        <w:rPr>
          <w:lang w:val="pl-PL"/>
        </w:rPr>
      </w:pPr>
      <w:r>
        <w:rPr>
          <w:lang w:val="pl"/>
        </w:rPr>
        <w:t>—A—</w:t>
      </w:r>
    </w:p>
    <w:p w:rsidR="00B71A20" w:rsidRPr="000625F6" w:rsidRDefault="0093676E">
      <w:pPr>
        <w:pStyle w:val="Teksttreci0"/>
        <w:spacing w:after="0"/>
        <w:jc w:val="both"/>
        <w:rPr>
          <w:lang w:val="pl-PL"/>
        </w:rPr>
      </w:pPr>
      <w:hyperlink r:id="rId1901" w:history="1">
        <w:r w:rsidR="000425B4">
          <w:rPr>
            <w:i/>
            <w:iCs/>
            <w:color w:val="0072BC"/>
            <w:lang w:val="pl"/>
          </w:rPr>
          <w:t>3A.CZ s.r.o. p. Czechom</w:t>
        </w:r>
        <w:r w:rsidR="000425B4">
          <w:rPr>
            <w:lang w:val="pl"/>
          </w:rPr>
          <w:t>,</w:t>
        </w:r>
      </w:hyperlink>
      <w:r w:rsidR="000425B4">
        <w:rPr>
          <w:lang w:val="pl"/>
        </w:rPr>
        <w:t xml:space="preserve"> nr 21835/06, 10 lutego 2011 r.</w:t>
      </w:r>
    </w:p>
    <w:p w:rsidR="00B71A20" w:rsidRPr="000625F6" w:rsidRDefault="0093676E">
      <w:pPr>
        <w:pStyle w:val="Teksttreci0"/>
        <w:spacing w:after="0"/>
        <w:jc w:val="both"/>
        <w:rPr>
          <w:lang w:val="pl-PL"/>
        </w:rPr>
      </w:pPr>
      <w:hyperlink r:id="rId1902" w:history="1">
        <w:r w:rsidR="000425B4">
          <w:rPr>
            <w:i/>
            <w:iCs/>
            <w:color w:val="0072BC"/>
            <w:lang w:val="pl"/>
          </w:rPr>
          <w:t xml:space="preserve">A, B i C p. Irlandii </w:t>
        </w:r>
      </w:hyperlink>
      <w:r w:rsidR="000425B4">
        <w:rPr>
          <w:lang w:val="pl"/>
        </w:rPr>
        <w:t>[WI], nr 25579/05, ECHR 2010</w:t>
      </w:r>
    </w:p>
    <w:p w:rsidR="00B71A20" w:rsidRPr="000625F6" w:rsidRDefault="0093676E">
      <w:pPr>
        <w:pStyle w:val="Teksttreci0"/>
        <w:spacing w:after="0"/>
        <w:jc w:val="both"/>
        <w:rPr>
          <w:lang w:val="pl-PL"/>
        </w:rPr>
      </w:pPr>
      <w:hyperlink r:id="rId1903" w:history="1">
        <w:r w:rsidR="000425B4">
          <w:rPr>
            <w:i/>
            <w:iCs/>
            <w:color w:val="0072BC"/>
            <w:lang w:val="pl"/>
          </w:rPr>
          <w:t>A i B p. Chorwacji</w:t>
        </w:r>
        <w:r w:rsidR="000425B4">
          <w:rPr>
            <w:lang w:val="pl"/>
          </w:rPr>
          <w:t>,</w:t>
        </w:r>
      </w:hyperlink>
      <w:r w:rsidR="000425B4">
        <w:rPr>
          <w:lang w:val="pl"/>
        </w:rPr>
        <w:t xml:space="preserve"> nr 7144/15, 20 czerwca 2019 r.</w:t>
      </w:r>
    </w:p>
    <w:p w:rsidR="00B71A20" w:rsidRPr="000625F6" w:rsidRDefault="0093676E">
      <w:pPr>
        <w:pStyle w:val="Teksttreci0"/>
        <w:spacing w:after="0" w:line="230" w:lineRule="auto"/>
        <w:jc w:val="both"/>
        <w:rPr>
          <w:lang w:val="pl-PL"/>
        </w:rPr>
      </w:pPr>
      <w:hyperlink r:id="rId1904" w:history="1">
        <w:r w:rsidR="000425B4">
          <w:rPr>
            <w:i/>
            <w:iCs/>
            <w:color w:val="0072BC"/>
            <w:lang w:val="pl"/>
          </w:rPr>
          <w:t>A. i B. p. Gruzji</w:t>
        </w:r>
        <w:r w:rsidR="000425B4">
          <w:rPr>
            <w:lang w:val="pl"/>
          </w:rPr>
          <w:t>,</w:t>
        </w:r>
      </w:hyperlink>
      <w:r w:rsidR="000425B4">
        <w:rPr>
          <w:lang w:val="pl"/>
        </w:rPr>
        <w:t xml:space="preserve"> nr 73975/16, 10 czerwca 2022 r.</w:t>
      </w:r>
    </w:p>
    <w:p w:rsidR="00B71A20" w:rsidRPr="000625F6" w:rsidRDefault="0093676E">
      <w:pPr>
        <w:pStyle w:val="Teksttreci0"/>
        <w:spacing w:after="0"/>
        <w:jc w:val="both"/>
        <w:rPr>
          <w:lang w:val="pl-PL"/>
        </w:rPr>
      </w:pPr>
      <w:hyperlink r:id="rId1905" w:history="1">
        <w:r w:rsidR="000425B4">
          <w:rPr>
            <w:i/>
            <w:iCs/>
            <w:color w:val="0072BC"/>
            <w:lang w:val="pl"/>
          </w:rPr>
          <w:t>A. p. Wielkiej Brytanii</w:t>
        </w:r>
        <w:r w:rsidR="000425B4">
          <w:rPr>
            <w:lang w:val="pl"/>
          </w:rPr>
          <w:t>,</w:t>
        </w:r>
      </w:hyperlink>
      <w:r w:rsidR="000425B4">
        <w:rPr>
          <w:lang w:val="pl"/>
        </w:rPr>
        <w:t xml:space="preserve"> 23 września 1998 r., Zbiór Wyroków i Decyzji 1998-VI</w:t>
      </w:r>
    </w:p>
    <w:p w:rsidR="00B71A20" w:rsidRPr="000625F6" w:rsidRDefault="0093676E">
      <w:pPr>
        <w:pStyle w:val="Teksttreci0"/>
        <w:spacing w:after="0"/>
        <w:jc w:val="both"/>
        <w:rPr>
          <w:lang w:val="pl-PL"/>
        </w:rPr>
      </w:pPr>
      <w:hyperlink r:id="rId1906" w:history="1">
        <w:r w:rsidR="000425B4">
          <w:rPr>
            <w:i/>
            <w:iCs/>
            <w:color w:val="0072BC"/>
            <w:lang w:val="pl"/>
          </w:rPr>
          <w:t>A.M. p. Francji</w:t>
        </w:r>
        <w:r w:rsidR="000425B4">
          <w:rPr>
            <w:lang w:val="pl"/>
          </w:rPr>
          <w:t>,</w:t>
        </w:r>
      </w:hyperlink>
      <w:r w:rsidR="000425B4">
        <w:rPr>
          <w:lang w:val="pl"/>
        </w:rPr>
        <w:t xml:space="preserve"> nr 12148/18, 29 kwietnia 2019 r.</w:t>
      </w:r>
    </w:p>
    <w:p w:rsidR="00B71A20" w:rsidRPr="000625F6" w:rsidRDefault="0093676E">
      <w:pPr>
        <w:pStyle w:val="Teksttreci0"/>
        <w:spacing w:after="0"/>
        <w:jc w:val="both"/>
        <w:rPr>
          <w:lang w:val="pl-PL"/>
        </w:rPr>
      </w:pPr>
      <w:hyperlink r:id="rId1907" w:history="1">
        <w:r w:rsidR="000425B4">
          <w:rPr>
            <w:i/>
            <w:iCs/>
            <w:color w:val="0072BC"/>
            <w:lang w:val="pl"/>
          </w:rPr>
          <w:t xml:space="preserve">A.N.H. p. Finlandii </w:t>
        </w:r>
      </w:hyperlink>
      <w:r w:rsidR="000425B4">
        <w:rPr>
          <w:lang w:val="pl"/>
        </w:rPr>
        <w:t>(dec.), nr 70773/11, 12 lutego 2013 r.</w:t>
      </w:r>
    </w:p>
    <w:p w:rsidR="00B71A20" w:rsidRPr="000625F6" w:rsidRDefault="0093676E">
      <w:pPr>
        <w:pStyle w:val="Teksttreci0"/>
        <w:spacing w:after="0"/>
        <w:jc w:val="both"/>
        <w:rPr>
          <w:lang w:val="pl-PL"/>
        </w:rPr>
      </w:pPr>
      <w:hyperlink r:id="rId1908" w:history="1">
        <w:r w:rsidR="000425B4">
          <w:rPr>
            <w:i/>
            <w:iCs/>
            <w:color w:val="0072BC"/>
            <w:lang w:val="pl"/>
          </w:rPr>
          <w:t>Abdulkhakov p. Rosji</w:t>
        </w:r>
        <w:r w:rsidR="000425B4">
          <w:rPr>
            <w:lang w:val="pl"/>
          </w:rPr>
          <w:t>,</w:t>
        </w:r>
      </w:hyperlink>
      <w:r w:rsidR="000425B4">
        <w:rPr>
          <w:lang w:val="pl"/>
        </w:rPr>
        <w:t xml:space="preserve"> nr 14743/11, 2 października 2012 r.</w:t>
      </w:r>
    </w:p>
    <w:p w:rsidR="00B71A20" w:rsidRPr="000625F6" w:rsidRDefault="0093676E">
      <w:pPr>
        <w:pStyle w:val="Teksttreci0"/>
        <w:spacing w:after="0"/>
        <w:jc w:val="both"/>
        <w:rPr>
          <w:lang w:val="pl-PL"/>
        </w:rPr>
      </w:pPr>
      <w:hyperlink r:id="rId1909" w:history="1">
        <w:r w:rsidR="000425B4">
          <w:rPr>
            <w:i/>
            <w:iCs/>
            <w:color w:val="0072BC"/>
            <w:lang w:val="pl"/>
          </w:rPr>
          <w:t xml:space="preserve">Abdulrahman p. Holandii </w:t>
        </w:r>
      </w:hyperlink>
      <w:r w:rsidR="000425B4">
        <w:rPr>
          <w:lang w:val="pl"/>
        </w:rPr>
        <w:t>(dec.), nr 66994/12, 5 lutego 2013 r.</w:t>
      </w:r>
    </w:p>
    <w:p w:rsidR="00B71A20" w:rsidRPr="000625F6" w:rsidRDefault="0093676E">
      <w:pPr>
        <w:pStyle w:val="Teksttreci0"/>
        <w:spacing w:after="0"/>
        <w:jc w:val="both"/>
        <w:rPr>
          <w:lang w:val="pl-PL"/>
        </w:rPr>
      </w:pPr>
      <w:hyperlink r:id="rId1910" w:history="1">
        <w:r w:rsidR="000425B4">
          <w:rPr>
            <w:i/>
            <w:iCs/>
            <w:color w:val="0072BC"/>
            <w:lang w:val="pl"/>
          </w:rPr>
          <w:t xml:space="preserve">Abramyan i Inni p. Rosji </w:t>
        </w:r>
      </w:hyperlink>
      <w:r w:rsidR="000425B4">
        <w:rPr>
          <w:lang w:val="pl"/>
        </w:rPr>
        <w:t>(dec.), nr 38951/13 i 59611/13, 12 maja 2015 r.</w:t>
      </w:r>
    </w:p>
    <w:p w:rsidR="00B71A20" w:rsidRPr="000625F6" w:rsidRDefault="0093676E">
      <w:pPr>
        <w:pStyle w:val="Teksttreci0"/>
        <w:spacing w:after="0"/>
        <w:jc w:val="both"/>
        <w:rPr>
          <w:lang w:val="pl-PL"/>
        </w:rPr>
      </w:pPr>
      <w:hyperlink r:id="rId1911" w:history="1">
        <w:r w:rsidR="000425B4">
          <w:rPr>
            <w:i/>
            <w:iCs/>
            <w:color w:val="0072BC"/>
            <w:lang w:val="pl"/>
          </w:rPr>
          <w:t>Açış p. Turcji</w:t>
        </w:r>
        <w:r w:rsidR="000425B4">
          <w:rPr>
            <w:lang w:val="pl"/>
          </w:rPr>
          <w:t>,</w:t>
        </w:r>
      </w:hyperlink>
      <w:r w:rsidR="000425B4">
        <w:rPr>
          <w:lang w:val="pl"/>
        </w:rPr>
        <w:t xml:space="preserve"> nr 7050/05, 1 lutego 2011 r.</w:t>
      </w:r>
    </w:p>
    <w:p w:rsidR="00B71A20" w:rsidRPr="000625F6" w:rsidRDefault="0093676E">
      <w:pPr>
        <w:pStyle w:val="Teksttreci0"/>
        <w:spacing w:after="0"/>
        <w:jc w:val="both"/>
        <w:rPr>
          <w:lang w:val="pl-PL"/>
        </w:rPr>
      </w:pPr>
      <w:hyperlink r:id="rId1912" w:history="1">
        <w:r w:rsidR="000425B4">
          <w:rPr>
            <w:i/>
            <w:iCs/>
            <w:color w:val="0072BC"/>
            <w:lang w:val="pl"/>
          </w:rPr>
          <w:t xml:space="preserve">Adam i Inni p. Niemcom </w:t>
        </w:r>
      </w:hyperlink>
      <w:r w:rsidR="000425B4">
        <w:rPr>
          <w:lang w:val="pl"/>
        </w:rPr>
        <w:t>(dec.), nr 290/03, 1 września 2005 r.</w:t>
      </w:r>
    </w:p>
    <w:p w:rsidR="00B71A20" w:rsidRPr="000625F6" w:rsidRDefault="0093676E">
      <w:pPr>
        <w:pStyle w:val="Teksttreci0"/>
        <w:spacing w:after="0"/>
        <w:jc w:val="both"/>
        <w:rPr>
          <w:lang w:val="pl-PL"/>
        </w:rPr>
      </w:pPr>
      <w:hyperlink r:id="rId1913" w:history="1">
        <w:r w:rsidR="000425B4">
          <w:rPr>
            <w:i/>
            <w:iCs/>
            <w:color w:val="0072BC"/>
            <w:lang w:val="pl"/>
          </w:rPr>
          <w:t>Ādamsons p. Łotwie</w:t>
        </w:r>
        <w:r w:rsidR="000425B4">
          <w:rPr>
            <w:lang w:val="pl"/>
          </w:rPr>
          <w:t>,</w:t>
        </w:r>
      </w:hyperlink>
      <w:r w:rsidR="000425B4">
        <w:rPr>
          <w:lang w:val="pl"/>
        </w:rPr>
        <w:t xml:space="preserve"> nr 3669/03, 24 czerwca 2008 r.</w:t>
      </w:r>
    </w:p>
    <w:p w:rsidR="00B71A20" w:rsidRPr="000625F6" w:rsidRDefault="0093676E">
      <w:pPr>
        <w:pStyle w:val="Teksttreci0"/>
        <w:spacing w:after="0"/>
        <w:jc w:val="both"/>
        <w:rPr>
          <w:lang w:val="pl-PL"/>
        </w:rPr>
      </w:pPr>
      <w:hyperlink r:id="rId1914" w:history="1">
        <w:r w:rsidR="000425B4">
          <w:rPr>
            <w:i/>
            <w:iCs/>
            <w:color w:val="0072BC"/>
            <w:lang w:val="pl"/>
          </w:rPr>
          <w:t>Aden Ahmed p. Malcie</w:t>
        </w:r>
        <w:r w:rsidR="000425B4">
          <w:rPr>
            <w:lang w:val="pl"/>
          </w:rPr>
          <w:t>,</w:t>
        </w:r>
      </w:hyperlink>
      <w:r w:rsidR="000425B4">
        <w:rPr>
          <w:lang w:val="pl"/>
        </w:rPr>
        <w:t xml:space="preserve"> nr 55352/12, 23 lipca 2013 r.</w:t>
      </w:r>
    </w:p>
    <w:p w:rsidR="00B71A20" w:rsidRPr="000625F6" w:rsidRDefault="0093676E">
      <w:pPr>
        <w:pStyle w:val="Teksttreci0"/>
        <w:spacing w:after="0"/>
        <w:jc w:val="both"/>
        <w:rPr>
          <w:lang w:val="pl-PL"/>
        </w:rPr>
      </w:pPr>
      <w:hyperlink r:id="rId1915" w:history="1">
        <w:r w:rsidR="000425B4">
          <w:rPr>
            <w:i/>
            <w:iCs/>
            <w:color w:val="0072BC"/>
            <w:lang w:val="pl"/>
          </w:rPr>
          <w:t>Adesina p. Francji</w:t>
        </w:r>
        <w:r w:rsidR="000425B4">
          <w:rPr>
            <w:lang w:val="pl"/>
          </w:rPr>
          <w:t>,</w:t>
        </w:r>
      </w:hyperlink>
      <w:r w:rsidR="000425B4">
        <w:rPr>
          <w:lang w:val="pl"/>
        </w:rPr>
        <w:t xml:space="preserve"> nr 31398/96, decyzja Komisji z dnia 13 września 1996 r.</w:t>
      </w:r>
    </w:p>
    <w:p w:rsidR="00B71A20" w:rsidRPr="000625F6" w:rsidRDefault="0093676E">
      <w:pPr>
        <w:pStyle w:val="Teksttreci0"/>
        <w:spacing w:after="0"/>
        <w:jc w:val="both"/>
        <w:rPr>
          <w:lang w:val="pl-PL"/>
        </w:rPr>
      </w:pPr>
      <w:hyperlink r:id="rId1916" w:history="1">
        <w:r w:rsidR="000425B4">
          <w:rPr>
            <w:i/>
            <w:iCs/>
            <w:color w:val="0072BC"/>
            <w:lang w:val="pl"/>
          </w:rPr>
          <w:t xml:space="preserve">Agbovi p. Niemcom </w:t>
        </w:r>
      </w:hyperlink>
      <w:r w:rsidR="000425B4">
        <w:rPr>
          <w:lang w:val="pl"/>
        </w:rPr>
        <w:t>(dec.), nr 71759/01, 25 września 2006 r.</w:t>
      </w:r>
    </w:p>
    <w:p w:rsidR="00B71A20" w:rsidRPr="000625F6" w:rsidRDefault="0093676E">
      <w:pPr>
        <w:pStyle w:val="Teksttreci0"/>
        <w:spacing w:after="0"/>
        <w:jc w:val="both"/>
        <w:rPr>
          <w:lang w:val="pl-PL"/>
        </w:rPr>
      </w:pPr>
      <w:hyperlink r:id="rId1917" w:history="1">
        <w:r w:rsidR="000425B4">
          <w:rPr>
            <w:i/>
            <w:iCs/>
            <w:color w:val="0072BC"/>
            <w:lang w:val="pl"/>
          </w:rPr>
          <w:t>Ahmet Sadik p. Grecji</w:t>
        </w:r>
        <w:r w:rsidR="000425B4">
          <w:rPr>
            <w:lang w:val="pl"/>
          </w:rPr>
          <w:t>,</w:t>
        </w:r>
      </w:hyperlink>
      <w:r w:rsidR="000425B4">
        <w:rPr>
          <w:lang w:val="pl"/>
        </w:rPr>
        <w:t xml:space="preserve"> 15 listopada 1996 r., Raporty 1996-V</w:t>
      </w:r>
    </w:p>
    <w:p w:rsidR="00B71A20" w:rsidRPr="000625F6" w:rsidRDefault="0093676E">
      <w:pPr>
        <w:pStyle w:val="Teksttreci0"/>
        <w:spacing w:after="0"/>
        <w:jc w:val="both"/>
        <w:rPr>
          <w:lang w:val="pl-PL"/>
        </w:rPr>
      </w:pPr>
      <w:hyperlink r:id="rId1918" w:history="1">
        <w:r w:rsidR="000425B4">
          <w:rPr>
            <w:i/>
            <w:iCs/>
            <w:color w:val="0072BC"/>
            <w:lang w:val="pl"/>
          </w:rPr>
          <w:t xml:space="preserve">Ahmet Tunç i Inni p. Turcji </w:t>
        </w:r>
      </w:hyperlink>
      <w:r w:rsidR="000425B4">
        <w:rPr>
          <w:lang w:val="pl"/>
        </w:rPr>
        <w:t>(dec.), nr 4133/16 i 31542/16, 29 stycznia 2019 r.</w:t>
      </w:r>
    </w:p>
    <w:p w:rsidR="00B71A20" w:rsidRPr="000625F6" w:rsidRDefault="0093676E">
      <w:pPr>
        <w:pStyle w:val="Teksttreci0"/>
        <w:spacing w:after="0"/>
        <w:jc w:val="both"/>
        <w:rPr>
          <w:lang w:val="pl-PL"/>
        </w:rPr>
      </w:pPr>
      <w:hyperlink r:id="rId1919" w:history="1">
        <w:r w:rsidR="000425B4">
          <w:rPr>
            <w:i/>
            <w:iCs/>
            <w:color w:val="0072BC"/>
            <w:lang w:val="pl"/>
          </w:rPr>
          <w:t xml:space="preserve">Ahtinen p. Finlandii </w:t>
        </w:r>
      </w:hyperlink>
      <w:r w:rsidR="000425B4">
        <w:rPr>
          <w:lang w:val="pl"/>
        </w:rPr>
        <w:t>(dec.), nr 48907/99, 31 maja 2005 r.</w:t>
      </w:r>
    </w:p>
    <w:p w:rsidR="00B71A20" w:rsidRPr="000625F6" w:rsidRDefault="0093676E">
      <w:pPr>
        <w:pStyle w:val="Teksttreci0"/>
        <w:spacing w:after="120"/>
        <w:jc w:val="both"/>
        <w:rPr>
          <w:lang w:val="pl-PL"/>
        </w:rPr>
      </w:pPr>
      <w:hyperlink r:id="rId1920" w:history="1">
        <w:r w:rsidR="000425B4">
          <w:rPr>
            <w:i/>
            <w:iCs/>
            <w:color w:val="0072BC"/>
            <w:lang w:val="pl"/>
          </w:rPr>
          <w:t xml:space="preserve">Ahunbay i Inni p. Turcji </w:t>
        </w:r>
      </w:hyperlink>
      <w:r w:rsidR="000425B4">
        <w:rPr>
          <w:lang w:val="pl"/>
        </w:rPr>
        <w:t>(dec.), nr 6080/06, 29 stycznia 2019 r.</w:t>
      </w:r>
    </w:p>
    <w:p w:rsidR="00B71A20" w:rsidRPr="000625F6" w:rsidRDefault="0093676E">
      <w:pPr>
        <w:pStyle w:val="Teksttreci0"/>
        <w:spacing w:after="0"/>
        <w:rPr>
          <w:lang w:val="pl-PL"/>
        </w:rPr>
      </w:pPr>
      <w:hyperlink r:id="rId1921" w:history="1">
        <w:r w:rsidR="000425B4">
          <w:rPr>
            <w:i/>
            <w:iCs/>
            <w:color w:val="0072BC"/>
            <w:lang w:val="pl"/>
          </w:rPr>
          <w:t>Aizpurua Ortiz i Inni p. Hiszpanii</w:t>
        </w:r>
        <w:r w:rsidR="000425B4">
          <w:rPr>
            <w:lang w:val="pl"/>
          </w:rPr>
          <w:t>,</w:t>
        </w:r>
      </w:hyperlink>
      <w:r w:rsidR="000425B4">
        <w:rPr>
          <w:lang w:val="pl"/>
        </w:rPr>
        <w:t xml:space="preserve"> nr 42430/05, 2 lutego 2010 r.</w:t>
      </w:r>
    </w:p>
    <w:p w:rsidR="00B71A20" w:rsidRPr="000625F6" w:rsidRDefault="0093676E">
      <w:pPr>
        <w:pStyle w:val="Teksttreci0"/>
        <w:spacing w:after="0"/>
        <w:rPr>
          <w:lang w:val="pl-PL"/>
        </w:rPr>
      </w:pPr>
      <w:hyperlink r:id="rId1922" w:history="1">
        <w:r w:rsidR="000425B4">
          <w:rPr>
            <w:i/>
            <w:iCs/>
            <w:color w:val="0072BC"/>
            <w:lang w:val="pl"/>
          </w:rPr>
          <w:t>Akarsubaşı i Alçiçek p. Turcji</w:t>
        </w:r>
        <w:r w:rsidR="000425B4">
          <w:rPr>
            <w:lang w:val="pl"/>
          </w:rPr>
          <w:t>,</w:t>
        </w:r>
      </w:hyperlink>
      <w:r w:rsidR="000425B4">
        <w:rPr>
          <w:lang w:val="pl"/>
        </w:rPr>
        <w:t xml:space="preserve"> nr 19620/12, 23 stycznia 2018 r.</w:t>
      </w:r>
    </w:p>
    <w:p w:rsidR="00B71A20" w:rsidRPr="000625F6" w:rsidRDefault="0093676E">
      <w:pPr>
        <w:pStyle w:val="Teksttreci0"/>
        <w:spacing w:after="0"/>
        <w:rPr>
          <w:lang w:val="pl-PL"/>
        </w:rPr>
      </w:pPr>
      <w:hyperlink r:id="rId1923" w:history="1">
        <w:r w:rsidR="000425B4">
          <w:rPr>
            <w:i/>
            <w:iCs/>
            <w:color w:val="0072BC"/>
            <w:lang w:val="pl"/>
          </w:rPr>
          <w:t>Akbay i Inni p. Niemcom</w:t>
        </w:r>
        <w:r w:rsidR="000425B4">
          <w:rPr>
            <w:lang w:val="pl"/>
          </w:rPr>
          <w:t>,</w:t>
        </w:r>
      </w:hyperlink>
      <w:r w:rsidR="000425B4">
        <w:rPr>
          <w:lang w:val="pl"/>
        </w:rPr>
        <w:t xml:space="preserve"> nr 40495/15 i 2 inne, 15 października 2020 r.</w:t>
      </w:r>
    </w:p>
    <w:p w:rsidR="00B71A20" w:rsidRPr="000625F6" w:rsidRDefault="0093676E">
      <w:pPr>
        <w:pStyle w:val="Teksttreci0"/>
        <w:spacing w:after="0"/>
        <w:rPr>
          <w:lang w:val="pl-PL"/>
        </w:rPr>
      </w:pPr>
      <w:hyperlink r:id="rId1924" w:history="1">
        <w:r w:rsidR="000425B4">
          <w:rPr>
            <w:i/>
            <w:iCs/>
            <w:color w:val="0072BC"/>
            <w:lang w:val="pl"/>
          </w:rPr>
          <w:t>Akdivar i Inni p. Turcji</w:t>
        </w:r>
        <w:r w:rsidR="000425B4">
          <w:rPr>
            <w:lang w:val="pl"/>
          </w:rPr>
          <w:t>,</w:t>
        </w:r>
      </w:hyperlink>
      <w:r w:rsidR="000425B4">
        <w:rPr>
          <w:lang w:val="pl"/>
        </w:rPr>
        <w:t xml:space="preserve"> 16 września 1996 r., Raporty 1996-IV</w:t>
      </w:r>
    </w:p>
    <w:p w:rsidR="00B71A20" w:rsidRPr="000625F6" w:rsidRDefault="0093676E">
      <w:pPr>
        <w:pStyle w:val="Teksttreci0"/>
        <w:spacing w:after="0"/>
        <w:rPr>
          <w:lang w:val="pl-PL"/>
        </w:rPr>
      </w:pPr>
      <w:hyperlink r:id="rId1925" w:history="1">
        <w:r w:rsidR="000425B4">
          <w:rPr>
            <w:i/>
            <w:iCs/>
            <w:color w:val="0072BC"/>
            <w:lang w:val="pl"/>
          </w:rPr>
          <w:t>Akif Hasanov p. Azerbejdżanowi</w:t>
        </w:r>
        <w:r w:rsidR="000425B4">
          <w:rPr>
            <w:lang w:val="pl"/>
          </w:rPr>
          <w:t>,</w:t>
        </w:r>
      </w:hyperlink>
      <w:r w:rsidR="000425B4">
        <w:rPr>
          <w:lang w:val="pl"/>
        </w:rPr>
        <w:t xml:space="preserve"> nr 7268/10, 19 września 2019 r.</w:t>
      </w:r>
    </w:p>
    <w:p w:rsidR="00B71A20" w:rsidRPr="000625F6" w:rsidRDefault="0093676E">
      <w:pPr>
        <w:pStyle w:val="Teksttreci0"/>
        <w:spacing w:after="0"/>
        <w:rPr>
          <w:lang w:val="pl-PL"/>
        </w:rPr>
      </w:pPr>
      <w:hyperlink r:id="rId1926" w:history="1">
        <w:r w:rsidR="000425B4">
          <w:rPr>
            <w:i/>
            <w:iCs/>
            <w:color w:val="0072BC"/>
            <w:lang w:val="pl"/>
          </w:rPr>
          <w:t>Aksoy p. Turcji</w:t>
        </w:r>
        <w:r w:rsidR="000425B4">
          <w:rPr>
            <w:lang w:val="pl"/>
          </w:rPr>
          <w:t>,</w:t>
        </w:r>
      </w:hyperlink>
      <w:r w:rsidR="000425B4">
        <w:rPr>
          <w:lang w:val="pl"/>
        </w:rPr>
        <w:t xml:space="preserve"> 18 grudnia 1996 r., </w:t>
      </w:r>
      <w:r w:rsidR="000425B4">
        <w:rPr>
          <w:i/>
          <w:iCs/>
          <w:lang w:val="pl"/>
        </w:rPr>
        <w:t>Raporty</w:t>
      </w:r>
      <w:r w:rsidR="000425B4">
        <w:rPr>
          <w:lang w:val="pl"/>
        </w:rPr>
        <w:t xml:space="preserve"> 1996-VI</w:t>
      </w:r>
    </w:p>
    <w:p w:rsidR="00B71A20" w:rsidRPr="000625F6" w:rsidRDefault="0093676E">
      <w:pPr>
        <w:pStyle w:val="Teksttreci0"/>
        <w:spacing w:after="0"/>
        <w:rPr>
          <w:lang w:val="pl-PL"/>
        </w:rPr>
      </w:pPr>
      <w:hyperlink r:id="rId1927" w:history="1">
        <w:r w:rsidR="000425B4">
          <w:rPr>
            <w:i/>
            <w:iCs/>
            <w:color w:val="0072BC"/>
            <w:lang w:val="pl"/>
          </w:rPr>
          <w:t xml:space="preserve">Aksu p. Turcji </w:t>
        </w:r>
      </w:hyperlink>
      <w:r w:rsidR="000425B4">
        <w:rPr>
          <w:lang w:val="pl"/>
        </w:rPr>
        <w:t>[WI], nr 4149/04 i 41029/04, ECHR 2012</w:t>
      </w:r>
    </w:p>
    <w:p w:rsidR="00B71A20" w:rsidRPr="000625F6" w:rsidRDefault="0093676E">
      <w:pPr>
        <w:pStyle w:val="Teksttreci0"/>
        <w:spacing w:after="0"/>
        <w:rPr>
          <w:lang w:val="pl-PL"/>
        </w:rPr>
      </w:pPr>
      <w:hyperlink r:id="rId1928" w:history="1">
        <w:r w:rsidR="000425B4">
          <w:rPr>
            <w:i/>
            <w:iCs/>
            <w:color w:val="0072BC"/>
            <w:lang w:val="pl"/>
          </w:rPr>
          <w:t xml:space="preserve">Al Husin p. Bośni i Hercegowinie </w:t>
        </w:r>
      </w:hyperlink>
      <w:r w:rsidR="000425B4">
        <w:rPr>
          <w:i/>
          <w:iCs/>
          <w:lang w:val="pl"/>
        </w:rPr>
        <w:t>(nr 2)</w:t>
      </w:r>
      <w:r w:rsidR="000425B4">
        <w:rPr>
          <w:lang w:val="pl"/>
        </w:rPr>
        <w:t>, nr 10112/16, 25 czerwca 2019 r.</w:t>
      </w:r>
    </w:p>
    <w:p w:rsidR="00B71A20" w:rsidRPr="000625F6" w:rsidRDefault="0093676E">
      <w:pPr>
        <w:pStyle w:val="Teksttreci0"/>
        <w:spacing w:after="0"/>
        <w:rPr>
          <w:lang w:val="pl-PL"/>
        </w:rPr>
      </w:pPr>
      <w:hyperlink r:id="rId1929" w:history="1">
        <w:r w:rsidR="000425B4">
          <w:rPr>
            <w:i/>
            <w:iCs/>
            <w:color w:val="0072BC"/>
            <w:lang w:val="pl"/>
          </w:rPr>
          <w:t>Al Nashiri p. Polsce</w:t>
        </w:r>
        <w:r w:rsidR="000425B4">
          <w:rPr>
            <w:lang w:val="pl"/>
          </w:rPr>
          <w:t>,</w:t>
        </w:r>
      </w:hyperlink>
      <w:r w:rsidR="000425B4">
        <w:rPr>
          <w:lang w:val="pl"/>
        </w:rPr>
        <w:t xml:space="preserve"> nr 28761/11, 24 lipca 2014 r.</w:t>
      </w:r>
    </w:p>
    <w:p w:rsidR="00B71A20" w:rsidRPr="000625F6" w:rsidRDefault="0093676E">
      <w:pPr>
        <w:pStyle w:val="Teksttreci0"/>
        <w:spacing w:after="0"/>
        <w:rPr>
          <w:lang w:val="pl-PL"/>
        </w:rPr>
      </w:pPr>
      <w:hyperlink r:id="rId1930" w:history="1">
        <w:r w:rsidR="000425B4">
          <w:rPr>
            <w:i/>
            <w:iCs/>
            <w:color w:val="0072BC"/>
            <w:lang w:val="pl"/>
          </w:rPr>
          <w:t>Al Nashiri p. Rumunii</w:t>
        </w:r>
        <w:r w:rsidR="000425B4">
          <w:rPr>
            <w:lang w:val="pl"/>
          </w:rPr>
          <w:t>,</w:t>
        </w:r>
      </w:hyperlink>
      <w:r w:rsidR="000425B4">
        <w:rPr>
          <w:lang w:val="pl"/>
        </w:rPr>
        <w:t xml:space="preserve"> nr 33234/12, 31 maja 2018 r.</w:t>
      </w:r>
    </w:p>
    <w:p w:rsidR="00B71A20" w:rsidRPr="000625F6" w:rsidRDefault="0093676E">
      <w:pPr>
        <w:pStyle w:val="Teksttreci0"/>
        <w:spacing w:after="0"/>
        <w:rPr>
          <w:lang w:val="pl-PL"/>
        </w:rPr>
      </w:pPr>
      <w:hyperlink r:id="rId1931" w:history="1">
        <w:r w:rsidR="000425B4">
          <w:rPr>
            <w:i/>
            <w:iCs/>
            <w:color w:val="0072BC"/>
            <w:lang w:val="pl"/>
          </w:rPr>
          <w:t xml:space="preserve">Al-Dulimi i Montana Management Inc. p. Szwajcarii </w:t>
        </w:r>
      </w:hyperlink>
      <w:r w:rsidR="000425B4">
        <w:rPr>
          <w:lang w:val="pl"/>
        </w:rPr>
        <w:t>[WI], nr 5809/08, 21 czerwca 2016 r.</w:t>
      </w:r>
    </w:p>
    <w:p w:rsidR="00B71A20" w:rsidRPr="000625F6" w:rsidRDefault="0093676E">
      <w:pPr>
        <w:pStyle w:val="Teksttreci0"/>
        <w:spacing w:after="0"/>
        <w:rPr>
          <w:lang w:val="pl-PL"/>
        </w:rPr>
      </w:pPr>
      <w:hyperlink r:id="rId1932" w:history="1">
        <w:r w:rsidR="000425B4">
          <w:rPr>
            <w:i/>
            <w:iCs/>
            <w:color w:val="0072BC"/>
            <w:lang w:val="pl"/>
          </w:rPr>
          <w:t xml:space="preserve">Al-Jedda p. Wielkiej Brytanii </w:t>
        </w:r>
      </w:hyperlink>
      <w:r w:rsidR="000425B4">
        <w:rPr>
          <w:lang w:val="pl"/>
        </w:rPr>
        <w:t>[WI], nr 27021/08, ECHR 2011</w:t>
      </w:r>
    </w:p>
    <w:p w:rsidR="00B71A20" w:rsidRPr="000625F6" w:rsidRDefault="0093676E">
      <w:pPr>
        <w:pStyle w:val="Teksttreci0"/>
        <w:spacing w:after="0"/>
        <w:rPr>
          <w:lang w:val="pl-PL"/>
        </w:rPr>
      </w:pPr>
      <w:hyperlink r:id="rId1933" w:history="1">
        <w:r w:rsidR="000425B4">
          <w:rPr>
            <w:i/>
            <w:iCs/>
            <w:color w:val="0072BC"/>
            <w:lang w:val="pl"/>
          </w:rPr>
          <w:t xml:space="preserve">Al-Moayad p. Niemcom </w:t>
        </w:r>
      </w:hyperlink>
      <w:r w:rsidR="000425B4">
        <w:rPr>
          <w:lang w:val="pl"/>
        </w:rPr>
        <w:t>(dec.), nr 35865/03, 20 lutego 2007 r.</w:t>
      </w:r>
    </w:p>
    <w:p w:rsidR="00B71A20" w:rsidRPr="000625F6" w:rsidRDefault="0093676E">
      <w:pPr>
        <w:pStyle w:val="Teksttreci0"/>
        <w:spacing w:after="0"/>
        <w:rPr>
          <w:lang w:val="pl-PL"/>
        </w:rPr>
      </w:pPr>
      <w:hyperlink r:id="rId1934" w:history="1">
        <w:r w:rsidR="000425B4">
          <w:rPr>
            <w:i/>
            <w:iCs/>
            <w:color w:val="0072BC"/>
            <w:lang w:val="pl"/>
          </w:rPr>
          <w:t>Al-Nashif p. Bułgarii</w:t>
        </w:r>
        <w:r w:rsidR="000425B4">
          <w:rPr>
            <w:lang w:val="pl"/>
          </w:rPr>
          <w:t>,</w:t>
        </w:r>
      </w:hyperlink>
      <w:r w:rsidR="000425B4">
        <w:rPr>
          <w:lang w:val="pl"/>
        </w:rPr>
        <w:t xml:space="preserve"> nr 50963/99, 20 czerwca 2002 r.</w:t>
      </w:r>
    </w:p>
    <w:p w:rsidR="00B71A20" w:rsidRPr="000625F6" w:rsidRDefault="0093676E">
      <w:pPr>
        <w:pStyle w:val="Teksttreci0"/>
        <w:spacing w:after="0"/>
        <w:rPr>
          <w:lang w:val="pl-PL"/>
        </w:rPr>
      </w:pPr>
      <w:hyperlink r:id="rId1935" w:history="1">
        <w:r w:rsidR="000425B4">
          <w:rPr>
            <w:i/>
            <w:iCs/>
            <w:color w:val="0072BC"/>
            <w:lang w:val="pl"/>
          </w:rPr>
          <w:t>Al-Saadoon i Mufdhi p. Wielkiej Brytanii</w:t>
        </w:r>
        <w:r w:rsidR="000425B4">
          <w:rPr>
            <w:lang w:val="pl"/>
          </w:rPr>
          <w:t>,</w:t>
        </w:r>
      </w:hyperlink>
      <w:r w:rsidR="000425B4">
        <w:rPr>
          <w:lang w:val="pl"/>
        </w:rPr>
        <w:t xml:space="preserve"> nr 61498/08, ECHR 2010</w:t>
      </w:r>
    </w:p>
    <w:p w:rsidR="00B71A20" w:rsidRPr="000625F6" w:rsidRDefault="0093676E">
      <w:pPr>
        <w:pStyle w:val="Teksttreci0"/>
        <w:spacing w:after="0"/>
        <w:rPr>
          <w:lang w:val="pl-PL"/>
        </w:rPr>
      </w:pPr>
      <w:hyperlink r:id="rId1936" w:history="1">
        <w:r w:rsidR="000425B4">
          <w:rPr>
            <w:i/>
            <w:iCs/>
            <w:color w:val="0072BC"/>
            <w:lang w:val="pl"/>
          </w:rPr>
          <w:t xml:space="preserve">Al-Skeini i Inni p. Wielkiej Brytanii </w:t>
        </w:r>
      </w:hyperlink>
      <w:r w:rsidR="000425B4">
        <w:rPr>
          <w:lang w:val="pl"/>
        </w:rPr>
        <w:t>[WI], nr 55721/07, ECHR 2011</w:t>
      </w:r>
    </w:p>
    <w:p w:rsidR="00B71A20" w:rsidRPr="000625F6" w:rsidRDefault="0093676E">
      <w:pPr>
        <w:pStyle w:val="Teksttreci0"/>
        <w:spacing w:after="0"/>
        <w:rPr>
          <w:lang w:val="pl-PL"/>
        </w:rPr>
      </w:pPr>
      <w:hyperlink r:id="rId1937" w:history="1">
        <w:r w:rsidR="000425B4">
          <w:rPr>
            <w:i/>
            <w:iCs/>
            <w:color w:val="0072BC"/>
            <w:lang w:val="pl"/>
          </w:rPr>
          <w:t>Albayrak p. Turcji</w:t>
        </w:r>
        <w:r w:rsidR="000425B4">
          <w:rPr>
            <w:lang w:val="pl"/>
          </w:rPr>
          <w:t>,</w:t>
        </w:r>
      </w:hyperlink>
      <w:r w:rsidR="000425B4">
        <w:rPr>
          <w:lang w:val="pl"/>
        </w:rPr>
        <w:t xml:space="preserve"> nr 38406/97, 31 stycznia 2008 r.</w:t>
      </w:r>
    </w:p>
    <w:p w:rsidR="00B71A20" w:rsidRPr="000625F6" w:rsidRDefault="0093676E">
      <w:pPr>
        <w:pStyle w:val="Teksttreci0"/>
        <w:spacing w:after="0"/>
        <w:rPr>
          <w:lang w:val="pl-PL"/>
        </w:rPr>
      </w:pPr>
      <w:hyperlink r:id="rId1938" w:history="1">
        <w:r w:rsidR="000425B4">
          <w:rPr>
            <w:i/>
            <w:iCs/>
            <w:color w:val="0072BC"/>
            <w:lang w:val="pl"/>
          </w:rPr>
          <w:t xml:space="preserve">Albert i Inni p. Węgrom </w:t>
        </w:r>
      </w:hyperlink>
      <w:r w:rsidR="000425B4">
        <w:rPr>
          <w:lang w:val="pl"/>
        </w:rPr>
        <w:t>[WI], nr 5294/14, 7 lipca 2020 r.</w:t>
      </w:r>
    </w:p>
    <w:p w:rsidR="00B71A20" w:rsidRPr="000625F6" w:rsidRDefault="0093676E">
      <w:pPr>
        <w:pStyle w:val="Teksttreci0"/>
        <w:spacing w:after="0"/>
        <w:rPr>
          <w:lang w:val="pl-PL"/>
        </w:rPr>
      </w:pPr>
      <w:hyperlink r:id="rId1939" w:history="1">
        <w:r w:rsidR="000425B4">
          <w:rPr>
            <w:i/>
            <w:iCs/>
            <w:color w:val="0072BC"/>
            <w:lang w:val="pl"/>
          </w:rPr>
          <w:t>Aleksanyan p. Rosji</w:t>
        </w:r>
        <w:r w:rsidR="000425B4">
          <w:rPr>
            <w:lang w:val="pl"/>
          </w:rPr>
          <w:t>,</w:t>
        </w:r>
      </w:hyperlink>
      <w:r w:rsidR="000425B4">
        <w:rPr>
          <w:lang w:val="pl"/>
        </w:rPr>
        <w:t xml:space="preserve"> nr 46468/06, 22 grudnia 2008 r.</w:t>
      </w:r>
    </w:p>
    <w:p w:rsidR="00B71A20" w:rsidRPr="000625F6" w:rsidRDefault="0093676E">
      <w:pPr>
        <w:pStyle w:val="Teksttreci0"/>
        <w:spacing w:after="0"/>
        <w:rPr>
          <w:lang w:val="pl-PL"/>
        </w:rPr>
      </w:pPr>
      <w:hyperlink r:id="rId1940" w:history="1">
        <w:r w:rsidR="000425B4">
          <w:rPr>
            <w:i/>
            <w:iCs/>
            <w:color w:val="0072BC"/>
            <w:lang w:val="pl"/>
          </w:rPr>
          <w:t>Alekseyev i Inni p. Rosji</w:t>
        </w:r>
        <w:r w:rsidR="000425B4">
          <w:rPr>
            <w:lang w:val="pl"/>
          </w:rPr>
          <w:t>,</w:t>
        </w:r>
      </w:hyperlink>
      <w:r w:rsidR="000425B4">
        <w:rPr>
          <w:lang w:val="pl"/>
        </w:rPr>
        <w:t xml:space="preserve"> nr 14988/09 i 50 innych, 27 listopada 2018 r.</w:t>
      </w:r>
    </w:p>
    <w:p w:rsidR="00B71A20" w:rsidRPr="000625F6" w:rsidRDefault="0093676E">
      <w:pPr>
        <w:pStyle w:val="Teksttreci0"/>
        <w:spacing w:after="0"/>
        <w:rPr>
          <w:lang w:val="pl-PL"/>
        </w:rPr>
      </w:pPr>
      <w:hyperlink r:id="rId1941" w:history="1">
        <w:r w:rsidR="000425B4">
          <w:rPr>
            <w:i/>
            <w:iCs/>
            <w:color w:val="0072BC"/>
            <w:lang w:val="pl"/>
          </w:rPr>
          <w:t>Aliev p. Gruzji</w:t>
        </w:r>
        <w:r w:rsidR="000425B4">
          <w:rPr>
            <w:lang w:val="pl"/>
          </w:rPr>
          <w:t>,</w:t>
        </w:r>
      </w:hyperlink>
      <w:r w:rsidR="000425B4">
        <w:rPr>
          <w:lang w:val="pl"/>
        </w:rPr>
        <w:t xml:space="preserve"> nr 522/04, 13 stycznia 2009 r.</w:t>
      </w:r>
    </w:p>
    <w:p w:rsidR="00B71A20" w:rsidRPr="000625F6" w:rsidRDefault="0093676E">
      <w:pPr>
        <w:pStyle w:val="Teksttreci0"/>
        <w:spacing w:after="0"/>
        <w:rPr>
          <w:lang w:val="pl-PL"/>
        </w:rPr>
      </w:pPr>
      <w:hyperlink r:id="rId1942" w:history="1">
        <w:r w:rsidR="000425B4">
          <w:rPr>
            <w:i/>
            <w:iCs/>
            <w:color w:val="0072BC"/>
            <w:lang w:val="pl"/>
          </w:rPr>
          <w:t>Aliyeva i Aliyev p. Azerbejdżanowi</w:t>
        </w:r>
        <w:r w:rsidR="000425B4">
          <w:rPr>
            <w:lang w:val="pl"/>
          </w:rPr>
          <w:t>,</w:t>
        </w:r>
      </w:hyperlink>
      <w:r w:rsidR="000425B4">
        <w:rPr>
          <w:lang w:val="pl"/>
        </w:rPr>
        <w:t xml:space="preserve"> nr 35587/08, 31 lipca 2014 r.</w:t>
      </w:r>
    </w:p>
    <w:p w:rsidR="00B71A20" w:rsidRPr="000625F6" w:rsidRDefault="0093676E">
      <w:pPr>
        <w:pStyle w:val="Teksttreci0"/>
        <w:spacing w:after="0"/>
        <w:rPr>
          <w:lang w:val="pl-PL"/>
        </w:rPr>
      </w:pPr>
      <w:hyperlink r:id="rId1943" w:history="1">
        <w:r w:rsidR="000425B4">
          <w:rPr>
            <w:i/>
            <w:iCs/>
            <w:color w:val="0072BC"/>
            <w:lang w:val="pl"/>
          </w:rPr>
          <w:t xml:space="preserve">Allan p. Wielkiej Brytanii </w:t>
        </w:r>
      </w:hyperlink>
      <w:r w:rsidR="000425B4">
        <w:rPr>
          <w:lang w:val="pl"/>
        </w:rPr>
        <w:t>(dec.), nr 48539/99, 28 sierpnia 2001 r.</w:t>
      </w:r>
    </w:p>
    <w:p w:rsidR="00B71A20" w:rsidRPr="000625F6" w:rsidRDefault="0093676E">
      <w:pPr>
        <w:pStyle w:val="Teksttreci0"/>
        <w:spacing w:after="0"/>
        <w:ind w:left="600" w:hanging="600"/>
        <w:rPr>
          <w:lang w:val="pl-PL"/>
        </w:rPr>
      </w:pPr>
      <w:hyperlink r:id="rId1944" w:history="1">
        <w:r w:rsidR="000425B4">
          <w:rPr>
            <w:i/>
            <w:iCs/>
            <w:color w:val="0072BC"/>
            <w:lang w:val="pl"/>
          </w:rPr>
          <w:t>Almeida Garrett, Mascarenhas Falcão i Inni p. Portugalii</w:t>
        </w:r>
        <w:r w:rsidR="000425B4">
          <w:rPr>
            <w:lang w:val="pl"/>
          </w:rPr>
          <w:t>,</w:t>
        </w:r>
      </w:hyperlink>
      <w:r w:rsidR="000425B4">
        <w:rPr>
          <w:lang w:val="pl"/>
        </w:rPr>
        <w:t xml:space="preserve"> nr 29813/96 i 30229/96, ECHR 2000-I</w:t>
      </w:r>
    </w:p>
    <w:p w:rsidR="00B71A20" w:rsidRPr="000625F6" w:rsidRDefault="0093676E">
      <w:pPr>
        <w:pStyle w:val="Teksttreci0"/>
        <w:spacing w:after="0"/>
        <w:rPr>
          <w:lang w:val="pl-PL"/>
        </w:rPr>
      </w:pPr>
      <w:hyperlink r:id="rId1945" w:history="1">
        <w:r w:rsidR="000425B4">
          <w:rPr>
            <w:i/>
            <w:iCs/>
            <w:color w:val="0072BC"/>
            <w:lang w:val="pl"/>
          </w:rPr>
          <w:t>Amarandei i Inni p. Rumunii</w:t>
        </w:r>
        <w:r w:rsidR="000425B4">
          <w:rPr>
            <w:lang w:val="pl"/>
          </w:rPr>
          <w:t>,</w:t>
        </w:r>
      </w:hyperlink>
      <w:r w:rsidR="000425B4">
        <w:rPr>
          <w:lang w:val="pl"/>
        </w:rPr>
        <w:t xml:space="preserve"> nr 1443/10, 26 kwietnia 2016 r.</w:t>
      </w:r>
    </w:p>
    <w:p w:rsidR="00B71A20" w:rsidRPr="000625F6" w:rsidRDefault="0093676E">
      <w:pPr>
        <w:pStyle w:val="Teksttreci0"/>
        <w:spacing w:after="0"/>
        <w:rPr>
          <w:lang w:val="pl-PL"/>
        </w:rPr>
      </w:pPr>
      <w:hyperlink r:id="rId1946" w:history="1">
        <w:r w:rsidR="000425B4">
          <w:rPr>
            <w:i/>
            <w:iCs/>
            <w:color w:val="0072BC"/>
            <w:lang w:val="pl"/>
          </w:rPr>
          <w:t>An i Inni p. Cyprowi</w:t>
        </w:r>
        <w:r w:rsidR="000425B4">
          <w:rPr>
            <w:lang w:val="pl"/>
          </w:rPr>
          <w:t>,</w:t>
        </w:r>
      </w:hyperlink>
      <w:r w:rsidR="000425B4">
        <w:rPr>
          <w:lang w:val="pl"/>
        </w:rPr>
        <w:t xml:space="preserve"> nr 18270/91, Decyzja Komisji z dnia 8 października 1991 r.</w:t>
      </w:r>
    </w:p>
    <w:p w:rsidR="00B71A20" w:rsidRPr="000625F6" w:rsidRDefault="0093676E">
      <w:pPr>
        <w:pStyle w:val="Teksttreci0"/>
        <w:spacing w:after="0"/>
        <w:rPr>
          <w:lang w:val="pl-PL"/>
        </w:rPr>
      </w:pPr>
      <w:hyperlink r:id="rId1947" w:history="1">
        <w:r w:rsidR="000425B4">
          <w:rPr>
            <w:i/>
            <w:iCs/>
            <w:color w:val="0072BC"/>
            <w:lang w:val="pl"/>
          </w:rPr>
          <w:t>Anchugov i Gladkov p. Rosji</w:t>
        </w:r>
        <w:r w:rsidR="000425B4">
          <w:rPr>
            <w:lang w:val="pl"/>
          </w:rPr>
          <w:t>,</w:t>
        </w:r>
      </w:hyperlink>
      <w:r w:rsidR="000425B4">
        <w:rPr>
          <w:lang w:val="pl"/>
        </w:rPr>
        <w:t xml:space="preserve"> nr 11157/04 i 15162/05, 4 lipca 2013 r.</w:t>
      </w:r>
    </w:p>
    <w:p w:rsidR="00B71A20" w:rsidRPr="000625F6" w:rsidRDefault="0093676E">
      <w:pPr>
        <w:pStyle w:val="Teksttreci0"/>
        <w:spacing w:after="0"/>
        <w:rPr>
          <w:lang w:val="pl-PL"/>
        </w:rPr>
      </w:pPr>
      <w:hyperlink r:id="rId1948" w:history="1">
        <w:r w:rsidR="000425B4">
          <w:rPr>
            <w:i/>
            <w:iCs/>
            <w:color w:val="0072BC"/>
            <w:lang w:val="pl"/>
          </w:rPr>
          <w:t xml:space="preserve">Andrášik i Inni p. Słowacji </w:t>
        </w:r>
      </w:hyperlink>
      <w:r w:rsidR="000425B4">
        <w:rPr>
          <w:lang w:val="pl"/>
        </w:rPr>
        <w:t>(dec.), nr 57984/00 i 6 innych, ECHR 2002-IX</w:t>
      </w:r>
    </w:p>
    <w:p w:rsidR="00B71A20" w:rsidRPr="000625F6" w:rsidRDefault="0093676E">
      <w:pPr>
        <w:pStyle w:val="Teksttreci0"/>
        <w:spacing w:after="0"/>
        <w:ind w:left="600" w:hanging="600"/>
        <w:rPr>
          <w:lang w:val="pl-PL"/>
        </w:rPr>
      </w:pPr>
      <w:hyperlink r:id="rId1949" w:history="1">
        <w:r w:rsidR="000425B4">
          <w:rPr>
            <w:i/>
            <w:iCs/>
            <w:color w:val="0072BC"/>
            <w:lang w:val="pl"/>
          </w:rPr>
          <w:t xml:space="preserve">Andreasen p. Wielkiej Brytanii i 26 innym państwom członkowskim Unii Europejskiej </w:t>
        </w:r>
      </w:hyperlink>
      <w:r w:rsidR="000425B4">
        <w:rPr>
          <w:lang w:val="pl"/>
        </w:rPr>
        <w:t>(dec.), nr 28827/11, 31 marca 2015 r.</w:t>
      </w:r>
    </w:p>
    <w:p w:rsidR="00B71A20" w:rsidRPr="000625F6" w:rsidRDefault="0093676E">
      <w:pPr>
        <w:pStyle w:val="Teksttreci0"/>
        <w:spacing w:after="0"/>
        <w:rPr>
          <w:lang w:val="pl-PL"/>
        </w:rPr>
      </w:pPr>
      <w:hyperlink r:id="rId1950" w:history="1">
        <w:r w:rsidR="000425B4">
          <w:rPr>
            <w:i/>
            <w:iCs/>
            <w:color w:val="0072BC"/>
            <w:lang w:val="pl"/>
          </w:rPr>
          <w:t>Andronicou i Constantinou p. Cyprowi</w:t>
        </w:r>
        <w:r w:rsidR="000425B4">
          <w:rPr>
            <w:lang w:val="pl"/>
          </w:rPr>
          <w:t>,</w:t>
        </w:r>
      </w:hyperlink>
      <w:r w:rsidR="000425B4">
        <w:rPr>
          <w:lang w:val="pl"/>
        </w:rPr>
        <w:t xml:space="preserve"> 9 października 1997 r., Raporty 1997-VI</w:t>
      </w:r>
    </w:p>
    <w:p w:rsidR="00B71A20" w:rsidRPr="000625F6" w:rsidRDefault="0093676E">
      <w:pPr>
        <w:pStyle w:val="Teksttreci0"/>
        <w:spacing w:after="0"/>
        <w:rPr>
          <w:lang w:val="pl-PL"/>
        </w:rPr>
      </w:pPr>
      <w:hyperlink r:id="rId1951" w:history="1">
        <w:r w:rsidR="000425B4">
          <w:rPr>
            <w:i/>
            <w:iCs/>
            <w:color w:val="0072BC"/>
            <w:lang w:val="pl"/>
          </w:rPr>
          <w:t xml:space="preserve">Ankarcrona p. Szwecji </w:t>
        </w:r>
      </w:hyperlink>
      <w:r w:rsidR="000425B4">
        <w:rPr>
          <w:lang w:val="pl"/>
        </w:rPr>
        <w:t>(dec.), nr 35178/97, ECHR 2000</w:t>
      </w:r>
      <w:r w:rsidR="000425B4">
        <w:rPr>
          <w:lang w:val="pl"/>
        </w:rPr>
        <w:noBreakHyphen/>
        <w:t>VI</w:t>
      </w:r>
    </w:p>
    <w:p w:rsidR="00B71A20" w:rsidRPr="000625F6" w:rsidRDefault="0093676E">
      <w:pPr>
        <w:pStyle w:val="Teksttreci0"/>
        <w:spacing w:after="0"/>
        <w:rPr>
          <w:lang w:val="pl-PL"/>
        </w:rPr>
      </w:pPr>
      <w:hyperlink r:id="rId1952" w:history="1">
        <w:r w:rsidR="000425B4">
          <w:rPr>
            <w:i/>
            <w:iCs/>
            <w:color w:val="0072BC"/>
            <w:lang w:val="pl"/>
          </w:rPr>
          <w:t xml:space="preserve">Apinis p. Łotwie </w:t>
        </w:r>
      </w:hyperlink>
      <w:r w:rsidR="000425B4">
        <w:rPr>
          <w:lang w:val="pl"/>
        </w:rPr>
        <w:t>(dec.), nr 46549/06, 20 września 2011 r.</w:t>
      </w:r>
    </w:p>
    <w:p w:rsidR="00B71A20" w:rsidRPr="000625F6" w:rsidRDefault="0093676E">
      <w:pPr>
        <w:pStyle w:val="Teksttreci0"/>
        <w:spacing w:after="0"/>
        <w:rPr>
          <w:lang w:val="pl-PL"/>
        </w:rPr>
      </w:pPr>
      <w:hyperlink r:id="rId1953" w:history="1">
        <w:r w:rsidR="000425B4">
          <w:rPr>
            <w:i/>
            <w:iCs/>
            <w:color w:val="0072BC"/>
            <w:lang w:val="pl"/>
          </w:rPr>
          <w:t xml:space="preserve">Aquilina p. Malcie </w:t>
        </w:r>
      </w:hyperlink>
      <w:r w:rsidR="000425B4">
        <w:rPr>
          <w:lang w:val="pl"/>
        </w:rPr>
        <w:t>[WI], nr 25642/94, ECHR 1999-III</w:t>
      </w:r>
    </w:p>
    <w:p w:rsidR="00B71A20" w:rsidRPr="000625F6" w:rsidRDefault="0093676E">
      <w:pPr>
        <w:pStyle w:val="Teksttreci0"/>
        <w:spacing w:after="0"/>
        <w:rPr>
          <w:lang w:val="pl-PL"/>
        </w:rPr>
      </w:pPr>
      <w:hyperlink r:id="rId1954" w:history="1">
        <w:r w:rsidR="000425B4">
          <w:rPr>
            <w:i/>
            <w:iCs/>
            <w:color w:val="0072BC"/>
            <w:lang w:val="pl"/>
          </w:rPr>
          <w:t>Arat p. Turcji</w:t>
        </w:r>
        <w:r w:rsidR="000425B4">
          <w:rPr>
            <w:lang w:val="pl"/>
          </w:rPr>
          <w:t>,</w:t>
        </w:r>
      </w:hyperlink>
      <w:r w:rsidR="000425B4">
        <w:rPr>
          <w:lang w:val="pl"/>
        </w:rPr>
        <w:t xml:space="preserve"> nr 10309/03, 10 listopada 2009 r.</w:t>
      </w:r>
    </w:p>
    <w:p w:rsidR="00B71A20" w:rsidRPr="000625F6" w:rsidRDefault="0093676E">
      <w:pPr>
        <w:pStyle w:val="Teksttreci0"/>
        <w:spacing w:after="0"/>
        <w:rPr>
          <w:lang w:val="pl-PL"/>
        </w:rPr>
      </w:pPr>
      <w:hyperlink r:id="rId1955" w:history="1">
        <w:r w:rsidR="000425B4">
          <w:rPr>
            <w:i/>
            <w:iCs/>
            <w:color w:val="0072BC"/>
            <w:lang w:val="pl"/>
          </w:rPr>
          <w:t>Agrotexim i Inni p. Grecji</w:t>
        </w:r>
        <w:r w:rsidR="000425B4">
          <w:rPr>
            <w:lang w:val="pl"/>
          </w:rPr>
          <w:t>,</w:t>
        </w:r>
      </w:hyperlink>
      <w:r w:rsidR="000425B4">
        <w:rPr>
          <w:lang w:val="pl"/>
        </w:rPr>
        <w:t xml:space="preserve"> 24 października 1995, Seria A nr 330</w:t>
      </w:r>
      <w:r w:rsidR="000425B4">
        <w:rPr>
          <w:lang w:val="pl"/>
        </w:rPr>
        <w:noBreakHyphen/>
        <w:t>A</w:t>
      </w:r>
    </w:p>
    <w:p w:rsidR="00B71A20" w:rsidRPr="000625F6" w:rsidRDefault="0093676E">
      <w:pPr>
        <w:pStyle w:val="Teksttreci0"/>
        <w:spacing w:after="0"/>
        <w:rPr>
          <w:lang w:val="pl-PL"/>
        </w:rPr>
      </w:pPr>
      <w:hyperlink r:id="rId1956" w:history="1">
        <w:r w:rsidR="000425B4">
          <w:rPr>
            <w:i/>
            <w:iCs/>
            <w:color w:val="0072BC"/>
            <w:lang w:val="pl"/>
          </w:rPr>
          <w:t>Arlewin p. Szwecji</w:t>
        </w:r>
        <w:r w:rsidR="000425B4">
          <w:rPr>
            <w:lang w:val="pl"/>
          </w:rPr>
          <w:t>,</w:t>
        </w:r>
      </w:hyperlink>
      <w:r w:rsidR="000425B4">
        <w:rPr>
          <w:lang w:val="pl"/>
        </w:rPr>
        <w:t xml:space="preserve"> nr 22302/10, 1 marca 2016 r.</w:t>
      </w:r>
    </w:p>
    <w:p w:rsidR="00B71A20" w:rsidRPr="000625F6" w:rsidRDefault="0093676E">
      <w:pPr>
        <w:pStyle w:val="Teksttreci0"/>
        <w:spacing w:after="0"/>
        <w:rPr>
          <w:lang w:val="pl-PL"/>
        </w:rPr>
      </w:pPr>
      <w:hyperlink r:id="rId1957" w:history="1">
        <w:r w:rsidR="000425B4">
          <w:rPr>
            <w:i/>
            <w:iCs/>
            <w:color w:val="0072BC"/>
            <w:lang w:val="pl"/>
          </w:rPr>
          <w:t>Armonienė p. Litwie</w:t>
        </w:r>
        <w:r w:rsidR="000425B4">
          <w:rPr>
            <w:lang w:val="pl"/>
          </w:rPr>
          <w:t>,</w:t>
        </w:r>
      </w:hyperlink>
      <w:r w:rsidR="000425B4">
        <w:rPr>
          <w:lang w:val="pl"/>
        </w:rPr>
        <w:t xml:space="preserve"> nr 36919/02, 25 listopada 2008 r.</w:t>
      </w:r>
    </w:p>
    <w:p w:rsidR="00B71A20" w:rsidRPr="000625F6" w:rsidRDefault="0093676E">
      <w:pPr>
        <w:pStyle w:val="Teksttreci0"/>
        <w:spacing w:after="0"/>
        <w:rPr>
          <w:lang w:val="pl-PL"/>
        </w:rPr>
      </w:pPr>
      <w:hyperlink r:id="rId1958" w:history="1">
        <w:r w:rsidR="000425B4">
          <w:rPr>
            <w:i/>
            <w:iCs/>
            <w:color w:val="0072BC"/>
            <w:lang w:val="pl"/>
          </w:rPr>
          <w:t>Aspiotis p. Grecji</w:t>
        </w:r>
        <w:r w:rsidR="000425B4">
          <w:rPr>
            <w:color w:val="0072BC"/>
            <w:lang w:val="pl"/>
          </w:rPr>
          <w:t xml:space="preserve"> </w:t>
        </w:r>
      </w:hyperlink>
      <w:r w:rsidR="000425B4">
        <w:rPr>
          <w:lang w:val="pl"/>
        </w:rPr>
        <w:t>(dec.), nr 4561/17, 1 marca 2022 r.</w:t>
      </w:r>
    </w:p>
    <w:p w:rsidR="00B71A20" w:rsidRPr="000625F6" w:rsidRDefault="0093676E">
      <w:pPr>
        <w:pStyle w:val="Teksttreci0"/>
        <w:spacing w:after="0"/>
        <w:rPr>
          <w:lang w:val="pl-PL"/>
        </w:rPr>
      </w:pPr>
      <w:hyperlink r:id="rId1959" w:history="1">
        <w:r w:rsidR="000425B4">
          <w:rPr>
            <w:i/>
            <w:iCs/>
            <w:color w:val="0072BC"/>
            <w:lang w:val="pl"/>
          </w:rPr>
          <w:t xml:space="preserve">Assanidze p. Gruzji </w:t>
        </w:r>
      </w:hyperlink>
      <w:r w:rsidR="000425B4">
        <w:rPr>
          <w:lang w:val="pl"/>
        </w:rPr>
        <w:t>[WI], nr 71503/01, ECHR 2004-II</w:t>
      </w:r>
    </w:p>
    <w:p w:rsidR="00B71A20" w:rsidRDefault="0093676E">
      <w:pPr>
        <w:pStyle w:val="Teksttreci0"/>
        <w:spacing w:after="0"/>
      </w:pPr>
      <w:hyperlink r:id="rId1960" w:history="1">
        <w:r w:rsidR="000425B4" w:rsidRPr="000625F6">
          <w:rPr>
            <w:i/>
            <w:iCs/>
            <w:color w:val="0072BC"/>
            <w:lang w:val="en-GB"/>
          </w:rPr>
          <w:t>Association for the Defence of Human Rights in Romania - Helsinki Committee w imieniu Ionela</w:t>
        </w:r>
      </w:hyperlink>
    </w:p>
    <w:p w:rsidR="00B71A20" w:rsidRPr="000625F6" w:rsidRDefault="0093676E">
      <w:pPr>
        <w:pStyle w:val="Teksttreci0"/>
        <w:spacing w:after="0"/>
        <w:ind w:firstLine="600"/>
        <w:rPr>
          <w:lang w:val="pl-PL"/>
        </w:rPr>
      </w:pPr>
      <w:hyperlink r:id="rId1961" w:history="1">
        <w:r w:rsidR="000425B4">
          <w:rPr>
            <w:i/>
            <w:iCs/>
            <w:color w:val="0072BC"/>
            <w:lang w:val="pl"/>
          </w:rPr>
          <w:t>Garcei p. Rumunii</w:t>
        </w:r>
        <w:r w:rsidR="000425B4">
          <w:rPr>
            <w:lang w:val="pl"/>
          </w:rPr>
          <w:t>,</w:t>
        </w:r>
      </w:hyperlink>
      <w:r w:rsidR="000425B4">
        <w:rPr>
          <w:lang w:val="pl"/>
        </w:rPr>
        <w:t xml:space="preserve"> nr 2959/11, 24 marca 2015 r.</w:t>
      </w:r>
    </w:p>
    <w:p w:rsidR="00B71A20" w:rsidRDefault="0093676E">
      <w:pPr>
        <w:pStyle w:val="Teksttreci0"/>
        <w:spacing w:after="0"/>
        <w:ind w:left="600" w:hanging="600"/>
      </w:pPr>
      <w:hyperlink r:id="rId1962" w:history="1">
        <w:r w:rsidR="000425B4" w:rsidRPr="000625F6">
          <w:rPr>
            <w:i/>
            <w:iCs/>
            <w:color w:val="0072BC"/>
            <w:lang w:val="en-GB"/>
          </w:rPr>
          <w:t>Association Innocence en Danger i Association Enfance et Partage p. Francji</w:t>
        </w:r>
        <w:r w:rsidR="000425B4" w:rsidRPr="000625F6">
          <w:rPr>
            <w:lang w:val="en-GB"/>
          </w:rPr>
          <w:t>,</w:t>
        </w:r>
      </w:hyperlink>
      <w:r w:rsidR="000425B4" w:rsidRPr="000625F6">
        <w:rPr>
          <w:lang w:val="en-GB"/>
        </w:rPr>
        <w:t xml:space="preserve"> nr 15343/15 i 16806/15, 4 czerwca 2020 r.</w:t>
      </w:r>
    </w:p>
    <w:p w:rsidR="00B71A20" w:rsidRDefault="0093676E">
      <w:pPr>
        <w:pStyle w:val="Teksttreci0"/>
        <w:spacing w:after="0"/>
      </w:pPr>
      <w:hyperlink r:id="rId1963" w:history="1">
        <w:r w:rsidR="000425B4" w:rsidRPr="000625F6">
          <w:rPr>
            <w:i/>
            <w:iCs/>
            <w:color w:val="0072BC"/>
            <w:lang w:val="en-GB"/>
          </w:rPr>
          <w:t>Association Les temoins de Jehovah p. Francji</w:t>
        </w:r>
        <w:r w:rsidR="000425B4" w:rsidRPr="000625F6">
          <w:rPr>
            <w:color w:val="0072BC"/>
            <w:lang w:val="en-GB"/>
          </w:rPr>
          <w:t xml:space="preserve"> </w:t>
        </w:r>
      </w:hyperlink>
      <w:r w:rsidR="000425B4" w:rsidRPr="000625F6">
        <w:rPr>
          <w:lang w:val="en-GB"/>
        </w:rPr>
        <w:t>(dec.), nr 8916/05, 21 września 2010 r.</w:t>
      </w:r>
    </w:p>
    <w:p w:rsidR="00B71A20" w:rsidRPr="000625F6" w:rsidRDefault="0093676E">
      <w:pPr>
        <w:pStyle w:val="Teksttreci0"/>
        <w:spacing w:after="0"/>
        <w:rPr>
          <w:lang w:val="pl-PL"/>
        </w:rPr>
      </w:pPr>
      <w:hyperlink r:id="rId1964" w:history="1">
        <w:r w:rsidR="000425B4">
          <w:rPr>
            <w:i/>
            <w:iCs/>
            <w:color w:val="0072BC"/>
            <w:lang w:val="pl"/>
          </w:rPr>
          <w:t>Ataykaya p. Turcji</w:t>
        </w:r>
        <w:r w:rsidR="000425B4">
          <w:rPr>
            <w:lang w:val="pl"/>
          </w:rPr>
          <w:t>,</w:t>
        </w:r>
      </w:hyperlink>
      <w:r w:rsidR="000425B4">
        <w:rPr>
          <w:lang w:val="pl"/>
        </w:rPr>
        <w:t xml:space="preserve"> nr 50275/08, 22 lipca 2014 r.</w:t>
      </w:r>
    </w:p>
    <w:p w:rsidR="00B71A20" w:rsidRPr="000625F6" w:rsidRDefault="0093676E">
      <w:pPr>
        <w:pStyle w:val="Teksttreci0"/>
        <w:spacing w:after="0"/>
        <w:rPr>
          <w:lang w:val="pl-PL"/>
        </w:rPr>
      </w:pPr>
      <w:hyperlink r:id="rId1965" w:history="1">
        <w:r w:rsidR="000425B4">
          <w:rPr>
            <w:i/>
            <w:iCs/>
            <w:color w:val="0072BC"/>
            <w:lang w:val="pl"/>
          </w:rPr>
          <w:t xml:space="preserve">Aydarov i Inni p. Bułgarii </w:t>
        </w:r>
      </w:hyperlink>
      <w:r w:rsidR="000425B4">
        <w:rPr>
          <w:lang w:val="pl"/>
        </w:rPr>
        <w:t>(dec.), nr 33586/15, 2 października 2018 r.</w:t>
      </w:r>
    </w:p>
    <w:p w:rsidR="00B71A20" w:rsidRPr="000625F6" w:rsidRDefault="0093676E">
      <w:pPr>
        <w:pStyle w:val="Teksttreci0"/>
        <w:spacing w:after="0"/>
        <w:rPr>
          <w:lang w:val="pl-PL"/>
        </w:rPr>
      </w:pPr>
      <w:hyperlink r:id="rId1966" w:history="1">
        <w:r w:rsidR="000425B4">
          <w:rPr>
            <w:i/>
            <w:iCs/>
            <w:color w:val="0072BC"/>
            <w:lang w:val="pl"/>
          </w:rPr>
          <w:t xml:space="preserve">Ayuntamiento de Mula p. Hiszpanii </w:t>
        </w:r>
      </w:hyperlink>
      <w:r w:rsidR="000425B4">
        <w:rPr>
          <w:lang w:val="pl"/>
        </w:rPr>
        <w:t>(dec.), nr 55346/00, ECHR 2001-I</w:t>
      </w:r>
    </w:p>
    <w:p w:rsidR="00B71A20" w:rsidRPr="000625F6" w:rsidRDefault="0093676E">
      <w:pPr>
        <w:pStyle w:val="Teksttreci0"/>
        <w:spacing w:after="0"/>
        <w:rPr>
          <w:lang w:val="pl-PL"/>
        </w:rPr>
      </w:pPr>
      <w:hyperlink r:id="rId1967" w:history="1">
        <w:r w:rsidR="000425B4">
          <w:rPr>
            <w:i/>
            <w:iCs/>
            <w:color w:val="0072BC"/>
            <w:lang w:val="pl"/>
          </w:rPr>
          <w:t xml:space="preserve">Azemi p. Serbii </w:t>
        </w:r>
      </w:hyperlink>
      <w:r w:rsidR="000425B4">
        <w:rPr>
          <w:lang w:val="pl"/>
        </w:rPr>
        <w:t>(dec.), nr 11209/09, 5 listopada 2013 r.</w:t>
      </w:r>
    </w:p>
    <w:p w:rsidR="00B71A20" w:rsidRPr="000625F6" w:rsidRDefault="0093676E" w:rsidP="000625F6">
      <w:pPr>
        <w:pStyle w:val="Teksttreci0"/>
        <w:spacing w:after="460"/>
        <w:rPr>
          <w:lang w:val="pl-PL"/>
        </w:rPr>
      </w:pPr>
      <w:hyperlink r:id="rId1968" w:history="1">
        <w:r w:rsidR="000425B4">
          <w:rPr>
            <w:i/>
            <w:iCs/>
            <w:color w:val="0072BC"/>
            <w:lang w:val="pl"/>
          </w:rPr>
          <w:t xml:space="preserve">Azinas p. Cyprowi </w:t>
        </w:r>
      </w:hyperlink>
      <w:r w:rsidR="000425B4">
        <w:rPr>
          <w:lang w:val="pl"/>
        </w:rPr>
        <w:t>[WI], nr 56679/00, ECHR 2004-III</w:t>
      </w:r>
    </w:p>
    <w:p w:rsidR="00B71A20" w:rsidRPr="000625F6" w:rsidRDefault="000425B4">
      <w:pPr>
        <w:pStyle w:val="Teksttreci30"/>
        <w:spacing w:after="100"/>
        <w:rPr>
          <w:lang w:val="pl-PL"/>
        </w:rPr>
      </w:pPr>
      <w:r>
        <w:rPr>
          <w:lang w:val="pl"/>
        </w:rPr>
        <w:lastRenderedPageBreak/>
        <w:t>—B—</w:t>
      </w:r>
    </w:p>
    <w:p w:rsidR="00B71A20" w:rsidRPr="000625F6" w:rsidRDefault="0093676E">
      <w:pPr>
        <w:pStyle w:val="Teksttreci0"/>
        <w:spacing w:after="0"/>
        <w:rPr>
          <w:lang w:val="pl-PL"/>
        </w:rPr>
      </w:pPr>
      <w:hyperlink r:id="rId1969" w:history="1">
        <w:r w:rsidR="000425B4">
          <w:rPr>
            <w:i/>
            <w:iCs/>
            <w:color w:val="0072BC"/>
            <w:lang w:val="pl"/>
          </w:rPr>
          <w:t>Bagdonavicius i Inni p. Rosji</w:t>
        </w:r>
        <w:r w:rsidR="000425B4">
          <w:rPr>
            <w:lang w:val="pl"/>
          </w:rPr>
          <w:t>,</w:t>
        </w:r>
      </w:hyperlink>
      <w:r w:rsidR="000425B4">
        <w:rPr>
          <w:lang w:val="pl"/>
        </w:rPr>
        <w:t xml:space="preserve"> nr 19841/06, 11 października 2016 r.</w:t>
      </w:r>
    </w:p>
    <w:p w:rsidR="00B71A20" w:rsidRPr="000625F6" w:rsidRDefault="0093676E">
      <w:pPr>
        <w:pStyle w:val="Teksttreci0"/>
        <w:spacing w:after="0"/>
        <w:rPr>
          <w:lang w:val="pl-PL"/>
        </w:rPr>
      </w:pPr>
      <w:hyperlink r:id="rId1970" w:history="1">
        <w:r w:rsidR="000425B4">
          <w:rPr>
            <w:i/>
            <w:iCs/>
            <w:color w:val="0072BC"/>
            <w:lang w:val="pl"/>
          </w:rPr>
          <w:t xml:space="preserve">Bagheri i Maliki p. Holandii </w:t>
        </w:r>
      </w:hyperlink>
      <w:r w:rsidR="000425B4">
        <w:rPr>
          <w:lang w:val="pl"/>
        </w:rPr>
        <w:t>(dec.), nr 30164/06, 15 maja 2007 r.</w:t>
      </w:r>
    </w:p>
    <w:p w:rsidR="00B71A20" w:rsidRPr="000625F6" w:rsidRDefault="0093676E">
      <w:pPr>
        <w:pStyle w:val="Teksttreci0"/>
        <w:spacing w:after="0"/>
        <w:rPr>
          <w:lang w:val="pl-PL"/>
        </w:rPr>
      </w:pPr>
      <w:hyperlink r:id="rId1971" w:history="1">
        <w:r w:rsidR="000425B4">
          <w:rPr>
            <w:i/>
            <w:iCs/>
            <w:color w:val="0072BC"/>
            <w:lang w:val="pl"/>
          </w:rPr>
          <w:t xml:space="preserve">Baillard p. Francji </w:t>
        </w:r>
      </w:hyperlink>
      <w:r w:rsidR="000425B4">
        <w:rPr>
          <w:lang w:val="pl"/>
        </w:rPr>
        <w:t>(dec.), nr 6032/04, 25 września 2008 r.</w:t>
      </w:r>
    </w:p>
    <w:p w:rsidR="00B71A20" w:rsidRPr="000625F6" w:rsidRDefault="0093676E">
      <w:pPr>
        <w:pStyle w:val="Teksttreci0"/>
        <w:spacing w:after="0"/>
        <w:rPr>
          <w:lang w:val="pl-PL"/>
        </w:rPr>
      </w:pPr>
      <w:hyperlink r:id="rId1972" w:history="1">
        <w:r w:rsidR="000425B4">
          <w:rPr>
            <w:i/>
            <w:iCs/>
            <w:color w:val="0072BC"/>
            <w:lang w:val="pl"/>
          </w:rPr>
          <w:t>Bakanova p. Litwie</w:t>
        </w:r>
        <w:r w:rsidR="000425B4">
          <w:rPr>
            <w:lang w:val="pl"/>
          </w:rPr>
          <w:t>,</w:t>
        </w:r>
      </w:hyperlink>
      <w:r w:rsidR="000425B4">
        <w:rPr>
          <w:lang w:val="pl"/>
        </w:rPr>
        <w:t xml:space="preserve"> nr 11167/12, 31 maja 2016 r.</w:t>
      </w:r>
    </w:p>
    <w:p w:rsidR="00B71A20" w:rsidRPr="000625F6" w:rsidRDefault="0093676E">
      <w:pPr>
        <w:pStyle w:val="Teksttreci0"/>
        <w:spacing w:after="0"/>
        <w:rPr>
          <w:lang w:val="pl-PL"/>
        </w:rPr>
      </w:pPr>
      <w:hyperlink r:id="rId1973" w:history="1">
        <w:r w:rsidR="000425B4">
          <w:rPr>
            <w:i/>
            <w:iCs/>
            <w:color w:val="0072BC"/>
            <w:lang w:val="pl"/>
          </w:rPr>
          <w:t xml:space="preserve">Balan p. Mołdawii </w:t>
        </w:r>
      </w:hyperlink>
      <w:r w:rsidR="000425B4">
        <w:rPr>
          <w:lang w:val="pl"/>
        </w:rPr>
        <w:t>(dec.), nr 44746/08, 24 stycznia 2012 r.</w:t>
      </w:r>
    </w:p>
    <w:p w:rsidR="00B71A20" w:rsidRPr="000625F6" w:rsidRDefault="0093676E">
      <w:pPr>
        <w:pStyle w:val="Teksttreci0"/>
        <w:spacing w:after="0"/>
        <w:rPr>
          <w:lang w:val="pl-PL"/>
        </w:rPr>
      </w:pPr>
      <w:hyperlink r:id="rId1974" w:history="1">
        <w:r w:rsidR="000425B4">
          <w:rPr>
            <w:i/>
            <w:iCs/>
            <w:color w:val="0072BC"/>
            <w:lang w:val="pl"/>
          </w:rPr>
          <w:t xml:space="preserve">Banković i Inni p. Belgii i innym </w:t>
        </w:r>
      </w:hyperlink>
      <w:r w:rsidR="000425B4">
        <w:rPr>
          <w:lang w:val="pl"/>
        </w:rPr>
        <w:t>(dec.) [WI], nr 52207/99, ECHR 2001-XII</w:t>
      </w:r>
    </w:p>
    <w:p w:rsidR="00B71A20" w:rsidRPr="000625F6" w:rsidRDefault="0093676E">
      <w:pPr>
        <w:pStyle w:val="Teksttreci0"/>
        <w:spacing w:after="0"/>
        <w:rPr>
          <w:lang w:val="pl-PL"/>
        </w:rPr>
      </w:pPr>
      <w:hyperlink r:id="rId1975" w:history="1">
        <w:r w:rsidR="000425B4">
          <w:rPr>
            <w:i/>
            <w:iCs/>
            <w:color w:val="0072BC"/>
            <w:lang w:val="pl"/>
          </w:rPr>
          <w:t>Bannikov p. Łotwie</w:t>
        </w:r>
        <w:r w:rsidR="000425B4">
          <w:rPr>
            <w:lang w:val="pl"/>
          </w:rPr>
          <w:t>,</w:t>
        </w:r>
      </w:hyperlink>
      <w:r w:rsidR="000425B4">
        <w:rPr>
          <w:lang w:val="pl"/>
        </w:rPr>
        <w:t xml:space="preserve"> nr 19279/03, 11 czerwca 2013 r.</w:t>
      </w:r>
    </w:p>
    <w:p w:rsidR="00B71A20" w:rsidRPr="000625F6" w:rsidRDefault="0093676E">
      <w:pPr>
        <w:pStyle w:val="Teksttreci0"/>
        <w:spacing w:after="0"/>
        <w:rPr>
          <w:lang w:val="pl-PL"/>
        </w:rPr>
      </w:pPr>
      <w:hyperlink r:id="rId1976" w:history="1">
        <w:r w:rsidR="000425B4">
          <w:rPr>
            <w:i/>
            <w:iCs/>
            <w:color w:val="0072BC"/>
            <w:lang w:val="pl"/>
          </w:rPr>
          <w:t>Barberà, Messegué i Jabardo p. Hiszpanii</w:t>
        </w:r>
        <w:r w:rsidR="000425B4">
          <w:rPr>
            <w:lang w:val="pl"/>
          </w:rPr>
          <w:t>,</w:t>
        </w:r>
      </w:hyperlink>
      <w:r w:rsidR="000425B4">
        <w:rPr>
          <w:lang w:val="pl"/>
        </w:rPr>
        <w:t xml:space="preserve"> 6 grudnia 1988 r., Seria A nr 146</w:t>
      </w:r>
    </w:p>
    <w:p w:rsidR="00B71A20" w:rsidRPr="000625F6" w:rsidRDefault="0093676E">
      <w:pPr>
        <w:pStyle w:val="Teksttreci0"/>
        <w:spacing w:after="0"/>
        <w:rPr>
          <w:lang w:val="pl-PL"/>
        </w:rPr>
      </w:pPr>
      <w:hyperlink r:id="rId1977" w:history="1">
        <w:r w:rsidR="000425B4">
          <w:rPr>
            <w:i/>
            <w:iCs/>
            <w:color w:val="0072BC"/>
            <w:lang w:val="pl"/>
          </w:rPr>
          <w:t>Bartolo p. Malcie</w:t>
        </w:r>
        <w:r w:rsidR="000425B4">
          <w:rPr>
            <w:color w:val="0072BC"/>
            <w:lang w:val="pl"/>
          </w:rPr>
          <w:t xml:space="preserve"> </w:t>
        </w:r>
      </w:hyperlink>
      <w:r w:rsidR="000425B4">
        <w:rPr>
          <w:lang w:val="pl"/>
        </w:rPr>
        <w:t>(dec.), nr 40761/19, 7 września 2021 r.</w:t>
      </w:r>
    </w:p>
    <w:p w:rsidR="00B71A20" w:rsidRPr="000625F6" w:rsidRDefault="0093676E">
      <w:pPr>
        <w:pStyle w:val="Teksttreci0"/>
        <w:spacing w:after="0"/>
        <w:rPr>
          <w:lang w:val="pl-PL"/>
        </w:rPr>
      </w:pPr>
      <w:hyperlink r:id="rId1978" w:history="1">
        <w:r w:rsidR="000425B4">
          <w:rPr>
            <w:i/>
            <w:iCs/>
            <w:color w:val="0072BC"/>
            <w:lang w:val="pl"/>
          </w:rPr>
          <w:t>Baumann p. Francji</w:t>
        </w:r>
        <w:r w:rsidR="000425B4">
          <w:rPr>
            <w:lang w:val="pl"/>
          </w:rPr>
          <w:t>,</w:t>
        </w:r>
      </w:hyperlink>
      <w:r w:rsidR="000425B4">
        <w:rPr>
          <w:lang w:val="pl"/>
        </w:rPr>
        <w:t xml:space="preserve"> nr 33592/96, ECHR 2001-V</w:t>
      </w:r>
    </w:p>
    <w:p w:rsidR="00B71A20" w:rsidRPr="000625F6" w:rsidRDefault="0093676E">
      <w:pPr>
        <w:pStyle w:val="Teksttreci0"/>
        <w:spacing w:after="0"/>
        <w:rPr>
          <w:lang w:val="pl-PL"/>
        </w:rPr>
      </w:pPr>
      <w:hyperlink r:id="rId1979" w:history="1">
        <w:r w:rsidR="000425B4">
          <w:rPr>
            <w:i/>
            <w:iCs/>
            <w:color w:val="0072BC"/>
            <w:lang w:val="pl"/>
          </w:rPr>
          <w:t xml:space="preserve">Bazelyuk p. Ukrainie </w:t>
        </w:r>
      </w:hyperlink>
      <w:r w:rsidR="000425B4">
        <w:rPr>
          <w:lang w:val="pl"/>
        </w:rPr>
        <w:t>(dec.), nr 49275/08, 27 marca 2012 r.</w:t>
      </w:r>
    </w:p>
    <w:p w:rsidR="00B71A20" w:rsidRPr="000625F6" w:rsidRDefault="0093676E">
      <w:pPr>
        <w:pStyle w:val="Teksttreci0"/>
        <w:spacing w:after="0"/>
        <w:rPr>
          <w:lang w:val="pl-PL"/>
        </w:rPr>
      </w:pPr>
      <w:hyperlink r:id="rId1980" w:history="1">
        <w:r w:rsidR="000425B4">
          <w:rPr>
            <w:i/>
            <w:iCs/>
            <w:color w:val="0072BC"/>
            <w:lang w:val="pl"/>
          </w:rPr>
          <w:t>Bazorkina p. Rosji</w:t>
        </w:r>
        <w:r w:rsidR="000425B4">
          <w:rPr>
            <w:lang w:val="pl"/>
          </w:rPr>
          <w:t>,</w:t>
        </w:r>
      </w:hyperlink>
      <w:r w:rsidR="000425B4">
        <w:rPr>
          <w:lang w:val="pl"/>
        </w:rPr>
        <w:t xml:space="preserve"> nr 69481/01, 27 lipca 2006 r.</w:t>
      </w:r>
    </w:p>
    <w:p w:rsidR="00B71A20" w:rsidRPr="000625F6" w:rsidRDefault="0093676E">
      <w:pPr>
        <w:pStyle w:val="Teksttreci0"/>
        <w:spacing w:after="0"/>
        <w:rPr>
          <w:lang w:val="pl-PL"/>
        </w:rPr>
      </w:pPr>
      <w:hyperlink r:id="rId1981" w:history="1">
        <w:r w:rsidR="000425B4">
          <w:rPr>
            <w:i/>
            <w:iCs/>
            <w:color w:val="0072BC"/>
            <w:lang w:val="pl"/>
          </w:rPr>
          <w:t xml:space="preserve">Beer i Regan p. Niemcom </w:t>
        </w:r>
      </w:hyperlink>
      <w:r w:rsidR="000425B4">
        <w:rPr>
          <w:lang w:val="pl"/>
        </w:rPr>
        <w:t>[WI], nr 28934/95, 18 lutego 1999 r.</w:t>
      </w:r>
    </w:p>
    <w:p w:rsidR="00B71A20" w:rsidRPr="000625F6" w:rsidRDefault="0093676E">
      <w:pPr>
        <w:pStyle w:val="Teksttreci0"/>
        <w:spacing w:after="0"/>
        <w:rPr>
          <w:lang w:val="pl-PL"/>
        </w:rPr>
      </w:pPr>
      <w:hyperlink r:id="rId1982" w:history="1">
        <w:r w:rsidR="000425B4">
          <w:rPr>
            <w:i/>
            <w:iCs/>
            <w:color w:val="0072BC"/>
            <w:lang w:val="pl"/>
          </w:rPr>
          <w:t>Beganović p. Chorwacji</w:t>
        </w:r>
        <w:r w:rsidR="000425B4">
          <w:rPr>
            <w:lang w:val="pl"/>
          </w:rPr>
          <w:t>,</w:t>
        </w:r>
      </w:hyperlink>
      <w:r w:rsidR="000425B4">
        <w:rPr>
          <w:lang w:val="pl"/>
        </w:rPr>
        <w:t xml:space="preserve"> nr 46423/06, 25 czerwca 2009 r.</w:t>
      </w:r>
    </w:p>
    <w:p w:rsidR="00071350" w:rsidRDefault="0093676E" w:rsidP="00071350">
      <w:pPr>
        <w:pStyle w:val="Teksttreci0"/>
        <w:spacing w:after="0"/>
        <w:rPr>
          <w:lang w:val="pl"/>
        </w:rPr>
      </w:pPr>
      <w:hyperlink r:id="rId1983" w:history="1">
        <w:r w:rsidR="000425B4">
          <w:rPr>
            <w:i/>
            <w:iCs/>
            <w:color w:val="0072BC"/>
            <w:lang w:val="pl"/>
          </w:rPr>
          <w:t xml:space="preserve">Behrami p. Francji i Saramati p. Francji, Niemcom i Norwegii </w:t>
        </w:r>
      </w:hyperlink>
      <w:r w:rsidR="000425B4">
        <w:rPr>
          <w:lang w:val="pl"/>
        </w:rPr>
        <w:t>(dec.) [WI], nr 71412/01</w:t>
      </w:r>
    </w:p>
    <w:p w:rsidR="00B71A20" w:rsidRPr="000625F6" w:rsidRDefault="000425B4" w:rsidP="00071350">
      <w:pPr>
        <w:pStyle w:val="Teksttreci0"/>
        <w:spacing w:after="0"/>
        <w:ind w:firstLine="567"/>
        <w:rPr>
          <w:lang w:val="pl-PL"/>
        </w:rPr>
      </w:pPr>
      <w:r>
        <w:rPr>
          <w:lang w:val="pl"/>
        </w:rPr>
        <w:t>i</w:t>
      </w:r>
      <w:r w:rsidR="00071350">
        <w:rPr>
          <w:lang w:val="pl"/>
        </w:rPr>
        <w:t> </w:t>
      </w:r>
      <w:r>
        <w:rPr>
          <w:lang w:val="pl"/>
        </w:rPr>
        <w:t>78166/01, 2 maja 2007 r.</w:t>
      </w:r>
    </w:p>
    <w:p w:rsidR="00B71A20" w:rsidRPr="000625F6" w:rsidRDefault="0093676E">
      <w:pPr>
        <w:pStyle w:val="Teksttreci0"/>
        <w:spacing w:after="0"/>
        <w:rPr>
          <w:lang w:val="pl-PL"/>
        </w:rPr>
      </w:pPr>
      <w:hyperlink r:id="rId1984" w:history="1">
        <w:r w:rsidR="000425B4">
          <w:rPr>
            <w:i/>
            <w:iCs/>
            <w:color w:val="0072BC"/>
            <w:lang w:val="pl"/>
          </w:rPr>
          <w:t>Beizaras i Levickas p. Litwie</w:t>
        </w:r>
        <w:r w:rsidR="000425B4">
          <w:rPr>
            <w:lang w:val="pl"/>
          </w:rPr>
          <w:t xml:space="preserve">, </w:t>
        </w:r>
      </w:hyperlink>
      <w:r w:rsidR="000425B4">
        <w:rPr>
          <w:lang w:val="pl"/>
        </w:rPr>
        <w:t>nr 41288/15, 14 stycznia 2020 r.</w:t>
      </w:r>
    </w:p>
    <w:p w:rsidR="00B71A20" w:rsidRPr="000625F6" w:rsidRDefault="0093676E">
      <w:pPr>
        <w:pStyle w:val="Teksttreci0"/>
        <w:spacing w:after="0"/>
        <w:rPr>
          <w:lang w:val="pl-PL"/>
        </w:rPr>
      </w:pPr>
      <w:hyperlink r:id="rId1985" w:history="1">
        <w:r w:rsidR="000425B4">
          <w:rPr>
            <w:i/>
            <w:iCs/>
            <w:color w:val="0072BC"/>
            <w:lang w:val="pl"/>
          </w:rPr>
          <w:t xml:space="preserve">Bekauri p. Gruzji </w:t>
        </w:r>
      </w:hyperlink>
      <w:r w:rsidR="000425B4">
        <w:rPr>
          <w:lang w:val="pl"/>
        </w:rPr>
        <w:t>(zastrzeżenia wstępne), nr 14102/02, 10 kwietnia 2012 r.</w:t>
      </w:r>
    </w:p>
    <w:p w:rsidR="00B71A20" w:rsidRPr="000625F6" w:rsidRDefault="0093676E">
      <w:pPr>
        <w:pStyle w:val="Teksttreci0"/>
        <w:spacing w:after="0"/>
        <w:rPr>
          <w:lang w:val="pl-PL"/>
        </w:rPr>
      </w:pPr>
      <w:hyperlink r:id="rId1986" w:history="1">
        <w:r w:rsidR="000425B4">
          <w:rPr>
            <w:i/>
            <w:iCs/>
            <w:color w:val="0072BC"/>
            <w:lang w:val="pl"/>
          </w:rPr>
          <w:t>Bekirski p. Bułgarii</w:t>
        </w:r>
        <w:r w:rsidR="000425B4">
          <w:rPr>
            <w:lang w:val="pl"/>
          </w:rPr>
          <w:t>,</w:t>
        </w:r>
      </w:hyperlink>
      <w:r w:rsidR="000425B4">
        <w:rPr>
          <w:lang w:val="pl"/>
        </w:rPr>
        <w:t xml:space="preserve"> nr 71420/01, 2 września 2010 r.</w:t>
      </w:r>
    </w:p>
    <w:p w:rsidR="00B71A20" w:rsidRPr="000625F6" w:rsidRDefault="0093676E">
      <w:pPr>
        <w:pStyle w:val="Teksttreci0"/>
        <w:spacing w:after="0"/>
        <w:rPr>
          <w:lang w:val="pl-PL"/>
        </w:rPr>
      </w:pPr>
      <w:hyperlink r:id="rId1987" w:history="1">
        <w:r w:rsidR="000425B4">
          <w:rPr>
            <w:i/>
            <w:iCs/>
            <w:color w:val="0072BC"/>
            <w:lang w:val="pl"/>
          </w:rPr>
          <w:t>Belevitskiy p. Rosji</w:t>
        </w:r>
        <w:r w:rsidR="000425B4">
          <w:rPr>
            <w:lang w:val="pl"/>
          </w:rPr>
          <w:t>,</w:t>
        </w:r>
      </w:hyperlink>
      <w:r w:rsidR="000425B4">
        <w:rPr>
          <w:lang w:val="pl"/>
        </w:rPr>
        <w:t xml:space="preserve"> nr 72967/01, 1 marca 2007 r.</w:t>
      </w:r>
    </w:p>
    <w:p w:rsidR="00B71A20" w:rsidRPr="000625F6" w:rsidRDefault="0093676E">
      <w:pPr>
        <w:pStyle w:val="Teksttreci0"/>
        <w:spacing w:after="0"/>
        <w:rPr>
          <w:lang w:val="pl-PL"/>
        </w:rPr>
      </w:pPr>
      <w:hyperlink r:id="rId1988" w:history="1">
        <w:r w:rsidR="000425B4">
          <w:rPr>
            <w:i/>
            <w:iCs/>
            <w:color w:val="0072BC"/>
            <w:lang w:val="pl"/>
          </w:rPr>
          <w:t>Belilos p. Szwajcarii</w:t>
        </w:r>
        <w:r w:rsidR="000425B4">
          <w:rPr>
            <w:lang w:val="pl"/>
          </w:rPr>
          <w:t>,</w:t>
        </w:r>
      </w:hyperlink>
      <w:r w:rsidR="000425B4">
        <w:rPr>
          <w:lang w:val="pl"/>
        </w:rPr>
        <w:t xml:space="preserve"> 29 kwietnia 1988 r., Seria A nr 132</w:t>
      </w:r>
    </w:p>
    <w:p w:rsidR="00B71A20" w:rsidRPr="000625F6" w:rsidRDefault="0093676E">
      <w:pPr>
        <w:pStyle w:val="Teksttreci0"/>
        <w:spacing w:after="0"/>
        <w:rPr>
          <w:lang w:val="pl-PL"/>
        </w:rPr>
      </w:pPr>
      <w:hyperlink r:id="rId1989" w:history="1">
        <w:r w:rsidR="000425B4">
          <w:rPr>
            <w:i/>
            <w:iCs/>
            <w:color w:val="0072BC"/>
            <w:lang w:val="pl"/>
          </w:rPr>
          <w:t>Belli i Arquier-Martinez p. Szwajcarii</w:t>
        </w:r>
        <w:r w:rsidR="000425B4">
          <w:rPr>
            <w:lang w:val="pl"/>
          </w:rPr>
          <w:t>,</w:t>
        </w:r>
      </w:hyperlink>
      <w:r w:rsidR="000425B4">
        <w:rPr>
          <w:lang w:val="pl"/>
        </w:rPr>
        <w:t xml:space="preserve"> nr 65550/13, 11 grudnia 2018 r.</w:t>
      </w:r>
    </w:p>
    <w:p w:rsidR="00B71A20" w:rsidRPr="000625F6" w:rsidRDefault="0093676E">
      <w:pPr>
        <w:pStyle w:val="Teksttreci0"/>
        <w:spacing w:after="0"/>
        <w:rPr>
          <w:lang w:val="pl-PL"/>
        </w:rPr>
      </w:pPr>
      <w:hyperlink r:id="rId1990" w:history="1">
        <w:r w:rsidR="000425B4">
          <w:rPr>
            <w:i/>
            <w:iCs/>
            <w:color w:val="0072BC"/>
            <w:lang w:val="pl"/>
          </w:rPr>
          <w:t xml:space="preserve">Belošević p. Chorwacji </w:t>
        </w:r>
      </w:hyperlink>
      <w:r w:rsidR="000425B4">
        <w:rPr>
          <w:lang w:val="pl"/>
        </w:rPr>
        <w:t>(dec.), nr 57242/13, 3 grudnia 2019 r.</w:t>
      </w:r>
    </w:p>
    <w:p w:rsidR="00B71A20" w:rsidRPr="000625F6" w:rsidRDefault="0093676E">
      <w:pPr>
        <w:pStyle w:val="Teksttreci0"/>
        <w:spacing w:after="0"/>
        <w:rPr>
          <w:lang w:val="pl-PL"/>
        </w:rPr>
      </w:pPr>
      <w:hyperlink r:id="rId1991" w:history="1">
        <w:r w:rsidR="000425B4">
          <w:rPr>
            <w:i/>
            <w:iCs/>
            <w:color w:val="0072BC"/>
            <w:lang w:val="pl"/>
          </w:rPr>
          <w:t>Belozorov p. Rosji i Ukrainie</w:t>
        </w:r>
        <w:r w:rsidR="000425B4">
          <w:rPr>
            <w:lang w:val="pl"/>
          </w:rPr>
          <w:t>,</w:t>
        </w:r>
      </w:hyperlink>
      <w:r w:rsidR="000425B4">
        <w:rPr>
          <w:lang w:val="pl"/>
        </w:rPr>
        <w:t xml:space="preserve"> nr 43611/02, 15 października 2015 r.</w:t>
      </w:r>
    </w:p>
    <w:p w:rsidR="00B71A20" w:rsidRPr="000625F6" w:rsidRDefault="0093676E">
      <w:pPr>
        <w:pStyle w:val="Teksttreci0"/>
        <w:spacing w:after="0"/>
        <w:rPr>
          <w:lang w:val="pl-PL"/>
        </w:rPr>
      </w:pPr>
      <w:hyperlink r:id="rId1992" w:history="1">
        <w:r w:rsidR="000425B4">
          <w:rPr>
            <w:i/>
            <w:iCs/>
            <w:color w:val="0072BC"/>
            <w:lang w:val="pl"/>
          </w:rPr>
          <w:t xml:space="preserve">Ben Salah Adraqui i Dhaime p. Hiszpanii </w:t>
        </w:r>
      </w:hyperlink>
      <w:r w:rsidR="000425B4">
        <w:rPr>
          <w:lang w:val="pl"/>
        </w:rPr>
        <w:t>(dec.), nr 45023/98, ECHR 2000-IV</w:t>
      </w:r>
    </w:p>
    <w:p w:rsidR="00B71A20" w:rsidRPr="000625F6" w:rsidRDefault="0093676E">
      <w:pPr>
        <w:pStyle w:val="Teksttreci0"/>
        <w:spacing w:after="0"/>
        <w:rPr>
          <w:lang w:val="pl-PL"/>
        </w:rPr>
      </w:pPr>
      <w:hyperlink r:id="rId1993" w:history="1">
        <w:r w:rsidR="000425B4">
          <w:rPr>
            <w:i/>
            <w:iCs/>
            <w:color w:val="0072BC"/>
            <w:lang w:val="pl"/>
          </w:rPr>
          <w:t xml:space="preserve">Benavent Díaz p. Hiszpanii </w:t>
        </w:r>
      </w:hyperlink>
      <w:r w:rsidR="000425B4">
        <w:rPr>
          <w:lang w:val="pl"/>
        </w:rPr>
        <w:t>(dec.), nr 46479/10, 31 stycznia 2017 r.</w:t>
      </w:r>
    </w:p>
    <w:p w:rsidR="00B71A20" w:rsidRPr="000625F6" w:rsidRDefault="0093676E">
      <w:pPr>
        <w:pStyle w:val="Teksttreci0"/>
        <w:spacing w:after="0"/>
        <w:rPr>
          <w:lang w:val="pl-PL"/>
        </w:rPr>
      </w:pPr>
      <w:hyperlink r:id="rId1994" w:history="1">
        <w:r w:rsidR="000425B4">
          <w:rPr>
            <w:i/>
            <w:iCs/>
            <w:color w:val="0072BC"/>
            <w:lang w:val="pl"/>
          </w:rPr>
          <w:t xml:space="preserve">Bencheref p. Szwecji </w:t>
        </w:r>
      </w:hyperlink>
      <w:r w:rsidR="000425B4">
        <w:rPr>
          <w:lang w:val="pl"/>
        </w:rPr>
        <w:t>(dec.), nr 9602/15, 5 grudnia 2017 r.</w:t>
      </w:r>
    </w:p>
    <w:p w:rsidR="00B71A20" w:rsidRPr="000625F6" w:rsidRDefault="0093676E">
      <w:pPr>
        <w:pStyle w:val="Teksttreci0"/>
        <w:spacing w:after="0"/>
        <w:rPr>
          <w:lang w:val="pl-PL"/>
        </w:rPr>
      </w:pPr>
      <w:hyperlink r:id="rId1995" w:history="1">
        <w:r w:rsidR="000425B4">
          <w:rPr>
            <w:i/>
            <w:iCs/>
            <w:color w:val="0072BC"/>
            <w:lang w:val="pl"/>
          </w:rPr>
          <w:t xml:space="preserve">BENet Praha, spol. s r.o., p. Czechom </w:t>
        </w:r>
      </w:hyperlink>
      <w:r w:rsidR="000425B4">
        <w:rPr>
          <w:lang w:val="pl"/>
        </w:rPr>
        <w:t>(dec.), nr 38354/06, 28 września 2010 r.</w:t>
      </w:r>
    </w:p>
    <w:p w:rsidR="00B71A20" w:rsidRPr="000625F6" w:rsidRDefault="0093676E">
      <w:pPr>
        <w:pStyle w:val="Teksttreci0"/>
        <w:spacing w:after="0"/>
        <w:rPr>
          <w:lang w:val="pl-PL"/>
        </w:rPr>
      </w:pPr>
      <w:hyperlink r:id="rId1996" w:history="1">
        <w:r w:rsidR="000425B4">
          <w:rPr>
            <w:i/>
            <w:iCs/>
            <w:color w:val="0072BC"/>
            <w:lang w:val="pl"/>
          </w:rPr>
          <w:t>BENet Praha, spol. s r.o., p. Czechom</w:t>
        </w:r>
        <w:r w:rsidR="000425B4">
          <w:rPr>
            <w:lang w:val="pl"/>
          </w:rPr>
          <w:t>,</w:t>
        </w:r>
      </w:hyperlink>
      <w:r w:rsidR="000425B4">
        <w:rPr>
          <w:lang w:val="pl"/>
        </w:rPr>
        <w:t xml:space="preserve"> nr 33908/04, 24 lutego 2011 r.</w:t>
      </w:r>
    </w:p>
    <w:p w:rsidR="00B71A20" w:rsidRPr="000625F6" w:rsidRDefault="0093676E">
      <w:pPr>
        <w:pStyle w:val="Teksttreci0"/>
        <w:spacing w:after="0"/>
        <w:rPr>
          <w:lang w:val="pl-PL"/>
        </w:rPr>
      </w:pPr>
      <w:hyperlink r:id="rId1997" w:history="1">
        <w:r w:rsidR="000425B4">
          <w:rPr>
            <w:i/>
            <w:iCs/>
            <w:color w:val="0072BC"/>
            <w:lang w:val="pl"/>
          </w:rPr>
          <w:t xml:space="preserve">Berdzenishvili p. Rosji </w:t>
        </w:r>
      </w:hyperlink>
      <w:r w:rsidR="000425B4">
        <w:rPr>
          <w:lang w:val="pl"/>
        </w:rPr>
        <w:t>(dec.), nr 31697/03, ECHR 2004-II</w:t>
      </w:r>
    </w:p>
    <w:p w:rsidR="00B71A20" w:rsidRPr="000625F6" w:rsidRDefault="0093676E">
      <w:pPr>
        <w:pStyle w:val="Teksttreci0"/>
        <w:spacing w:after="0"/>
        <w:rPr>
          <w:lang w:val="pl-PL"/>
        </w:rPr>
      </w:pPr>
      <w:hyperlink r:id="rId1998" w:history="1">
        <w:r w:rsidR="000425B4">
          <w:rPr>
            <w:i/>
            <w:iCs/>
            <w:color w:val="0072BC"/>
            <w:lang w:val="pl"/>
          </w:rPr>
          <w:t xml:space="preserve">Berić i Inni p. Bośni i Hercegowinie </w:t>
        </w:r>
      </w:hyperlink>
      <w:r w:rsidR="000425B4">
        <w:rPr>
          <w:lang w:val="pl"/>
        </w:rPr>
        <w:t>(dec.), nr 36357/04 i 25 innych, 16 października 2007 r.</w:t>
      </w:r>
    </w:p>
    <w:p w:rsidR="00B71A20" w:rsidRPr="000625F6" w:rsidRDefault="0093676E">
      <w:pPr>
        <w:pStyle w:val="Teksttreci0"/>
        <w:spacing w:after="0"/>
        <w:rPr>
          <w:lang w:val="pl-PL"/>
        </w:rPr>
      </w:pPr>
      <w:hyperlink r:id="rId1999" w:history="1">
        <w:r w:rsidR="000425B4">
          <w:rPr>
            <w:i/>
            <w:iCs/>
            <w:color w:val="0072BC"/>
            <w:lang w:val="pl"/>
          </w:rPr>
          <w:t>Berladir i Inni p. Rosji</w:t>
        </w:r>
        <w:r w:rsidR="000425B4">
          <w:rPr>
            <w:lang w:val="pl"/>
          </w:rPr>
          <w:t>,</w:t>
        </w:r>
      </w:hyperlink>
      <w:r w:rsidR="000425B4">
        <w:rPr>
          <w:lang w:val="pl"/>
        </w:rPr>
        <w:t xml:space="preserve"> nr 34202/06, 10 lipca 2012 r.</w:t>
      </w:r>
    </w:p>
    <w:p w:rsidR="00B71A20" w:rsidRPr="000625F6" w:rsidRDefault="0093676E">
      <w:pPr>
        <w:pStyle w:val="Teksttreci0"/>
        <w:spacing w:after="0"/>
        <w:rPr>
          <w:lang w:val="pl-PL"/>
        </w:rPr>
      </w:pPr>
      <w:hyperlink r:id="rId2000" w:history="1">
        <w:r w:rsidR="000425B4">
          <w:rPr>
            <w:i/>
            <w:iCs/>
            <w:color w:val="0072BC"/>
            <w:lang w:val="pl"/>
          </w:rPr>
          <w:t>Bernardet p. Francji</w:t>
        </w:r>
        <w:r w:rsidR="000425B4">
          <w:rPr>
            <w:lang w:val="pl"/>
          </w:rPr>
          <w:t>,</w:t>
        </w:r>
      </w:hyperlink>
      <w:r w:rsidR="000425B4">
        <w:rPr>
          <w:lang w:val="pl"/>
        </w:rPr>
        <w:t xml:space="preserve"> nr 31406/96, decyzja Komisji z dnia 27 listopada 1996 r.</w:t>
      </w:r>
    </w:p>
    <w:p w:rsidR="00B71A20" w:rsidRPr="000625F6" w:rsidRDefault="0093676E">
      <w:pPr>
        <w:pStyle w:val="Teksttreci0"/>
        <w:spacing w:after="0"/>
        <w:rPr>
          <w:lang w:val="pl-PL"/>
        </w:rPr>
      </w:pPr>
      <w:hyperlink r:id="rId2001" w:history="1">
        <w:r w:rsidR="000425B4">
          <w:rPr>
            <w:i/>
            <w:iCs/>
            <w:color w:val="0072BC"/>
            <w:lang w:val="pl"/>
          </w:rPr>
          <w:t>Bestry p. Polsce</w:t>
        </w:r>
        <w:r w:rsidR="000425B4">
          <w:rPr>
            <w:lang w:val="pl"/>
          </w:rPr>
          <w:t>,</w:t>
        </w:r>
      </w:hyperlink>
      <w:r w:rsidR="000425B4">
        <w:rPr>
          <w:lang w:val="pl"/>
        </w:rPr>
        <w:t xml:space="preserve"> nr 57675/10, 3 listopada 2015 r.</w:t>
      </w:r>
    </w:p>
    <w:p w:rsidR="00B71A20" w:rsidRPr="000625F6" w:rsidRDefault="0093676E">
      <w:pPr>
        <w:pStyle w:val="Teksttreci0"/>
        <w:spacing w:after="0"/>
        <w:rPr>
          <w:lang w:val="pl-PL"/>
        </w:rPr>
      </w:pPr>
      <w:hyperlink r:id="rId2002" w:history="1">
        <w:r w:rsidR="000425B4">
          <w:rPr>
            <w:i/>
            <w:iCs/>
            <w:color w:val="0072BC"/>
            <w:lang w:val="pl"/>
          </w:rPr>
          <w:t xml:space="preserve">Beygo p. 46 państwom członkowskim Rady Europy </w:t>
        </w:r>
      </w:hyperlink>
      <w:r w:rsidR="000425B4">
        <w:rPr>
          <w:lang w:val="pl"/>
        </w:rPr>
        <w:t>(dec.), nr 36099/06, 16 czerwca 2009 r.</w:t>
      </w:r>
    </w:p>
    <w:p w:rsidR="00B71A20" w:rsidRPr="000625F6" w:rsidRDefault="0093676E">
      <w:pPr>
        <w:pStyle w:val="Teksttreci0"/>
        <w:spacing w:after="0" w:line="230" w:lineRule="auto"/>
        <w:rPr>
          <w:lang w:val="pl-PL"/>
        </w:rPr>
      </w:pPr>
      <w:hyperlink r:id="rId2003" w:history="1">
        <w:r w:rsidR="000425B4">
          <w:rPr>
            <w:i/>
            <w:iCs/>
            <w:color w:val="0072BC"/>
            <w:lang w:val="pl"/>
          </w:rPr>
          <w:t xml:space="preserve">Biç i Inni p. Turcji </w:t>
        </w:r>
      </w:hyperlink>
      <w:r w:rsidR="000425B4">
        <w:rPr>
          <w:lang w:val="pl"/>
        </w:rPr>
        <w:t>(dec.), nr 55955/00, 2 lutego 2006 r.</w:t>
      </w:r>
    </w:p>
    <w:p w:rsidR="00B71A20" w:rsidRPr="000625F6" w:rsidRDefault="0093676E">
      <w:pPr>
        <w:pStyle w:val="Teksttreci0"/>
        <w:spacing w:after="0"/>
        <w:rPr>
          <w:lang w:val="pl-PL"/>
        </w:rPr>
      </w:pPr>
      <w:hyperlink r:id="rId2004" w:history="1">
        <w:r w:rsidR="000425B4">
          <w:rPr>
            <w:i/>
            <w:iCs/>
            <w:color w:val="0072BC"/>
            <w:lang w:val="pl"/>
          </w:rPr>
          <w:t>Bijelić p. Czarnogórze i Serbii</w:t>
        </w:r>
        <w:r w:rsidR="000425B4">
          <w:rPr>
            <w:lang w:val="pl"/>
          </w:rPr>
          <w:t>,</w:t>
        </w:r>
      </w:hyperlink>
      <w:r w:rsidR="000425B4">
        <w:rPr>
          <w:lang w:val="pl"/>
        </w:rPr>
        <w:t xml:space="preserve"> nr 11890/05, 28 kwietnia 2009 r.</w:t>
      </w:r>
    </w:p>
    <w:p w:rsidR="00B71A20" w:rsidRPr="000625F6" w:rsidRDefault="0093676E">
      <w:pPr>
        <w:pStyle w:val="Teksttreci0"/>
        <w:spacing w:after="0"/>
        <w:rPr>
          <w:lang w:val="pl-PL"/>
        </w:rPr>
      </w:pPr>
      <w:hyperlink r:id="rId2005" w:history="1">
        <w:r w:rsidR="000425B4">
          <w:rPr>
            <w:i/>
            <w:iCs/>
            <w:color w:val="0072BC"/>
            <w:lang w:val="pl"/>
          </w:rPr>
          <w:t>Biržietis p. Litwie</w:t>
        </w:r>
        <w:r w:rsidR="000425B4">
          <w:rPr>
            <w:lang w:val="pl"/>
          </w:rPr>
          <w:t>,</w:t>
        </w:r>
      </w:hyperlink>
      <w:r w:rsidR="000425B4">
        <w:rPr>
          <w:lang w:val="pl"/>
        </w:rPr>
        <w:t xml:space="preserve"> nr 49304/09, 14 czerwca 2016 r.</w:t>
      </w:r>
    </w:p>
    <w:p w:rsidR="00B71A20" w:rsidRPr="000625F6" w:rsidRDefault="0093676E">
      <w:pPr>
        <w:pStyle w:val="Teksttreci0"/>
        <w:spacing w:after="0"/>
        <w:rPr>
          <w:lang w:val="pl-PL"/>
        </w:rPr>
      </w:pPr>
      <w:hyperlink r:id="rId2006" w:history="1">
        <w:r w:rsidR="000425B4">
          <w:rPr>
            <w:i/>
            <w:iCs/>
            <w:color w:val="0072BC"/>
            <w:lang w:val="pl"/>
          </w:rPr>
          <w:t>Bivolaru p. Rumunii (nr 2)</w:t>
        </w:r>
        <w:r w:rsidR="000425B4">
          <w:rPr>
            <w:lang w:val="pl"/>
          </w:rPr>
          <w:t>,</w:t>
        </w:r>
      </w:hyperlink>
      <w:r w:rsidR="000425B4">
        <w:rPr>
          <w:lang w:val="pl"/>
        </w:rPr>
        <w:t xml:space="preserve"> nr 66580/12, 2 października 2018 r.</w:t>
      </w:r>
    </w:p>
    <w:p w:rsidR="00B71A20" w:rsidRPr="000625F6" w:rsidRDefault="0093676E">
      <w:pPr>
        <w:pStyle w:val="Teksttreci0"/>
        <w:spacing w:after="0"/>
        <w:rPr>
          <w:lang w:val="pl-PL"/>
        </w:rPr>
      </w:pPr>
      <w:hyperlink r:id="rId2007" w:history="1">
        <w:r w:rsidR="000425B4">
          <w:rPr>
            <w:i/>
            <w:iCs/>
            <w:color w:val="0072BC"/>
            <w:lang w:val="pl"/>
          </w:rPr>
          <w:t>Bivolaru p. Rumunii</w:t>
        </w:r>
        <w:r w:rsidR="000425B4">
          <w:rPr>
            <w:lang w:val="pl"/>
          </w:rPr>
          <w:t>,</w:t>
        </w:r>
      </w:hyperlink>
      <w:r w:rsidR="000425B4">
        <w:rPr>
          <w:lang w:val="pl"/>
        </w:rPr>
        <w:t xml:space="preserve"> nr 28796/04, 28 lutego 2017 r.</w:t>
      </w:r>
    </w:p>
    <w:p w:rsidR="00B71A20" w:rsidRPr="000625F6" w:rsidRDefault="0093676E">
      <w:pPr>
        <w:pStyle w:val="Teksttreci0"/>
        <w:spacing w:after="0"/>
        <w:rPr>
          <w:lang w:val="pl-PL"/>
        </w:rPr>
      </w:pPr>
      <w:hyperlink r:id="rId2008" w:history="1">
        <w:r w:rsidR="000425B4">
          <w:rPr>
            <w:i/>
            <w:iCs/>
            <w:color w:val="0072BC"/>
            <w:lang w:val="pl"/>
          </w:rPr>
          <w:t xml:space="preserve">Blagojević p. Holandii </w:t>
        </w:r>
      </w:hyperlink>
      <w:r w:rsidR="000425B4">
        <w:rPr>
          <w:lang w:val="pl"/>
        </w:rPr>
        <w:t>(dec.), nr 49032/07, 9 czerwca 2009 r.</w:t>
      </w:r>
    </w:p>
    <w:p w:rsidR="00B71A20" w:rsidRPr="000625F6" w:rsidRDefault="0093676E">
      <w:pPr>
        <w:pStyle w:val="Teksttreci0"/>
        <w:spacing w:after="0"/>
        <w:rPr>
          <w:lang w:val="pl-PL"/>
        </w:rPr>
      </w:pPr>
      <w:hyperlink r:id="rId2009" w:history="1">
        <w:r w:rsidR="000425B4">
          <w:rPr>
            <w:i/>
            <w:iCs/>
            <w:color w:val="0072BC"/>
            <w:lang w:val="pl"/>
          </w:rPr>
          <w:t xml:space="preserve">Blečić p. Chorwacji </w:t>
        </w:r>
      </w:hyperlink>
      <w:r w:rsidR="000425B4">
        <w:rPr>
          <w:lang w:val="pl"/>
        </w:rPr>
        <w:t>[WI], nr 59532/00, ECHR 2006-III</w:t>
      </w:r>
    </w:p>
    <w:p w:rsidR="00B71A20" w:rsidRPr="000625F6" w:rsidRDefault="0093676E">
      <w:pPr>
        <w:pStyle w:val="Teksttreci0"/>
        <w:spacing w:after="0"/>
        <w:rPr>
          <w:lang w:val="pl-PL"/>
        </w:rPr>
      </w:pPr>
      <w:hyperlink r:id="rId2010" w:history="1">
        <w:r w:rsidR="000425B4">
          <w:rPr>
            <w:i/>
            <w:iCs/>
            <w:color w:val="0072BC"/>
            <w:lang w:val="pl"/>
          </w:rPr>
          <w:t xml:space="preserve">Blokhin p. Rosji </w:t>
        </w:r>
      </w:hyperlink>
      <w:r w:rsidR="000425B4">
        <w:rPr>
          <w:lang w:val="pl"/>
        </w:rPr>
        <w:t>[WI], nr 47152/06, 23 marca 2016 r.</w:t>
      </w:r>
    </w:p>
    <w:p w:rsidR="00B71A20" w:rsidRPr="000625F6" w:rsidRDefault="0093676E">
      <w:pPr>
        <w:pStyle w:val="Teksttreci0"/>
        <w:spacing w:after="0"/>
        <w:rPr>
          <w:lang w:val="pl-PL"/>
        </w:rPr>
      </w:pPr>
      <w:hyperlink r:id="rId2011" w:history="1">
        <w:r w:rsidR="000425B4">
          <w:rPr>
            <w:i/>
            <w:iCs/>
            <w:color w:val="0072BC"/>
            <w:lang w:val="pl"/>
          </w:rPr>
          <w:t xml:space="preserve">„Blondje” p. Holandii </w:t>
        </w:r>
      </w:hyperlink>
      <w:r w:rsidR="000425B4">
        <w:rPr>
          <w:lang w:val="pl"/>
        </w:rPr>
        <w:t>(dec.), nr 7245/09, ECHR 2009</w:t>
      </w:r>
    </w:p>
    <w:p w:rsidR="00B71A20" w:rsidRPr="000625F6" w:rsidRDefault="0093676E">
      <w:pPr>
        <w:pStyle w:val="Teksttreci0"/>
        <w:spacing w:after="0"/>
        <w:rPr>
          <w:lang w:val="pl-PL"/>
        </w:rPr>
      </w:pPr>
      <w:hyperlink r:id="rId2012" w:history="1">
        <w:r w:rsidR="000425B4">
          <w:rPr>
            <w:i/>
            <w:iCs/>
            <w:color w:val="0072BC"/>
            <w:lang w:val="pl"/>
          </w:rPr>
          <w:t>Blyudik p. Rosji</w:t>
        </w:r>
        <w:r w:rsidR="000425B4">
          <w:rPr>
            <w:lang w:val="pl"/>
          </w:rPr>
          <w:t>,</w:t>
        </w:r>
      </w:hyperlink>
      <w:r w:rsidR="000425B4">
        <w:rPr>
          <w:lang w:val="pl"/>
        </w:rPr>
        <w:t xml:space="preserve"> nr 46401/08, 25 czerwca 2019 r.</w:t>
      </w:r>
    </w:p>
    <w:p w:rsidR="00B71A20" w:rsidRPr="000625F6" w:rsidRDefault="0093676E">
      <w:pPr>
        <w:pStyle w:val="Teksttreci0"/>
        <w:spacing w:after="0"/>
        <w:rPr>
          <w:lang w:val="pl-PL"/>
        </w:rPr>
      </w:pPr>
      <w:hyperlink r:id="rId2013" w:history="1">
        <w:r w:rsidR="000425B4">
          <w:rPr>
            <w:i/>
            <w:iCs/>
            <w:color w:val="0072BC"/>
            <w:lang w:val="pl"/>
          </w:rPr>
          <w:t>Boacă i Inni p. Rumunii</w:t>
        </w:r>
        <w:r w:rsidR="000425B4">
          <w:rPr>
            <w:lang w:val="pl"/>
          </w:rPr>
          <w:t>,</w:t>
        </w:r>
      </w:hyperlink>
      <w:r w:rsidR="000425B4">
        <w:rPr>
          <w:lang w:val="pl"/>
        </w:rPr>
        <w:t xml:space="preserve"> nr 40355/11, 12 stycznia 2016 r.</w:t>
      </w:r>
    </w:p>
    <w:p w:rsidR="00B71A20" w:rsidRPr="000625F6" w:rsidRDefault="0093676E">
      <w:pPr>
        <w:pStyle w:val="Teksttreci0"/>
        <w:spacing w:after="0"/>
        <w:rPr>
          <w:lang w:val="pl-PL"/>
        </w:rPr>
      </w:pPr>
      <w:hyperlink r:id="rId2014" w:history="1">
        <w:r w:rsidR="000425B4">
          <w:rPr>
            <w:i/>
            <w:iCs/>
            <w:color w:val="0072BC"/>
            <w:lang w:val="pl"/>
          </w:rPr>
          <w:t xml:space="preserve">Bochan p. Ukrainie (nr 2) </w:t>
        </w:r>
      </w:hyperlink>
      <w:r w:rsidR="000425B4">
        <w:rPr>
          <w:lang w:val="pl"/>
        </w:rPr>
        <w:t>[WI], nr 22251/08, ECHR 2015</w:t>
      </w:r>
    </w:p>
    <w:p w:rsidR="00B71A20" w:rsidRPr="000625F6" w:rsidRDefault="0093676E">
      <w:pPr>
        <w:pStyle w:val="Teksttreci0"/>
        <w:spacing w:after="0"/>
        <w:rPr>
          <w:lang w:val="pl-PL"/>
        </w:rPr>
      </w:pPr>
      <w:hyperlink r:id="rId2015" w:history="1">
        <w:r w:rsidR="000425B4">
          <w:rPr>
            <w:i/>
            <w:iCs/>
            <w:color w:val="0072BC"/>
            <w:lang w:val="pl"/>
          </w:rPr>
          <w:t xml:space="preserve">Bock p. Niemcom </w:t>
        </w:r>
      </w:hyperlink>
      <w:r w:rsidR="000425B4">
        <w:rPr>
          <w:lang w:val="pl"/>
        </w:rPr>
        <w:t>(dec.), nr 22051/07, 19 stycznia 2010 r.</w:t>
      </w:r>
    </w:p>
    <w:p w:rsidR="00B71A20" w:rsidRPr="000625F6" w:rsidRDefault="0093676E">
      <w:pPr>
        <w:pStyle w:val="Teksttreci0"/>
        <w:spacing w:after="0"/>
        <w:rPr>
          <w:lang w:val="pl-PL"/>
        </w:rPr>
      </w:pPr>
      <w:hyperlink r:id="rId2016" w:history="1">
        <w:r w:rsidR="000425B4">
          <w:rPr>
            <w:i/>
            <w:iCs/>
            <w:color w:val="0072BC"/>
            <w:lang w:val="pl"/>
          </w:rPr>
          <w:t xml:space="preserve">Boelens i Inni. p. Belgii </w:t>
        </w:r>
      </w:hyperlink>
      <w:r w:rsidR="000425B4">
        <w:rPr>
          <w:lang w:val="pl"/>
        </w:rPr>
        <w:t>(dec.), nr 20007/09, 11 września 2012 r.</w:t>
      </w:r>
    </w:p>
    <w:p w:rsidR="00B71A20" w:rsidRPr="000625F6" w:rsidRDefault="0093676E">
      <w:pPr>
        <w:pStyle w:val="Teksttreci0"/>
        <w:spacing w:after="0"/>
        <w:rPr>
          <w:lang w:val="pl-PL"/>
        </w:rPr>
      </w:pPr>
      <w:hyperlink r:id="rId2017" w:history="1">
        <w:r w:rsidR="000425B4">
          <w:rPr>
            <w:i/>
            <w:iCs/>
            <w:color w:val="0072BC"/>
            <w:lang w:val="pl"/>
          </w:rPr>
          <w:t>Boicenco p. Mołdawii</w:t>
        </w:r>
        <w:r w:rsidR="000425B4">
          <w:rPr>
            <w:lang w:val="pl"/>
          </w:rPr>
          <w:t>,</w:t>
        </w:r>
      </w:hyperlink>
      <w:r w:rsidR="000425B4">
        <w:rPr>
          <w:lang w:val="pl"/>
        </w:rPr>
        <w:t xml:space="preserve"> nr 41088/05, 11 lipca 2006 r.</w:t>
      </w:r>
    </w:p>
    <w:p w:rsidR="00B71A20" w:rsidRPr="000625F6" w:rsidRDefault="0093676E">
      <w:pPr>
        <w:pStyle w:val="Teksttreci0"/>
        <w:spacing w:after="0"/>
        <w:rPr>
          <w:lang w:val="pl-PL"/>
        </w:rPr>
      </w:pPr>
      <w:hyperlink r:id="rId2018" w:history="1">
        <w:r w:rsidR="000425B4">
          <w:rPr>
            <w:i/>
            <w:iCs/>
            <w:color w:val="0072BC"/>
            <w:lang w:val="pl"/>
          </w:rPr>
          <w:t xml:space="preserve">Boivin p. 34 państwom członkowskim Rady Europy </w:t>
        </w:r>
      </w:hyperlink>
      <w:r w:rsidR="000425B4">
        <w:rPr>
          <w:lang w:val="pl"/>
        </w:rPr>
        <w:t>(dec.), nr 73250/01, ECHR 2008</w:t>
      </w:r>
    </w:p>
    <w:p w:rsidR="00B71A20" w:rsidRPr="000625F6" w:rsidRDefault="0093676E">
      <w:pPr>
        <w:pStyle w:val="Teksttreci0"/>
        <w:spacing w:after="0"/>
        <w:rPr>
          <w:lang w:val="pl-PL"/>
        </w:rPr>
      </w:pPr>
      <w:hyperlink r:id="rId2019" w:history="1">
        <w:r w:rsidR="000425B4">
          <w:rPr>
            <w:i/>
            <w:iCs/>
            <w:color w:val="0072BC"/>
            <w:lang w:val="pl"/>
          </w:rPr>
          <w:t xml:space="preserve">Borg i Vella p. Malcie </w:t>
        </w:r>
      </w:hyperlink>
      <w:r w:rsidR="000425B4">
        <w:rPr>
          <w:lang w:val="pl"/>
        </w:rPr>
        <w:t>(dec.), nr 14501/12, 3 lutego 2015 r.</w:t>
      </w:r>
    </w:p>
    <w:p w:rsidR="00B71A20" w:rsidRDefault="0093676E">
      <w:pPr>
        <w:pStyle w:val="Teksttreci0"/>
        <w:spacing w:after="0"/>
      </w:pPr>
      <w:hyperlink r:id="rId2020" w:history="1">
        <w:r w:rsidR="000425B4" w:rsidRPr="000625F6">
          <w:rPr>
            <w:i/>
            <w:iCs/>
            <w:color w:val="0072BC"/>
            <w:lang w:val="en-GB"/>
          </w:rPr>
          <w:t xml:space="preserve">Bosphorus Hava Yolları Turizm ve Ticaret Anonim Şirketi p. Irlandii </w:t>
        </w:r>
      </w:hyperlink>
      <w:r w:rsidR="000425B4" w:rsidRPr="000625F6">
        <w:rPr>
          <w:lang w:val="en-GB"/>
        </w:rPr>
        <w:t>[WI], nr 45036/98, ECHR 2005-VI</w:t>
      </w:r>
    </w:p>
    <w:p w:rsidR="00B71A20" w:rsidRPr="000625F6" w:rsidRDefault="0093676E">
      <w:pPr>
        <w:pStyle w:val="Teksttreci0"/>
        <w:spacing w:after="0"/>
        <w:rPr>
          <w:lang w:val="pl-PL"/>
        </w:rPr>
      </w:pPr>
      <w:hyperlink r:id="rId2021" w:history="1">
        <w:r w:rsidR="000425B4">
          <w:rPr>
            <w:i/>
            <w:iCs/>
            <w:color w:val="0072BC"/>
            <w:lang w:val="pl"/>
          </w:rPr>
          <w:t xml:space="preserve">Bottaro p. Włochom </w:t>
        </w:r>
      </w:hyperlink>
      <w:r w:rsidR="000425B4">
        <w:rPr>
          <w:lang w:val="pl"/>
        </w:rPr>
        <w:t>(dec.), nr 56298/00, 23 maja 2002 r.</w:t>
      </w:r>
    </w:p>
    <w:p w:rsidR="00B71A20" w:rsidRDefault="0093676E">
      <w:pPr>
        <w:pStyle w:val="Teksttreci0"/>
        <w:spacing w:after="0"/>
      </w:pPr>
      <w:hyperlink r:id="rId2022" w:history="1">
        <w:r w:rsidR="000425B4" w:rsidRPr="000625F6">
          <w:rPr>
            <w:i/>
            <w:iCs/>
            <w:color w:val="0072BC"/>
            <w:lang w:val="en-GB"/>
          </w:rPr>
          <w:t xml:space="preserve">Bouglame p. Belgii </w:t>
        </w:r>
      </w:hyperlink>
      <w:r w:rsidR="000425B4" w:rsidRPr="000625F6">
        <w:rPr>
          <w:lang w:val="en-GB"/>
        </w:rPr>
        <w:t>(dec.), nr 16147/08, 2 marca 2010 r.</w:t>
      </w:r>
    </w:p>
    <w:p w:rsidR="00B71A20" w:rsidRPr="000625F6" w:rsidRDefault="0093676E">
      <w:pPr>
        <w:pStyle w:val="Teksttreci0"/>
        <w:spacing w:after="0"/>
        <w:rPr>
          <w:lang w:val="pl-PL"/>
        </w:rPr>
      </w:pPr>
      <w:hyperlink r:id="rId2023" w:history="1">
        <w:r w:rsidR="000425B4">
          <w:rPr>
            <w:i/>
            <w:iCs/>
            <w:color w:val="0072BC"/>
            <w:lang w:val="pl"/>
          </w:rPr>
          <w:t xml:space="preserve">Bouhamla p. Francji </w:t>
        </w:r>
      </w:hyperlink>
      <w:r w:rsidR="000425B4">
        <w:rPr>
          <w:lang w:val="pl"/>
        </w:rPr>
        <w:t>(dec.), nr 31798/16, 25 czerwca 2019 r.</w:t>
      </w:r>
    </w:p>
    <w:p w:rsidR="00B71A20" w:rsidRPr="000625F6" w:rsidRDefault="0093676E">
      <w:pPr>
        <w:pStyle w:val="Teksttreci0"/>
        <w:spacing w:after="0"/>
        <w:rPr>
          <w:lang w:val="pl-PL"/>
        </w:rPr>
      </w:pPr>
      <w:hyperlink r:id="rId2024" w:history="1">
        <w:r w:rsidR="000425B4">
          <w:rPr>
            <w:i/>
            <w:iCs/>
            <w:color w:val="0072BC"/>
            <w:lang w:val="pl"/>
          </w:rPr>
          <w:t xml:space="preserve">Božinovski p. Byłej Jugosłowiańskiej Republice Macedonii </w:t>
        </w:r>
      </w:hyperlink>
      <w:r w:rsidR="000425B4">
        <w:rPr>
          <w:lang w:val="pl"/>
        </w:rPr>
        <w:t>(dec.), nr 68368/01, 1 lutego 2005 r.</w:t>
      </w:r>
    </w:p>
    <w:p w:rsidR="00B71A20" w:rsidRPr="000625F6" w:rsidRDefault="0093676E">
      <w:pPr>
        <w:pStyle w:val="Teksttreci0"/>
        <w:spacing w:after="0"/>
        <w:rPr>
          <w:lang w:val="pl-PL"/>
        </w:rPr>
      </w:pPr>
      <w:hyperlink r:id="rId2025" w:history="1">
        <w:r w:rsidR="000425B4">
          <w:rPr>
            <w:i/>
            <w:iCs/>
            <w:color w:val="0072BC"/>
            <w:lang w:val="pl"/>
          </w:rPr>
          <w:t xml:space="preserve">Bratři Zátkové, A.S., p. Czechom </w:t>
        </w:r>
      </w:hyperlink>
      <w:r w:rsidR="000425B4">
        <w:rPr>
          <w:lang w:val="pl"/>
        </w:rPr>
        <w:t>(dec.), nr 20862/06, 8 lutego 2011 r.</w:t>
      </w:r>
    </w:p>
    <w:p w:rsidR="00B71A20" w:rsidRPr="000625F6" w:rsidRDefault="0093676E">
      <w:pPr>
        <w:pStyle w:val="Teksttreci0"/>
        <w:spacing w:after="0"/>
        <w:rPr>
          <w:lang w:val="pl-PL"/>
        </w:rPr>
      </w:pPr>
      <w:hyperlink r:id="rId2026" w:history="1">
        <w:r w:rsidR="000425B4">
          <w:rPr>
            <w:i/>
            <w:iCs/>
            <w:color w:val="0072BC"/>
            <w:lang w:val="pl"/>
          </w:rPr>
          <w:t>Brazzi p. Włochom</w:t>
        </w:r>
        <w:r w:rsidR="000425B4">
          <w:rPr>
            <w:lang w:val="pl"/>
          </w:rPr>
          <w:t>,</w:t>
        </w:r>
      </w:hyperlink>
      <w:r w:rsidR="000425B4">
        <w:rPr>
          <w:lang w:val="pl"/>
        </w:rPr>
        <w:t xml:space="preserve"> nr 57278/11, 27 września 2018 r.</w:t>
      </w:r>
    </w:p>
    <w:p w:rsidR="00B71A20" w:rsidRPr="000625F6" w:rsidRDefault="0093676E">
      <w:pPr>
        <w:pStyle w:val="Teksttreci0"/>
        <w:spacing w:after="0"/>
        <w:rPr>
          <w:lang w:val="pl-PL"/>
        </w:rPr>
      </w:pPr>
      <w:hyperlink r:id="rId2027" w:history="1">
        <w:r w:rsidR="000425B4">
          <w:rPr>
            <w:i/>
            <w:iCs/>
            <w:color w:val="0072BC"/>
            <w:lang w:val="pl"/>
          </w:rPr>
          <w:t>Brežec p. Chorwacji</w:t>
        </w:r>
        <w:r w:rsidR="000425B4">
          <w:rPr>
            <w:lang w:val="pl"/>
          </w:rPr>
          <w:t>,</w:t>
        </w:r>
      </w:hyperlink>
      <w:r w:rsidR="000425B4">
        <w:rPr>
          <w:lang w:val="pl"/>
        </w:rPr>
        <w:t xml:space="preserve"> nr 7177/10, 18 lipca 2013 r.</w:t>
      </w:r>
    </w:p>
    <w:p w:rsidR="00B71A20" w:rsidRPr="000625F6" w:rsidRDefault="0093676E">
      <w:pPr>
        <w:pStyle w:val="Teksttreci0"/>
        <w:spacing w:after="0"/>
        <w:rPr>
          <w:lang w:val="pl-PL"/>
        </w:rPr>
      </w:pPr>
      <w:hyperlink r:id="rId2028" w:history="1">
        <w:r w:rsidR="000425B4">
          <w:rPr>
            <w:i/>
            <w:iCs/>
            <w:color w:val="0072BC"/>
            <w:lang w:val="pl"/>
          </w:rPr>
          <w:t>Brincat i Inni p. Malcie</w:t>
        </w:r>
        <w:r w:rsidR="000425B4">
          <w:rPr>
            <w:lang w:val="pl"/>
          </w:rPr>
          <w:t>,</w:t>
        </w:r>
      </w:hyperlink>
      <w:r w:rsidR="000425B4">
        <w:rPr>
          <w:lang w:val="pl"/>
        </w:rPr>
        <w:t xml:space="preserve"> nr 60908/11 i 4 inne, 24 lipca 2014 r.</w:t>
      </w:r>
    </w:p>
    <w:p w:rsidR="00B71A20" w:rsidRPr="000625F6" w:rsidRDefault="0093676E">
      <w:pPr>
        <w:pStyle w:val="Teksttreci0"/>
        <w:spacing w:after="0"/>
        <w:rPr>
          <w:lang w:val="pl-PL"/>
        </w:rPr>
      </w:pPr>
      <w:hyperlink r:id="rId2029" w:history="1">
        <w:r w:rsidR="000425B4">
          <w:rPr>
            <w:i/>
            <w:iCs/>
            <w:color w:val="0072BC"/>
            <w:lang w:val="pl"/>
          </w:rPr>
          <w:t>Broca i Texier-Micault p. Francji</w:t>
        </w:r>
        <w:r w:rsidR="000425B4">
          <w:rPr>
            <w:lang w:val="pl"/>
          </w:rPr>
          <w:t>,</w:t>
        </w:r>
      </w:hyperlink>
      <w:r w:rsidR="000425B4">
        <w:rPr>
          <w:lang w:val="pl"/>
        </w:rPr>
        <w:t xml:space="preserve"> nr 27928/02 i 31694/02, 21 października 2003 r.</w:t>
      </w:r>
    </w:p>
    <w:p w:rsidR="00B71A20" w:rsidRPr="000625F6" w:rsidRDefault="0093676E">
      <w:pPr>
        <w:pStyle w:val="Teksttreci0"/>
        <w:spacing w:after="0"/>
        <w:rPr>
          <w:lang w:val="pl-PL"/>
        </w:rPr>
      </w:pPr>
      <w:hyperlink r:id="rId2030" w:history="1">
        <w:r w:rsidR="000425B4">
          <w:rPr>
            <w:i/>
            <w:iCs/>
            <w:color w:val="0072BC"/>
            <w:lang w:val="pl"/>
          </w:rPr>
          <w:t xml:space="preserve">Broniowski p. Polsce </w:t>
        </w:r>
      </w:hyperlink>
      <w:r w:rsidR="000425B4">
        <w:rPr>
          <w:lang w:val="pl"/>
        </w:rPr>
        <w:t>(dec.) [WI], nr 31443/96, ECHR 2002-X</w:t>
      </w:r>
    </w:p>
    <w:p w:rsidR="00B71A20" w:rsidRPr="000625F6" w:rsidRDefault="0093676E">
      <w:pPr>
        <w:pStyle w:val="Teksttreci0"/>
        <w:spacing w:after="0"/>
        <w:rPr>
          <w:lang w:val="pl-PL"/>
        </w:rPr>
      </w:pPr>
      <w:hyperlink r:id="rId2031" w:history="1">
        <w:r w:rsidR="000425B4">
          <w:rPr>
            <w:i/>
            <w:iCs/>
            <w:color w:val="0072BC"/>
            <w:lang w:val="pl"/>
          </w:rPr>
          <w:t>Brudnicka i Inni p. Polsce</w:t>
        </w:r>
        <w:r w:rsidR="000425B4">
          <w:rPr>
            <w:lang w:val="pl"/>
          </w:rPr>
          <w:t xml:space="preserve">, </w:t>
        </w:r>
      </w:hyperlink>
      <w:r w:rsidR="000425B4">
        <w:rPr>
          <w:lang w:val="pl"/>
        </w:rPr>
        <w:t>nr 54723/00, ECHR 2005-II</w:t>
      </w:r>
    </w:p>
    <w:p w:rsidR="00B71A20" w:rsidRPr="000625F6" w:rsidRDefault="0093676E">
      <w:pPr>
        <w:pStyle w:val="Teksttreci0"/>
        <w:spacing w:after="0"/>
        <w:rPr>
          <w:lang w:val="pl-PL"/>
        </w:rPr>
      </w:pPr>
      <w:hyperlink r:id="rId2032" w:history="1">
        <w:r w:rsidR="000425B4">
          <w:rPr>
            <w:i/>
            <w:iCs/>
            <w:color w:val="0072BC"/>
            <w:lang w:val="pl"/>
          </w:rPr>
          <w:t xml:space="preserve">Brumărescu p. Rumunii </w:t>
        </w:r>
      </w:hyperlink>
      <w:r w:rsidR="000425B4">
        <w:rPr>
          <w:lang w:val="pl"/>
        </w:rPr>
        <w:t>[WI], nr 28342/95, ECHR 1999-VII</w:t>
      </w:r>
    </w:p>
    <w:p w:rsidR="00B71A20" w:rsidRPr="000625F6" w:rsidRDefault="0093676E">
      <w:pPr>
        <w:pStyle w:val="Teksttreci0"/>
        <w:spacing w:after="0"/>
        <w:rPr>
          <w:lang w:val="pl-PL"/>
        </w:rPr>
      </w:pPr>
      <w:hyperlink r:id="rId2033" w:history="1">
        <w:r w:rsidR="000425B4">
          <w:rPr>
            <w:i/>
            <w:iCs/>
            <w:color w:val="0072BC"/>
            <w:lang w:val="pl"/>
          </w:rPr>
          <w:t xml:space="preserve">Brusco p. Włochom </w:t>
        </w:r>
      </w:hyperlink>
      <w:r w:rsidR="000425B4">
        <w:rPr>
          <w:lang w:val="pl"/>
        </w:rPr>
        <w:t>(dec.), nr 69789/01, ECHR 2001-IX</w:t>
      </w:r>
    </w:p>
    <w:p w:rsidR="00B71A20" w:rsidRPr="000625F6" w:rsidRDefault="0093676E">
      <w:pPr>
        <w:pStyle w:val="Teksttreci0"/>
        <w:spacing w:after="0"/>
        <w:ind w:left="580" w:hanging="580"/>
        <w:rPr>
          <w:lang w:val="pl-PL"/>
        </w:rPr>
      </w:pPr>
      <w:hyperlink r:id="rId2034" w:history="1">
        <w:r w:rsidR="000425B4">
          <w:rPr>
            <w:i/>
            <w:iCs/>
            <w:color w:val="0072BC"/>
            <w:lang w:val="pl"/>
          </w:rPr>
          <w:t>Bui Van Thanh i Inni p. Wielkiej Brytanii</w:t>
        </w:r>
        <w:r w:rsidR="000425B4">
          <w:rPr>
            <w:lang w:val="pl"/>
          </w:rPr>
          <w:t>,</w:t>
        </w:r>
      </w:hyperlink>
      <w:r w:rsidR="000425B4">
        <w:rPr>
          <w:lang w:val="pl"/>
        </w:rPr>
        <w:t xml:space="preserve"> nr 16137/90, Decyzja Komisji z dnia 12 marca 1990 r., DR 65</w:t>
      </w:r>
    </w:p>
    <w:p w:rsidR="00B71A20" w:rsidRPr="000625F6" w:rsidRDefault="0093676E">
      <w:pPr>
        <w:pStyle w:val="Teksttreci0"/>
        <w:spacing w:after="0"/>
        <w:rPr>
          <w:lang w:val="pl-PL"/>
        </w:rPr>
      </w:pPr>
      <w:hyperlink r:id="rId2035" w:history="1">
        <w:r w:rsidR="000425B4">
          <w:rPr>
            <w:i/>
            <w:iCs/>
            <w:color w:val="0072BC"/>
            <w:lang w:val="pl"/>
          </w:rPr>
          <w:t>Buldakov p. Rosji</w:t>
        </w:r>
        <w:r w:rsidR="000425B4">
          <w:rPr>
            <w:lang w:val="pl"/>
          </w:rPr>
          <w:t>,</w:t>
        </w:r>
      </w:hyperlink>
      <w:r w:rsidR="000425B4">
        <w:rPr>
          <w:lang w:val="pl"/>
        </w:rPr>
        <w:t xml:space="preserve"> nr 23294/05, 19 lipca 2011 r.</w:t>
      </w:r>
    </w:p>
    <w:p w:rsidR="00B71A20" w:rsidRPr="000625F6" w:rsidRDefault="0093676E">
      <w:pPr>
        <w:pStyle w:val="Teksttreci0"/>
        <w:spacing w:after="0"/>
        <w:rPr>
          <w:lang w:val="pl-PL"/>
        </w:rPr>
      </w:pPr>
      <w:hyperlink r:id="rId2036" w:history="1">
        <w:r w:rsidR="000425B4">
          <w:rPr>
            <w:i/>
            <w:iCs/>
            <w:color w:val="0072BC"/>
            <w:lang w:val="pl"/>
          </w:rPr>
          <w:t xml:space="preserve">Bulgarian Helsinki Committee p. Bułgarii </w:t>
        </w:r>
      </w:hyperlink>
      <w:r w:rsidR="000425B4">
        <w:rPr>
          <w:lang w:val="pl"/>
        </w:rPr>
        <w:t>(dec.), nr 35653/12 i 66172/12, 28 czerwca 2016 r.</w:t>
      </w:r>
    </w:p>
    <w:p w:rsidR="00B71A20" w:rsidRPr="000625F6" w:rsidRDefault="0093676E">
      <w:pPr>
        <w:pStyle w:val="Teksttreci0"/>
        <w:spacing w:after="0"/>
        <w:rPr>
          <w:lang w:val="pl-PL"/>
        </w:rPr>
      </w:pPr>
      <w:hyperlink r:id="rId2037" w:history="1">
        <w:r w:rsidR="000425B4">
          <w:rPr>
            <w:i/>
            <w:iCs/>
            <w:color w:val="0072BC"/>
            <w:lang w:val="pl"/>
          </w:rPr>
          <w:t>Bulinwar OOD i Hrusanov p. Bułgarii</w:t>
        </w:r>
        <w:r w:rsidR="000425B4">
          <w:rPr>
            <w:lang w:val="pl"/>
          </w:rPr>
          <w:t>,</w:t>
        </w:r>
      </w:hyperlink>
      <w:r w:rsidR="000425B4">
        <w:rPr>
          <w:lang w:val="pl"/>
        </w:rPr>
        <w:t xml:space="preserve"> nr 66455/01, 12 kwietnia 2007 r.</w:t>
      </w:r>
    </w:p>
    <w:p w:rsidR="00B71A20" w:rsidRPr="000625F6" w:rsidRDefault="0093676E">
      <w:pPr>
        <w:pStyle w:val="Teksttreci0"/>
        <w:spacing w:after="0"/>
        <w:rPr>
          <w:lang w:val="pl-PL"/>
        </w:rPr>
      </w:pPr>
      <w:hyperlink r:id="rId2038" w:history="1">
        <w:r w:rsidR="000425B4">
          <w:rPr>
            <w:i/>
            <w:iCs/>
            <w:color w:val="0072BC"/>
            <w:lang w:val="pl"/>
          </w:rPr>
          <w:t xml:space="preserve">Burden p. Wielkiej Brytanii </w:t>
        </w:r>
      </w:hyperlink>
      <w:r w:rsidR="000425B4">
        <w:rPr>
          <w:lang w:val="pl"/>
        </w:rPr>
        <w:t>[WI], nr 13378/05, ECHR 2008</w:t>
      </w:r>
    </w:p>
    <w:p w:rsidR="00B71A20" w:rsidRPr="000625F6" w:rsidRDefault="0093676E">
      <w:pPr>
        <w:pStyle w:val="Teksttreci0"/>
        <w:spacing w:after="0"/>
        <w:rPr>
          <w:lang w:val="pl-PL"/>
        </w:rPr>
      </w:pPr>
      <w:hyperlink r:id="rId2039" w:history="1">
        <w:r w:rsidR="000425B4">
          <w:rPr>
            <w:i/>
            <w:iCs/>
            <w:color w:val="0072BC"/>
            <w:lang w:val="pl"/>
          </w:rPr>
          <w:t>Burdov p. Rosji</w:t>
        </w:r>
        <w:r w:rsidR="000425B4">
          <w:rPr>
            <w:lang w:val="pl"/>
          </w:rPr>
          <w:t>,</w:t>
        </w:r>
      </w:hyperlink>
      <w:r w:rsidR="000425B4">
        <w:rPr>
          <w:lang w:val="pl"/>
        </w:rPr>
        <w:t xml:space="preserve"> nr 59498/00, ECHR 2002-III</w:t>
      </w:r>
    </w:p>
    <w:p w:rsidR="00B71A20" w:rsidRPr="000625F6" w:rsidRDefault="0093676E">
      <w:pPr>
        <w:pStyle w:val="Teksttreci0"/>
        <w:spacing w:after="0"/>
        <w:rPr>
          <w:lang w:val="pl-PL"/>
        </w:rPr>
      </w:pPr>
      <w:hyperlink r:id="rId2040" w:history="1">
        <w:r w:rsidR="000425B4">
          <w:rPr>
            <w:i/>
            <w:iCs/>
            <w:color w:val="0072BC"/>
            <w:lang w:val="pl"/>
          </w:rPr>
          <w:t>Burdov p. Rosji (nr 2)</w:t>
        </w:r>
        <w:r w:rsidR="000425B4">
          <w:rPr>
            <w:lang w:val="pl"/>
          </w:rPr>
          <w:t>,</w:t>
        </w:r>
      </w:hyperlink>
      <w:r w:rsidR="000425B4">
        <w:rPr>
          <w:lang w:val="pl"/>
        </w:rPr>
        <w:t xml:space="preserve"> nr 33509/04, ECHR 2009</w:t>
      </w:r>
    </w:p>
    <w:p w:rsidR="00B71A20" w:rsidRPr="000625F6" w:rsidRDefault="0093676E">
      <w:pPr>
        <w:pStyle w:val="Teksttreci0"/>
        <w:spacing w:after="0"/>
        <w:rPr>
          <w:lang w:val="pl-PL"/>
        </w:rPr>
      </w:pPr>
      <w:hyperlink r:id="rId2041" w:history="1">
        <w:r w:rsidR="000425B4">
          <w:rPr>
            <w:i/>
            <w:iCs/>
            <w:color w:val="0072BC"/>
            <w:lang w:val="pl"/>
          </w:rPr>
          <w:t>Burlya i Inni p. Ukrainie</w:t>
        </w:r>
        <w:r w:rsidR="000425B4">
          <w:rPr>
            <w:lang w:val="pl"/>
          </w:rPr>
          <w:t>,</w:t>
        </w:r>
      </w:hyperlink>
      <w:r w:rsidR="000425B4">
        <w:rPr>
          <w:lang w:val="pl"/>
        </w:rPr>
        <w:t xml:space="preserve"> nr 3289/10, 6 listopada 2018 r.</w:t>
      </w:r>
    </w:p>
    <w:p w:rsidR="00B71A20" w:rsidRPr="000625F6" w:rsidRDefault="0093676E">
      <w:pPr>
        <w:pStyle w:val="Teksttreci0"/>
        <w:spacing w:after="0"/>
        <w:rPr>
          <w:lang w:val="pl-PL"/>
        </w:rPr>
      </w:pPr>
      <w:hyperlink r:id="rId2042" w:history="1">
        <w:r w:rsidR="000425B4">
          <w:rPr>
            <w:i/>
            <w:iCs/>
            <w:color w:val="0072BC"/>
            <w:lang w:val="pl"/>
          </w:rPr>
          <w:t xml:space="preserve">Burov p. Mołdawii </w:t>
        </w:r>
      </w:hyperlink>
      <w:r w:rsidR="000425B4">
        <w:rPr>
          <w:lang w:val="pl"/>
        </w:rPr>
        <w:t>(dec.), nr 38875/03, 14 czerwca 2011 r.</w:t>
      </w:r>
    </w:p>
    <w:p w:rsidR="00B71A20" w:rsidRPr="000625F6" w:rsidRDefault="0093676E">
      <w:pPr>
        <w:pStyle w:val="Teksttreci0"/>
        <w:spacing w:after="0"/>
        <w:rPr>
          <w:lang w:val="pl-PL"/>
        </w:rPr>
      </w:pPr>
      <w:hyperlink r:id="rId2043" w:history="1">
        <w:r w:rsidR="000425B4">
          <w:rPr>
            <w:i/>
            <w:iCs/>
            <w:color w:val="0072BC"/>
            <w:lang w:val="pl"/>
          </w:rPr>
          <w:t>Bursa Barosu Başkanliği i Inni p. Turcji</w:t>
        </w:r>
        <w:r w:rsidR="000425B4">
          <w:rPr>
            <w:lang w:val="pl"/>
          </w:rPr>
          <w:t>,</w:t>
        </w:r>
      </w:hyperlink>
      <w:r w:rsidR="000425B4">
        <w:rPr>
          <w:lang w:val="pl"/>
        </w:rPr>
        <w:t xml:space="preserve"> nr 25680/05, 19 czerwca 2018 r.</w:t>
      </w:r>
    </w:p>
    <w:p w:rsidR="00B71A20" w:rsidRPr="000625F6" w:rsidRDefault="0093676E">
      <w:pPr>
        <w:pStyle w:val="Teksttreci0"/>
        <w:spacing w:after="460"/>
        <w:rPr>
          <w:lang w:val="pl-PL"/>
        </w:rPr>
      </w:pPr>
      <w:hyperlink r:id="rId2044" w:history="1">
        <w:r w:rsidR="000425B4">
          <w:rPr>
            <w:i/>
            <w:iCs/>
            <w:color w:val="0072BC"/>
            <w:lang w:val="pl"/>
          </w:rPr>
          <w:t xml:space="preserve">Buzadji p. Republice Mołdawii </w:t>
        </w:r>
      </w:hyperlink>
      <w:r w:rsidR="000425B4">
        <w:rPr>
          <w:lang w:val="pl"/>
        </w:rPr>
        <w:t>[WI], nr 23755/07, 5 lipca 2016 r.</w:t>
      </w:r>
    </w:p>
    <w:p w:rsidR="00B71A20" w:rsidRPr="000625F6" w:rsidRDefault="000425B4">
      <w:pPr>
        <w:pStyle w:val="Teksttreci30"/>
        <w:spacing w:after="120"/>
        <w:rPr>
          <w:lang w:val="pl-PL"/>
        </w:rPr>
      </w:pPr>
      <w:r>
        <w:rPr>
          <w:lang w:val="pl"/>
        </w:rPr>
        <w:t>—C—</w:t>
      </w:r>
    </w:p>
    <w:p w:rsidR="00B71A20" w:rsidRPr="000625F6" w:rsidRDefault="0093676E">
      <w:pPr>
        <w:pStyle w:val="Teksttreci0"/>
        <w:spacing w:after="0"/>
        <w:rPr>
          <w:lang w:val="pl-PL"/>
        </w:rPr>
      </w:pPr>
      <w:hyperlink r:id="rId2045" w:history="1">
        <w:r w:rsidR="000425B4">
          <w:rPr>
            <w:i/>
            <w:iCs/>
            <w:color w:val="0072BC"/>
            <w:lang w:val="pl"/>
          </w:rPr>
          <w:t>C.N. p. Luksemburgowi</w:t>
        </w:r>
        <w:r w:rsidR="000425B4">
          <w:rPr>
            <w:lang w:val="pl"/>
          </w:rPr>
          <w:t>,</w:t>
        </w:r>
      </w:hyperlink>
      <w:r w:rsidR="000425B4">
        <w:rPr>
          <w:lang w:val="pl"/>
        </w:rPr>
        <w:t xml:space="preserve"> nr 59649/18, 12 października 2021 r.</w:t>
      </w:r>
    </w:p>
    <w:p w:rsidR="00B71A20" w:rsidRPr="000625F6" w:rsidRDefault="0093676E">
      <w:pPr>
        <w:pStyle w:val="Teksttreci0"/>
        <w:spacing w:after="0"/>
        <w:rPr>
          <w:lang w:val="pl-PL"/>
        </w:rPr>
      </w:pPr>
      <w:hyperlink r:id="rId2046" w:history="1">
        <w:r w:rsidR="000425B4">
          <w:rPr>
            <w:i/>
            <w:iCs/>
            <w:color w:val="0072BC"/>
            <w:lang w:val="pl"/>
          </w:rPr>
          <w:t xml:space="preserve">C.P. p. Wielkiej Brytanii </w:t>
        </w:r>
      </w:hyperlink>
      <w:r w:rsidR="000425B4">
        <w:rPr>
          <w:lang w:val="pl"/>
        </w:rPr>
        <w:t>(dec.), nr 300/11, 6 września 2016 r.</w:t>
      </w:r>
    </w:p>
    <w:p w:rsidR="00B71A20" w:rsidRPr="000625F6" w:rsidRDefault="0093676E">
      <w:pPr>
        <w:pStyle w:val="Teksttreci0"/>
        <w:spacing w:after="0"/>
        <w:rPr>
          <w:lang w:val="pl-PL"/>
        </w:rPr>
      </w:pPr>
      <w:hyperlink r:id="rId2047" w:history="1">
        <w:r w:rsidR="000425B4">
          <w:rPr>
            <w:i/>
            <w:iCs/>
            <w:color w:val="0072BC"/>
            <w:lang w:val="pl"/>
          </w:rPr>
          <w:t xml:space="preserve">Çakıcı p. Turcji </w:t>
        </w:r>
      </w:hyperlink>
      <w:r w:rsidR="000425B4">
        <w:rPr>
          <w:lang w:val="pl"/>
        </w:rPr>
        <w:t>[WI], nr 23657/94, ECHR 1999-IV</w:t>
      </w:r>
    </w:p>
    <w:p w:rsidR="00B71A20" w:rsidRPr="000625F6" w:rsidRDefault="0093676E">
      <w:pPr>
        <w:pStyle w:val="Teksttreci0"/>
        <w:spacing w:after="0"/>
        <w:rPr>
          <w:lang w:val="pl-PL"/>
        </w:rPr>
      </w:pPr>
      <w:hyperlink r:id="rId2048" w:history="1">
        <w:r w:rsidR="000425B4">
          <w:rPr>
            <w:i/>
            <w:iCs/>
            <w:color w:val="0072BC"/>
            <w:lang w:val="pl"/>
          </w:rPr>
          <w:t xml:space="preserve">Çakir i Inni p. Cyprowi </w:t>
        </w:r>
      </w:hyperlink>
      <w:r w:rsidR="000425B4">
        <w:rPr>
          <w:lang w:val="pl"/>
        </w:rPr>
        <w:t>(dec.), nr 7864/06, 29 kwietnia 2010 r.</w:t>
      </w:r>
    </w:p>
    <w:p w:rsidR="00B71A20" w:rsidRPr="000625F6" w:rsidRDefault="0093676E">
      <w:pPr>
        <w:pStyle w:val="Teksttreci0"/>
        <w:spacing w:after="0"/>
        <w:rPr>
          <w:lang w:val="pl-PL"/>
        </w:rPr>
      </w:pPr>
      <w:hyperlink r:id="rId2049" w:history="1">
        <w:r w:rsidR="000425B4">
          <w:rPr>
            <w:i/>
            <w:iCs/>
            <w:color w:val="0072BC"/>
            <w:lang w:val="pl"/>
          </w:rPr>
          <w:t>Călin i Inni p. Rumunii</w:t>
        </w:r>
        <w:r w:rsidR="000425B4">
          <w:rPr>
            <w:lang w:val="pl"/>
          </w:rPr>
          <w:t>,</w:t>
        </w:r>
      </w:hyperlink>
      <w:r w:rsidR="000425B4">
        <w:rPr>
          <w:lang w:val="pl"/>
        </w:rPr>
        <w:t xml:space="preserve"> nr 25057/11 i 2 inne, 19 lipca 2016 r.</w:t>
      </w:r>
    </w:p>
    <w:p w:rsidR="00B71A20" w:rsidRPr="000625F6" w:rsidRDefault="0093676E">
      <w:pPr>
        <w:pStyle w:val="Teksttreci0"/>
        <w:spacing w:after="0"/>
        <w:rPr>
          <w:lang w:val="pl-PL"/>
        </w:rPr>
      </w:pPr>
      <w:hyperlink r:id="rId2050" w:history="1">
        <w:r w:rsidR="000425B4">
          <w:rPr>
            <w:i/>
            <w:iCs/>
            <w:color w:val="0072BC"/>
            <w:lang w:val="pl"/>
          </w:rPr>
          <w:t>Čamans i Timofejeva p. Łotwie</w:t>
        </w:r>
        <w:r w:rsidR="000425B4">
          <w:rPr>
            <w:lang w:val="pl"/>
          </w:rPr>
          <w:t>,</w:t>
        </w:r>
      </w:hyperlink>
      <w:r w:rsidR="000425B4">
        <w:rPr>
          <w:lang w:val="pl"/>
        </w:rPr>
        <w:t xml:space="preserve"> nr 42906/12, 28 kwietnia 2016 r.</w:t>
      </w:r>
    </w:p>
    <w:p w:rsidR="00B71A20" w:rsidRPr="000625F6" w:rsidRDefault="0093676E">
      <w:pPr>
        <w:pStyle w:val="Teksttreci0"/>
        <w:spacing w:after="0"/>
        <w:rPr>
          <w:lang w:val="pl-PL"/>
        </w:rPr>
      </w:pPr>
      <w:hyperlink r:id="rId2051" w:history="1">
        <w:r w:rsidR="000425B4">
          <w:rPr>
            <w:i/>
            <w:iCs/>
            <w:color w:val="0072BC"/>
            <w:lang w:val="pl"/>
          </w:rPr>
          <w:t>Cankoçak p. Turcji</w:t>
        </w:r>
        <w:r w:rsidR="000425B4">
          <w:rPr>
            <w:lang w:val="pl"/>
          </w:rPr>
          <w:t>,</w:t>
        </w:r>
      </w:hyperlink>
      <w:r w:rsidR="000425B4">
        <w:rPr>
          <w:lang w:val="pl"/>
        </w:rPr>
        <w:t xml:space="preserve"> nr 25182/94 i 26956/95, 20 lutego 2001 r.</w:t>
      </w:r>
    </w:p>
    <w:p w:rsidR="00B71A20" w:rsidRPr="000625F6" w:rsidRDefault="0093676E">
      <w:pPr>
        <w:pStyle w:val="Teksttreci0"/>
        <w:spacing w:after="0"/>
        <w:rPr>
          <w:lang w:val="pl-PL"/>
        </w:rPr>
      </w:pPr>
      <w:hyperlink r:id="rId2052" w:history="1">
        <w:r w:rsidR="000425B4">
          <w:rPr>
            <w:i/>
            <w:iCs/>
            <w:color w:val="0072BC"/>
            <w:lang w:val="pl"/>
          </w:rPr>
          <w:t>Cantoni p. Francji</w:t>
        </w:r>
        <w:r w:rsidR="000425B4">
          <w:rPr>
            <w:lang w:val="pl"/>
          </w:rPr>
          <w:t>,</w:t>
        </w:r>
      </w:hyperlink>
      <w:r w:rsidR="000425B4">
        <w:rPr>
          <w:lang w:val="pl"/>
        </w:rPr>
        <w:t xml:space="preserve"> 15 listopada 1996 r., Raporty 1996-V</w:t>
      </w:r>
    </w:p>
    <w:p w:rsidR="00B71A20" w:rsidRPr="000625F6" w:rsidRDefault="0093676E">
      <w:pPr>
        <w:pStyle w:val="Teksttreci0"/>
        <w:spacing w:after="0"/>
        <w:rPr>
          <w:lang w:val="pl-PL"/>
        </w:rPr>
      </w:pPr>
      <w:hyperlink r:id="rId2053" w:history="1">
        <w:r w:rsidR="000425B4">
          <w:rPr>
            <w:i/>
            <w:iCs/>
            <w:color w:val="0072BC"/>
            <w:lang w:val="pl"/>
          </w:rPr>
          <w:t xml:space="preserve">Carson i Inni p. Wielkiej Brytanii </w:t>
        </w:r>
      </w:hyperlink>
      <w:r w:rsidR="000425B4">
        <w:rPr>
          <w:lang w:val="pl"/>
        </w:rPr>
        <w:t>[WI], nr 42184/05, ECHR 2010</w:t>
      </w:r>
    </w:p>
    <w:p w:rsidR="00B71A20" w:rsidRPr="000625F6" w:rsidRDefault="0093676E">
      <w:pPr>
        <w:pStyle w:val="Teksttreci0"/>
        <w:spacing w:after="0"/>
        <w:rPr>
          <w:lang w:val="pl-PL"/>
        </w:rPr>
      </w:pPr>
      <w:hyperlink r:id="rId2054" w:history="1">
        <w:r w:rsidR="000425B4">
          <w:rPr>
            <w:i/>
            <w:iCs/>
            <w:color w:val="0072BC"/>
            <w:lang w:val="pl"/>
          </w:rPr>
          <w:t>Castells p. Hiszpanii</w:t>
        </w:r>
        <w:r w:rsidR="000425B4">
          <w:rPr>
            <w:lang w:val="pl"/>
          </w:rPr>
          <w:t>,</w:t>
        </w:r>
      </w:hyperlink>
      <w:r w:rsidR="000425B4">
        <w:rPr>
          <w:lang w:val="pl"/>
        </w:rPr>
        <w:t xml:space="preserve"> 23 kwietnia 1992 r., Seria A nr 236</w:t>
      </w:r>
    </w:p>
    <w:p w:rsidR="00B71A20" w:rsidRPr="000625F6" w:rsidRDefault="0093676E">
      <w:pPr>
        <w:pStyle w:val="Teksttreci0"/>
        <w:spacing w:after="0"/>
        <w:ind w:left="580" w:hanging="580"/>
        <w:rPr>
          <w:lang w:val="pl-PL"/>
        </w:rPr>
      </w:pPr>
      <w:hyperlink r:id="rId2055" w:history="1">
        <w:r w:rsidR="000425B4">
          <w:rPr>
            <w:i/>
            <w:iCs/>
            <w:color w:val="0072BC"/>
            <w:lang w:val="pl"/>
          </w:rPr>
          <w:t xml:space="preserve">Catan i Inni p. Republice Mołdawii i Rosji </w:t>
        </w:r>
      </w:hyperlink>
      <w:r w:rsidR="000425B4">
        <w:rPr>
          <w:lang w:val="pl"/>
        </w:rPr>
        <w:t>[WI], nr 43370/04 i 2 inne, ECHR 2012</w:t>
      </w:r>
    </w:p>
    <w:p w:rsidR="00B71A20" w:rsidRPr="000625F6" w:rsidRDefault="0093676E">
      <w:pPr>
        <w:pStyle w:val="Teksttreci0"/>
        <w:spacing w:after="0"/>
        <w:rPr>
          <w:lang w:val="pl-PL"/>
        </w:rPr>
      </w:pPr>
      <w:hyperlink r:id="rId2056" w:history="1">
        <w:r w:rsidR="000425B4">
          <w:rPr>
            <w:i/>
            <w:iCs/>
            <w:color w:val="0072BC"/>
            <w:lang w:val="pl"/>
          </w:rPr>
          <w:t xml:space="preserve">Čavajda p. Czechom </w:t>
        </w:r>
      </w:hyperlink>
      <w:r w:rsidR="000425B4">
        <w:rPr>
          <w:lang w:val="pl"/>
        </w:rPr>
        <w:t>(dec.), nr 17696/07, 29 marca 2011 r.</w:t>
      </w:r>
    </w:p>
    <w:p w:rsidR="00B71A20" w:rsidRPr="000625F6" w:rsidRDefault="0093676E">
      <w:pPr>
        <w:pStyle w:val="Teksttreci0"/>
        <w:spacing w:after="0"/>
        <w:rPr>
          <w:lang w:val="pl-PL"/>
        </w:rPr>
      </w:pPr>
      <w:hyperlink r:id="rId2057" w:history="1">
        <w:r w:rsidR="000425B4">
          <w:rPr>
            <w:i/>
            <w:iCs/>
            <w:color w:val="0072BC"/>
            <w:lang w:val="pl"/>
          </w:rPr>
          <w:t xml:space="preserve">Çelik p. Holandii </w:t>
        </w:r>
      </w:hyperlink>
      <w:r w:rsidR="000425B4">
        <w:rPr>
          <w:lang w:val="pl"/>
        </w:rPr>
        <w:t>(dec.), nr 12810/13, 27 sierpnia 2013 r.</w:t>
      </w:r>
    </w:p>
    <w:p w:rsidR="00B71A20" w:rsidRPr="000625F6" w:rsidRDefault="0093676E">
      <w:pPr>
        <w:pStyle w:val="Teksttreci0"/>
        <w:spacing w:after="0"/>
        <w:rPr>
          <w:lang w:val="pl-PL"/>
        </w:rPr>
      </w:pPr>
      <w:hyperlink r:id="rId2058" w:history="1">
        <w:r w:rsidR="000425B4">
          <w:rPr>
            <w:i/>
            <w:iCs/>
            <w:color w:val="0072BC"/>
            <w:lang w:val="pl"/>
          </w:rPr>
          <w:t xml:space="preserve">Çelik p. Turcji </w:t>
        </w:r>
      </w:hyperlink>
      <w:r w:rsidR="000425B4">
        <w:rPr>
          <w:lang w:val="pl"/>
        </w:rPr>
        <w:t>(dec.), nr 52991/99, ECHR 2004-X</w:t>
      </w:r>
    </w:p>
    <w:p w:rsidR="00B71A20" w:rsidRPr="000625F6" w:rsidRDefault="0093676E">
      <w:pPr>
        <w:pStyle w:val="Teksttreci0"/>
        <w:spacing w:after="0"/>
        <w:rPr>
          <w:lang w:val="pl-PL"/>
        </w:rPr>
      </w:pPr>
      <w:hyperlink r:id="rId2059" w:history="1">
        <w:r w:rsidR="000425B4">
          <w:rPr>
            <w:i/>
            <w:iCs/>
            <w:color w:val="0072BC"/>
            <w:lang w:val="pl"/>
          </w:rPr>
          <w:t>Celniku p. Grecji</w:t>
        </w:r>
        <w:r w:rsidR="000425B4">
          <w:rPr>
            <w:lang w:val="pl"/>
          </w:rPr>
          <w:t>,</w:t>
        </w:r>
      </w:hyperlink>
      <w:r w:rsidR="000425B4">
        <w:rPr>
          <w:lang w:val="pl"/>
        </w:rPr>
        <w:t xml:space="preserve"> nr 21449/04, 5 lipca 2007 r.</w:t>
      </w:r>
    </w:p>
    <w:p w:rsidR="00B71A20" w:rsidRPr="00071350" w:rsidRDefault="0093676E" w:rsidP="00071350">
      <w:pPr>
        <w:pStyle w:val="Teksttreci0"/>
        <w:spacing w:after="0"/>
        <w:rPr>
          <w:lang w:val="en-GB"/>
        </w:rPr>
      </w:pPr>
      <w:hyperlink r:id="rId2060" w:history="1">
        <w:r w:rsidR="000425B4" w:rsidRPr="000625F6">
          <w:rPr>
            <w:i/>
            <w:iCs/>
            <w:color w:val="0072BC"/>
            <w:lang w:val="en-GB"/>
          </w:rPr>
          <w:t xml:space="preserve">Centre for Legal Resources w imieniu Valentina Câmpeanu p. Rumunii </w:t>
        </w:r>
      </w:hyperlink>
      <w:r w:rsidR="000425B4" w:rsidRPr="000625F6">
        <w:rPr>
          <w:lang w:val="en-GB"/>
        </w:rPr>
        <w:t>[WI], nr 47848/08, ECHR 2014</w:t>
      </w:r>
    </w:p>
    <w:p w:rsidR="00B71A20" w:rsidRDefault="0093676E">
      <w:pPr>
        <w:pStyle w:val="Teksttreci0"/>
        <w:spacing w:after="0"/>
      </w:pPr>
      <w:hyperlink r:id="rId2061" w:history="1">
        <w:r w:rsidR="000425B4" w:rsidRPr="000625F6">
          <w:rPr>
            <w:i/>
            <w:iCs/>
            <w:color w:val="0072BC"/>
            <w:lang w:val="en-GB"/>
          </w:rPr>
          <w:t>Centre of Societies for Krishna Consciousness in Russia i Frolov p. Rosji</w:t>
        </w:r>
        <w:r w:rsidR="000425B4" w:rsidRPr="000625F6">
          <w:rPr>
            <w:lang w:val="en-GB"/>
          </w:rPr>
          <w:t>,</w:t>
        </w:r>
      </w:hyperlink>
      <w:r w:rsidR="000425B4" w:rsidRPr="000625F6">
        <w:rPr>
          <w:lang w:val="en-GB"/>
        </w:rPr>
        <w:t xml:space="preserve"> nr 37477/11,</w:t>
      </w:r>
    </w:p>
    <w:p w:rsidR="00B71A20" w:rsidRPr="000625F6" w:rsidRDefault="000425B4">
      <w:pPr>
        <w:pStyle w:val="Teksttreci0"/>
        <w:spacing w:after="0"/>
        <w:ind w:firstLine="580"/>
        <w:rPr>
          <w:lang w:val="pl-PL"/>
        </w:rPr>
      </w:pPr>
      <w:r>
        <w:rPr>
          <w:lang w:val="pl"/>
        </w:rPr>
        <w:t>23 listopada 2021 r.</w:t>
      </w:r>
    </w:p>
    <w:p w:rsidR="00B71A20" w:rsidRPr="000625F6" w:rsidRDefault="0093676E">
      <w:pPr>
        <w:pStyle w:val="Teksttreci0"/>
        <w:spacing w:after="0"/>
        <w:rPr>
          <w:lang w:val="pl-PL"/>
        </w:rPr>
      </w:pPr>
      <w:hyperlink r:id="rId2062" w:history="1">
        <w:r w:rsidR="000425B4">
          <w:rPr>
            <w:i/>
            <w:iCs/>
            <w:color w:val="0072BC"/>
            <w:lang w:val="pl"/>
          </w:rPr>
          <w:t xml:space="preserve">Centro Europa 7 S.r.l. i Di Stefano p. Włochom </w:t>
        </w:r>
      </w:hyperlink>
      <w:r w:rsidR="000425B4">
        <w:rPr>
          <w:lang w:val="pl"/>
        </w:rPr>
        <w:t>[WI], nr 38433/09, ECHR 2012</w:t>
      </w:r>
    </w:p>
    <w:p w:rsidR="00B71A20" w:rsidRPr="000625F6" w:rsidRDefault="0093676E">
      <w:pPr>
        <w:pStyle w:val="Teksttreci0"/>
        <w:spacing w:after="0"/>
        <w:rPr>
          <w:lang w:val="pl-PL"/>
        </w:rPr>
      </w:pPr>
      <w:hyperlink r:id="rId2063" w:history="1">
        <w:r w:rsidR="000425B4">
          <w:rPr>
            <w:i/>
            <w:iCs/>
            <w:color w:val="0072BC"/>
            <w:lang w:val="pl"/>
          </w:rPr>
          <w:t>Červenka p. Czechom</w:t>
        </w:r>
        <w:r w:rsidR="000425B4">
          <w:rPr>
            <w:lang w:val="pl"/>
          </w:rPr>
          <w:t xml:space="preserve">, </w:t>
        </w:r>
      </w:hyperlink>
      <w:r w:rsidR="000425B4">
        <w:rPr>
          <w:lang w:val="pl"/>
        </w:rPr>
        <w:t>nr 62507/12, 13 października 2016 r.</w:t>
      </w:r>
    </w:p>
    <w:p w:rsidR="00B71A20" w:rsidRPr="000625F6" w:rsidRDefault="0093676E">
      <w:pPr>
        <w:pStyle w:val="Teksttreci0"/>
        <w:spacing w:after="0" w:line="230" w:lineRule="auto"/>
        <w:rPr>
          <w:lang w:val="pl-PL"/>
        </w:rPr>
      </w:pPr>
      <w:hyperlink r:id="rId2064" w:history="1">
        <w:r w:rsidR="000425B4">
          <w:rPr>
            <w:i/>
            <w:iCs/>
            <w:color w:val="0072BC"/>
            <w:lang w:val="pl"/>
          </w:rPr>
          <w:t>Cestaro p. Włochom</w:t>
        </w:r>
        <w:r w:rsidR="000425B4">
          <w:rPr>
            <w:lang w:val="pl"/>
          </w:rPr>
          <w:t>,</w:t>
        </w:r>
      </w:hyperlink>
      <w:r w:rsidR="000425B4">
        <w:rPr>
          <w:lang w:val="pl"/>
        </w:rPr>
        <w:t xml:space="preserve"> nr 6884/11, 7 kwietnia 2015 r.</w:t>
      </w:r>
    </w:p>
    <w:p w:rsidR="00B71A20" w:rsidRPr="000625F6" w:rsidRDefault="0093676E">
      <w:pPr>
        <w:pStyle w:val="Teksttreci0"/>
        <w:spacing w:after="0"/>
        <w:rPr>
          <w:lang w:val="pl-PL"/>
        </w:rPr>
      </w:pPr>
      <w:hyperlink r:id="rId2065" w:history="1">
        <w:r w:rsidR="000425B4">
          <w:rPr>
            <w:i/>
            <w:iCs/>
            <w:color w:val="0072BC"/>
            <w:lang w:val="pl"/>
          </w:rPr>
          <w:t xml:space="preserve">Chagos Islanders p. Wielkiej Brytanii </w:t>
        </w:r>
      </w:hyperlink>
      <w:r w:rsidR="000425B4">
        <w:rPr>
          <w:lang w:val="pl"/>
        </w:rPr>
        <w:t>(dec.), nr 35622/04, 11 grudnia 2012 r.</w:t>
      </w:r>
    </w:p>
    <w:p w:rsidR="00B71A20" w:rsidRPr="000625F6" w:rsidRDefault="0093676E">
      <w:pPr>
        <w:pStyle w:val="Teksttreci0"/>
        <w:spacing w:after="0"/>
        <w:rPr>
          <w:lang w:val="pl-PL"/>
        </w:rPr>
      </w:pPr>
      <w:hyperlink r:id="rId2066" w:history="1">
        <w:r w:rsidR="000425B4">
          <w:rPr>
            <w:i/>
            <w:iCs/>
            <w:color w:val="0072BC"/>
            <w:lang w:val="pl"/>
          </w:rPr>
          <w:t>Chaldayev p. Rosji</w:t>
        </w:r>
        <w:r w:rsidR="000425B4">
          <w:rPr>
            <w:lang w:val="pl"/>
          </w:rPr>
          <w:t>,</w:t>
        </w:r>
      </w:hyperlink>
      <w:r w:rsidR="000425B4">
        <w:rPr>
          <w:lang w:val="pl"/>
        </w:rPr>
        <w:t xml:space="preserve"> nr 33172/16, 28 maja 2019 r.</w:t>
      </w:r>
    </w:p>
    <w:p w:rsidR="00B71A20" w:rsidRDefault="0093676E">
      <w:pPr>
        <w:pStyle w:val="Teksttreci0"/>
        <w:spacing w:after="0"/>
      </w:pPr>
      <w:hyperlink r:id="rId2067" w:history="1">
        <w:r w:rsidR="000425B4" w:rsidRPr="000625F6">
          <w:rPr>
            <w:i/>
            <w:iCs/>
            <w:color w:val="0072BC"/>
            <w:lang w:val="en-GB"/>
          </w:rPr>
          <w:t xml:space="preserve">Chapman p. Belgii </w:t>
        </w:r>
      </w:hyperlink>
      <w:r w:rsidR="000425B4" w:rsidRPr="000625F6">
        <w:rPr>
          <w:lang w:val="en-GB"/>
        </w:rPr>
        <w:t>(dec.), nr 39619/06, 5 marca 2013 r.</w:t>
      </w:r>
    </w:p>
    <w:p w:rsidR="00B71A20" w:rsidRPr="000625F6" w:rsidRDefault="0093676E">
      <w:pPr>
        <w:pStyle w:val="Teksttreci0"/>
        <w:spacing w:after="0"/>
        <w:rPr>
          <w:lang w:val="pl-PL"/>
        </w:rPr>
      </w:pPr>
      <w:hyperlink r:id="rId2068" w:history="1">
        <w:r w:rsidR="000425B4">
          <w:rPr>
            <w:i/>
            <w:iCs/>
            <w:color w:val="0072BC"/>
            <w:lang w:val="pl"/>
          </w:rPr>
          <w:t>Chappex p. Szwajcarii</w:t>
        </w:r>
        <w:r w:rsidR="000425B4">
          <w:rPr>
            <w:lang w:val="pl"/>
          </w:rPr>
          <w:t>,</w:t>
        </w:r>
      </w:hyperlink>
      <w:r w:rsidR="000425B4">
        <w:rPr>
          <w:lang w:val="pl"/>
        </w:rPr>
        <w:t xml:space="preserve"> nr 20338/92, decyzja Komisji z dnia 12 października 1994 r.</w:t>
      </w:r>
    </w:p>
    <w:p w:rsidR="00B71A20" w:rsidRPr="000625F6" w:rsidRDefault="0093676E">
      <w:pPr>
        <w:pStyle w:val="Teksttreci0"/>
        <w:spacing w:after="0"/>
        <w:rPr>
          <w:lang w:val="pl-PL"/>
        </w:rPr>
      </w:pPr>
      <w:hyperlink r:id="rId2069" w:history="1">
        <w:r w:rsidR="000425B4">
          <w:rPr>
            <w:i/>
            <w:iCs/>
            <w:color w:val="0072BC"/>
            <w:lang w:val="pl"/>
          </w:rPr>
          <w:t xml:space="preserve">Charzyński p. Polsce </w:t>
        </w:r>
      </w:hyperlink>
      <w:r w:rsidR="000425B4">
        <w:rPr>
          <w:lang w:val="pl"/>
        </w:rPr>
        <w:t>(dec.), nr 15212/03, ECHR 2005-V</w:t>
      </w:r>
    </w:p>
    <w:p w:rsidR="00B71A20" w:rsidRPr="000625F6" w:rsidRDefault="0093676E">
      <w:pPr>
        <w:pStyle w:val="Teksttreci0"/>
        <w:spacing w:after="0"/>
        <w:rPr>
          <w:lang w:val="pl-PL"/>
        </w:rPr>
      </w:pPr>
      <w:hyperlink r:id="rId2070" w:history="1">
        <w:r w:rsidR="000425B4">
          <w:rPr>
            <w:i/>
            <w:iCs/>
            <w:color w:val="0072BC"/>
            <w:lang w:val="pl"/>
          </w:rPr>
          <w:t xml:space="preserve">Chernenko i Inni p. Rosji </w:t>
        </w:r>
      </w:hyperlink>
      <w:r w:rsidR="000425B4">
        <w:rPr>
          <w:lang w:val="pl"/>
        </w:rPr>
        <w:t>(dec.), nr 4246/14 i 4 innych, 24 stycznia 2019 r.</w:t>
      </w:r>
    </w:p>
    <w:p w:rsidR="00B71A20" w:rsidRPr="000625F6" w:rsidRDefault="0093676E">
      <w:pPr>
        <w:pStyle w:val="Teksttreci0"/>
        <w:spacing w:after="0"/>
        <w:rPr>
          <w:lang w:val="pl-PL"/>
        </w:rPr>
      </w:pPr>
      <w:hyperlink r:id="rId2071" w:history="1">
        <w:r w:rsidR="000425B4">
          <w:rPr>
            <w:i/>
            <w:iCs/>
            <w:color w:val="0072BC"/>
            <w:lang w:val="pl"/>
          </w:rPr>
          <w:t>Chernitsyn p. Rosji</w:t>
        </w:r>
        <w:r w:rsidR="000425B4">
          <w:rPr>
            <w:lang w:val="pl"/>
          </w:rPr>
          <w:t>,</w:t>
        </w:r>
      </w:hyperlink>
      <w:r w:rsidR="000425B4">
        <w:rPr>
          <w:lang w:val="pl"/>
        </w:rPr>
        <w:t xml:space="preserve"> nr 5964/02, 6 kwietnia 2006 r.</w:t>
      </w:r>
    </w:p>
    <w:p w:rsidR="00B71A20" w:rsidRPr="000625F6" w:rsidRDefault="0093676E">
      <w:pPr>
        <w:pStyle w:val="Teksttreci0"/>
        <w:spacing w:after="0"/>
        <w:rPr>
          <w:lang w:val="pl-PL"/>
        </w:rPr>
      </w:pPr>
      <w:hyperlink r:id="rId2072" w:history="1">
        <w:r w:rsidR="000425B4">
          <w:rPr>
            <w:i/>
            <w:iCs/>
            <w:color w:val="0072BC"/>
            <w:lang w:val="pl"/>
          </w:rPr>
          <w:t>Chevrol p. Francji</w:t>
        </w:r>
        <w:r w:rsidR="000425B4">
          <w:rPr>
            <w:lang w:val="pl"/>
          </w:rPr>
          <w:t>,</w:t>
        </w:r>
      </w:hyperlink>
      <w:r w:rsidR="000425B4">
        <w:rPr>
          <w:lang w:val="pl"/>
        </w:rPr>
        <w:t xml:space="preserve"> nr 49636/99, ECHR 2003-III</w:t>
      </w:r>
    </w:p>
    <w:p w:rsidR="00B71A20" w:rsidRPr="000625F6" w:rsidRDefault="0093676E">
      <w:pPr>
        <w:pStyle w:val="Teksttreci0"/>
        <w:spacing w:after="0"/>
        <w:rPr>
          <w:lang w:val="pl-PL"/>
        </w:rPr>
      </w:pPr>
      <w:hyperlink r:id="rId2073" w:history="1">
        <w:r w:rsidR="000425B4">
          <w:rPr>
            <w:i/>
            <w:iCs/>
            <w:color w:val="0072BC"/>
            <w:lang w:val="pl"/>
          </w:rPr>
          <w:t>Chiarello p. Niemcom</w:t>
        </w:r>
        <w:r w:rsidR="000425B4">
          <w:rPr>
            <w:lang w:val="pl"/>
          </w:rPr>
          <w:t>,</w:t>
        </w:r>
      </w:hyperlink>
      <w:r w:rsidR="000425B4">
        <w:rPr>
          <w:lang w:val="pl"/>
        </w:rPr>
        <w:t xml:space="preserve"> nr 497/17, 20 czerwca 2019 r.</w:t>
      </w:r>
    </w:p>
    <w:p w:rsidR="00B71A20" w:rsidRPr="000625F6" w:rsidRDefault="0093676E">
      <w:pPr>
        <w:pStyle w:val="Teksttreci0"/>
        <w:spacing w:after="0"/>
        <w:rPr>
          <w:lang w:val="pl-PL"/>
        </w:rPr>
      </w:pPr>
      <w:hyperlink r:id="rId2074" w:history="1">
        <w:r w:rsidR="000425B4">
          <w:rPr>
            <w:i/>
            <w:iCs/>
            <w:color w:val="0072BC"/>
            <w:lang w:val="pl"/>
          </w:rPr>
          <w:t xml:space="preserve">Chiragov i Inni p. Armenii </w:t>
        </w:r>
      </w:hyperlink>
      <w:r w:rsidR="000425B4">
        <w:rPr>
          <w:lang w:val="pl"/>
        </w:rPr>
        <w:t>(dec.) [WI], nr 13216/05, 14 grudnia 2011 r.</w:t>
      </w:r>
    </w:p>
    <w:p w:rsidR="00B71A20" w:rsidRPr="000625F6" w:rsidRDefault="0093676E">
      <w:pPr>
        <w:pStyle w:val="Teksttreci0"/>
        <w:spacing w:after="0"/>
        <w:rPr>
          <w:lang w:val="pl-PL"/>
        </w:rPr>
      </w:pPr>
      <w:hyperlink r:id="rId2075" w:history="1">
        <w:r w:rsidR="000425B4">
          <w:rPr>
            <w:i/>
            <w:iCs/>
            <w:color w:val="0072BC"/>
            <w:lang w:val="pl"/>
          </w:rPr>
          <w:t xml:space="preserve">Chiragov i Inni p. Armenii </w:t>
        </w:r>
      </w:hyperlink>
      <w:r w:rsidR="000425B4">
        <w:rPr>
          <w:lang w:val="pl"/>
        </w:rPr>
        <w:t>[WI], nr 13216/05, ECHR 2015</w:t>
      </w:r>
    </w:p>
    <w:p w:rsidR="00B71A20" w:rsidRPr="000625F6" w:rsidRDefault="0093676E">
      <w:pPr>
        <w:pStyle w:val="Teksttreci0"/>
        <w:spacing w:after="0"/>
        <w:rPr>
          <w:lang w:val="pl-PL"/>
        </w:rPr>
      </w:pPr>
      <w:hyperlink r:id="rId2076" w:history="1">
        <w:r w:rsidR="000425B4">
          <w:rPr>
            <w:i/>
            <w:iCs/>
            <w:color w:val="0072BC"/>
            <w:lang w:val="pl"/>
          </w:rPr>
          <w:t xml:space="preserve">Chong i Inni p. Wielkiej Brytanii </w:t>
        </w:r>
      </w:hyperlink>
      <w:r w:rsidR="000425B4">
        <w:rPr>
          <w:lang w:val="pl"/>
        </w:rPr>
        <w:t>(dec.), nr 29753/16, 11 września 2018 r.</w:t>
      </w:r>
    </w:p>
    <w:p w:rsidR="00B71A20" w:rsidRPr="000625F6" w:rsidRDefault="0093676E" w:rsidP="00071350">
      <w:pPr>
        <w:pStyle w:val="Teksttreci0"/>
        <w:spacing w:after="0"/>
        <w:rPr>
          <w:lang w:val="pl-PL"/>
        </w:rPr>
      </w:pPr>
      <w:hyperlink r:id="rId2077" w:history="1">
        <w:r w:rsidR="000425B4">
          <w:rPr>
            <w:i/>
            <w:iCs/>
            <w:color w:val="0072BC"/>
            <w:lang w:val="pl"/>
          </w:rPr>
          <w:t>Church of X. p. Wielkiej Brytanii</w:t>
        </w:r>
        <w:r w:rsidR="000425B4">
          <w:rPr>
            <w:lang w:val="pl"/>
          </w:rPr>
          <w:t>,</w:t>
        </w:r>
      </w:hyperlink>
      <w:r w:rsidR="000425B4">
        <w:rPr>
          <w:lang w:val="pl"/>
        </w:rPr>
        <w:t xml:space="preserve"> nr 3798/68, decyzja Komisji z dnia 17 grudnia 1968 r.,</w:t>
      </w:r>
      <w:r w:rsidR="00071350">
        <w:rPr>
          <w:lang w:val="pl"/>
        </w:rPr>
        <w:t xml:space="preserve"> </w:t>
      </w:r>
      <w:r w:rsidR="000425B4">
        <w:rPr>
          <w:lang w:val="pl"/>
        </w:rPr>
        <w:t>Zbiór 29</w:t>
      </w:r>
    </w:p>
    <w:p w:rsidR="00B71A20" w:rsidRPr="000625F6" w:rsidRDefault="0093676E">
      <w:pPr>
        <w:pStyle w:val="Teksttreci0"/>
        <w:spacing w:after="0"/>
        <w:rPr>
          <w:lang w:val="pl-PL"/>
        </w:rPr>
      </w:pPr>
      <w:hyperlink r:id="rId2078" w:history="1">
        <w:r w:rsidR="000425B4">
          <w:rPr>
            <w:i/>
            <w:iCs/>
            <w:color w:val="0072BC"/>
            <w:lang w:val="pl"/>
          </w:rPr>
          <w:t xml:space="preserve">Çınar p. Turcji </w:t>
        </w:r>
      </w:hyperlink>
      <w:r w:rsidR="000425B4">
        <w:rPr>
          <w:lang w:val="pl"/>
        </w:rPr>
        <w:t>(dec.), nr 28602/95, 13 listopada 2003 r.</w:t>
      </w:r>
    </w:p>
    <w:p w:rsidR="00B71A20" w:rsidRPr="000625F6" w:rsidRDefault="0093676E">
      <w:pPr>
        <w:pStyle w:val="Teksttreci0"/>
        <w:spacing w:after="0"/>
        <w:rPr>
          <w:lang w:val="pl-PL"/>
        </w:rPr>
      </w:pPr>
      <w:hyperlink r:id="rId2079" w:history="1">
        <w:r w:rsidR="000425B4">
          <w:rPr>
            <w:i/>
            <w:iCs/>
            <w:color w:val="0072BC"/>
            <w:lang w:val="pl"/>
          </w:rPr>
          <w:t xml:space="preserve">Ciobanu p. Rumunii </w:t>
        </w:r>
      </w:hyperlink>
      <w:r w:rsidR="000425B4">
        <w:rPr>
          <w:lang w:val="pl"/>
        </w:rPr>
        <w:t>(dec.), nr 52414/99, 16 grudnia 2003 r.</w:t>
      </w:r>
    </w:p>
    <w:p w:rsidR="00B71A20" w:rsidRPr="000625F6" w:rsidRDefault="0093676E">
      <w:pPr>
        <w:pStyle w:val="Teksttreci0"/>
        <w:spacing w:after="0"/>
        <w:rPr>
          <w:lang w:val="pl-PL"/>
        </w:rPr>
      </w:pPr>
      <w:hyperlink r:id="rId2080" w:history="1">
        <w:r w:rsidR="000425B4">
          <w:rPr>
            <w:i/>
            <w:iCs/>
            <w:color w:val="0072BC"/>
            <w:lang w:val="pl"/>
          </w:rPr>
          <w:t>Ciupercescu p. Rumunii</w:t>
        </w:r>
        <w:r w:rsidR="000425B4">
          <w:rPr>
            <w:lang w:val="pl"/>
          </w:rPr>
          <w:t>,</w:t>
        </w:r>
      </w:hyperlink>
      <w:r w:rsidR="000425B4">
        <w:rPr>
          <w:lang w:val="pl"/>
        </w:rPr>
        <w:t xml:space="preserve"> nr 35555/03, 15 czerwca 2010 r.</w:t>
      </w:r>
    </w:p>
    <w:p w:rsidR="00B71A20" w:rsidRPr="000625F6" w:rsidRDefault="0093676E">
      <w:pPr>
        <w:pStyle w:val="Teksttreci0"/>
        <w:spacing w:after="0"/>
        <w:rPr>
          <w:lang w:val="pl-PL"/>
        </w:rPr>
      </w:pPr>
      <w:hyperlink r:id="rId2081" w:history="1">
        <w:r w:rsidR="000425B4">
          <w:rPr>
            <w:i/>
            <w:iCs/>
            <w:color w:val="0072BC"/>
            <w:lang w:val="pl"/>
          </w:rPr>
          <w:t xml:space="preserve">Cocchiarella p. Włochom </w:t>
        </w:r>
      </w:hyperlink>
      <w:r w:rsidR="000425B4">
        <w:rPr>
          <w:lang w:val="pl"/>
        </w:rPr>
        <w:t>[WI], nr 64886/01, ECHR 2006-V</w:t>
      </w:r>
    </w:p>
    <w:p w:rsidR="00B71A20" w:rsidRPr="000625F6" w:rsidRDefault="0093676E">
      <w:pPr>
        <w:pStyle w:val="Teksttreci0"/>
        <w:spacing w:after="0"/>
        <w:rPr>
          <w:lang w:val="pl-PL"/>
        </w:rPr>
      </w:pPr>
      <w:hyperlink r:id="rId2082" w:history="1">
        <w:r w:rsidR="000425B4">
          <w:rPr>
            <w:i/>
            <w:iCs/>
            <w:color w:val="0072BC"/>
            <w:lang w:val="pl"/>
          </w:rPr>
          <w:t>Çölgeçen i Inni p. Turcji</w:t>
        </w:r>
        <w:r w:rsidR="000425B4">
          <w:rPr>
            <w:lang w:val="pl"/>
          </w:rPr>
          <w:t>,</w:t>
        </w:r>
      </w:hyperlink>
      <w:r w:rsidR="000425B4">
        <w:rPr>
          <w:lang w:val="pl"/>
        </w:rPr>
        <w:t xml:space="preserve"> nr 50124/07 i 7 innych, 12 grudnia 2017 r.</w:t>
      </w:r>
    </w:p>
    <w:p w:rsidR="00B71A20" w:rsidRPr="000625F6" w:rsidRDefault="0093676E">
      <w:pPr>
        <w:pStyle w:val="Teksttreci0"/>
        <w:spacing w:after="0" w:line="230" w:lineRule="auto"/>
        <w:rPr>
          <w:lang w:val="pl-PL"/>
        </w:rPr>
      </w:pPr>
      <w:hyperlink r:id="rId2083" w:history="1">
        <w:r w:rsidR="000425B4">
          <w:rPr>
            <w:i/>
            <w:iCs/>
            <w:color w:val="0072BC"/>
            <w:lang w:val="pl"/>
          </w:rPr>
          <w:t>Colibaba p. Mołdawii</w:t>
        </w:r>
        <w:r w:rsidR="000425B4">
          <w:rPr>
            <w:lang w:val="pl"/>
          </w:rPr>
          <w:t>,</w:t>
        </w:r>
      </w:hyperlink>
      <w:r w:rsidR="000425B4">
        <w:rPr>
          <w:lang w:val="pl"/>
        </w:rPr>
        <w:t xml:space="preserve"> nr 29089/06, 23 października 2007 r.</w:t>
      </w:r>
    </w:p>
    <w:p w:rsidR="00B71A20" w:rsidRPr="000625F6" w:rsidRDefault="0093676E">
      <w:pPr>
        <w:pStyle w:val="Teksttreci0"/>
        <w:spacing w:after="0"/>
        <w:rPr>
          <w:lang w:val="pl-PL"/>
        </w:rPr>
      </w:pPr>
      <w:hyperlink r:id="rId2084" w:history="1">
        <w:r w:rsidR="000425B4">
          <w:rPr>
            <w:i/>
            <w:iCs/>
            <w:color w:val="0072BC"/>
            <w:lang w:val="pl"/>
          </w:rPr>
          <w:t xml:space="preserve">Collins i Akaziebie p. Szwecji </w:t>
        </w:r>
      </w:hyperlink>
      <w:r w:rsidR="000425B4">
        <w:rPr>
          <w:lang w:val="pl"/>
        </w:rPr>
        <w:t>(dec.), nr 23944/05, 8 marca 2007 r.</w:t>
      </w:r>
    </w:p>
    <w:p w:rsidR="00B71A20" w:rsidRDefault="0093676E">
      <w:pPr>
        <w:pStyle w:val="Teksttreci0"/>
        <w:spacing w:after="0"/>
      </w:pPr>
      <w:hyperlink r:id="rId2085" w:history="1">
        <w:r w:rsidR="000425B4" w:rsidRPr="000625F6">
          <w:rPr>
            <w:i/>
            <w:iCs/>
            <w:color w:val="0072BC"/>
            <w:lang w:val="en-GB"/>
          </w:rPr>
          <w:t>Communaut</w:t>
        </w:r>
        <w:r w:rsidR="00773877">
          <w:rPr>
            <w:i/>
            <w:iCs/>
            <w:color w:val="0072BC"/>
            <w:lang w:val="en-GB"/>
          </w:rPr>
          <w:t>é</w:t>
        </w:r>
        <w:r w:rsidR="000425B4" w:rsidRPr="000625F6">
          <w:rPr>
            <w:i/>
            <w:iCs/>
            <w:color w:val="0072BC"/>
            <w:lang w:val="en-GB"/>
          </w:rPr>
          <w:t xml:space="preserve"> genevoise d'action syndicale (CGAS) p. Szwajcarii</w:t>
        </w:r>
      </w:hyperlink>
      <w:r w:rsidR="000425B4" w:rsidRPr="000625F6">
        <w:rPr>
          <w:lang w:val="en-GB"/>
        </w:rPr>
        <w:t>, nr 21881/20, 15 marca 2022 r.</w:t>
      </w:r>
    </w:p>
    <w:p w:rsidR="00B71A20" w:rsidRDefault="0093676E">
      <w:pPr>
        <w:pStyle w:val="Teksttreci0"/>
        <w:spacing w:after="0"/>
      </w:pPr>
      <w:hyperlink r:id="rId2086" w:history="1">
        <w:r w:rsidR="000425B4" w:rsidRPr="000625F6">
          <w:rPr>
            <w:i/>
            <w:iCs/>
            <w:color w:val="0072BC"/>
            <w:lang w:val="en-GB"/>
          </w:rPr>
          <w:t>Confédération française démocratique du travail p. Wspólnotom Europejskim</w:t>
        </w:r>
        <w:r w:rsidR="000425B4" w:rsidRPr="000625F6">
          <w:rPr>
            <w:lang w:val="en-GB"/>
          </w:rPr>
          <w:t>,</w:t>
        </w:r>
      </w:hyperlink>
      <w:r w:rsidR="000425B4" w:rsidRPr="000625F6">
        <w:rPr>
          <w:lang w:val="en-GB"/>
        </w:rPr>
        <w:t xml:space="preserve"> nr 8030/77,</w:t>
      </w:r>
    </w:p>
    <w:p w:rsidR="00B71A20" w:rsidRPr="000625F6" w:rsidRDefault="000425B4">
      <w:pPr>
        <w:pStyle w:val="Teksttreci0"/>
        <w:spacing w:after="0"/>
        <w:ind w:firstLine="580"/>
        <w:rPr>
          <w:lang w:val="pl-PL"/>
        </w:rPr>
      </w:pPr>
      <w:r>
        <w:rPr>
          <w:lang w:val="pl"/>
        </w:rPr>
        <w:t>decyzja Komisji z dnia 10 lipca 1978 r., DR 13</w:t>
      </w:r>
    </w:p>
    <w:p w:rsidR="00B71A20" w:rsidRPr="000625F6" w:rsidRDefault="0093676E">
      <w:pPr>
        <w:pStyle w:val="Teksttreci0"/>
        <w:spacing w:after="0"/>
        <w:rPr>
          <w:lang w:val="pl-PL"/>
        </w:rPr>
      </w:pPr>
      <w:hyperlink r:id="rId2087" w:history="1">
        <w:r w:rsidR="000425B4">
          <w:rPr>
            <w:i/>
            <w:iCs/>
            <w:color w:val="0072BC"/>
            <w:lang w:val="pl"/>
          </w:rPr>
          <w:t xml:space="preserve">Connolly p. 15 państwom członkowskim Unii Europejskiej </w:t>
        </w:r>
      </w:hyperlink>
      <w:r w:rsidR="000425B4">
        <w:rPr>
          <w:lang w:val="pl"/>
        </w:rPr>
        <w:t>(dec.), nr 73274/01, 9 grudnia 2008 r.</w:t>
      </w:r>
    </w:p>
    <w:p w:rsidR="00B71A20" w:rsidRDefault="0093676E">
      <w:pPr>
        <w:pStyle w:val="Teksttreci0"/>
        <w:spacing w:after="0"/>
      </w:pPr>
      <w:hyperlink r:id="rId2088" w:history="1">
        <w:r w:rsidR="000425B4" w:rsidRPr="000625F6">
          <w:rPr>
            <w:i/>
            <w:iCs/>
            <w:color w:val="0072BC"/>
            <w:lang w:val="en-GB"/>
          </w:rPr>
          <w:t>Constantinescu p. Rumunii</w:t>
        </w:r>
        <w:r w:rsidR="000425B4" w:rsidRPr="000625F6">
          <w:rPr>
            <w:lang w:val="en-GB"/>
          </w:rPr>
          <w:t>,</w:t>
        </w:r>
      </w:hyperlink>
      <w:r w:rsidR="000425B4" w:rsidRPr="000625F6">
        <w:rPr>
          <w:lang w:val="en-GB"/>
        </w:rPr>
        <w:t xml:space="preserve"> nr 28871/95, ECHR 2000-VIII</w:t>
      </w:r>
    </w:p>
    <w:p w:rsidR="00B71A20" w:rsidRDefault="0093676E">
      <w:pPr>
        <w:pStyle w:val="Teksttreci0"/>
        <w:spacing w:after="0"/>
      </w:pPr>
      <w:hyperlink r:id="rId2089" w:history="1">
        <w:r w:rsidR="000425B4" w:rsidRPr="000625F6">
          <w:rPr>
            <w:i/>
            <w:iCs/>
            <w:color w:val="0072BC"/>
            <w:lang w:val="en-GB"/>
          </w:rPr>
          <w:t>Cooperatieve Producentenorganisatie van de Nederlandse Kokkelvisserij U.A. p. Holandii</w:t>
        </w:r>
      </w:hyperlink>
    </w:p>
    <w:p w:rsidR="00B71A20" w:rsidRPr="000625F6" w:rsidRDefault="000425B4">
      <w:pPr>
        <w:pStyle w:val="Teksttreci0"/>
        <w:spacing w:after="0"/>
        <w:ind w:firstLine="580"/>
        <w:jc w:val="both"/>
        <w:rPr>
          <w:lang w:val="pl-PL"/>
        </w:rPr>
      </w:pPr>
      <w:r>
        <w:rPr>
          <w:lang w:val="pl"/>
        </w:rPr>
        <w:t>(dec.), no. 13645/05, ECHR 2009</w:t>
      </w:r>
    </w:p>
    <w:p w:rsidR="00B71A20" w:rsidRPr="000625F6" w:rsidRDefault="0093676E">
      <w:pPr>
        <w:pStyle w:val="Teksttreci0"/>
        <w:spacing w:after="0"/>
        <w:rPr>
          <w:lang w:val="pl-PL"/>
        </w:rPr>
      </w:pPr>
      <w:hyperlink r:id="rId2090" w:history="1">
        <w:r w:rsidR="000425B4">
          <w:rPr>
            <w:i/>
            <w:iCs/>
            <w:color w:val="0072BC"/>
            <w:lang w:val="pl"/>
          </w:rPr>
          <w:t>Cooperativa Agricola Slobozia-Hanesei p. Mołdawii</w:t>
        </w:r>
        <w:r w:rsidR="000425B4">
          <w:rPr>
            <w:lang w:val="pl"/>
          </w:rPr>
          <w:t>,</w:t>
        </w:r>
      </w:hyperlink>
      <w:r w:rsidR="000425B4">
        <w:rPr>
          <w:lang w:val="pl"/>
        </w:rPr>
        <w:t xml:space="preserve"> nr 39745/02, 3 kwietnia 2007 r.</w:t>
      </w:r>
    </w:p>
    <w:p w:rsidR="00B71A20" w:rsidRPr="000625F6" w:rsidRDefault="0093676E">
      <w:pPr>
        <w:pStyle w:val="Teksttreci0"/>
        <w:spacing w:after="0"/>
        <w:rPr>
          <w:lang w:val="pl-PL"/>
        </w:rPr>
      </w:pPr>
      <w:hyperlink r:id="rId2091" w:history="1">
        <w:r w:rsidR="000425B4">
          <w:rPr>
            <w:i/>
            <w:iCs/>
            <w:color w:val="0072BC"/>
            <w:lang w:val="pl"/>
          </w:rPr>
          <w:t>Cordella i Inni p. Włochom</w:t>
        </w:r>
        <w:r w:rsidR="000425B4">
          <w:rPr>
            <w:lang w:val="pl"/>
          </w:rPr>
          <w:t xml:space="preserve">, </w:t>
        </w:r>
      </w:hyperlink>
      <w:r w:rsidR="000425B4">
        <w:rPr>
          <w:lang w:val="pl"/>
        </w:rPr>
        <w:t>nr 54414/13 i 54264/15, 24 stycznia 2019 r.</w:t>
      </w:r>
    </w:p>
    <w:p w:rsidR="00B71A20" w:rsidRPr="000625F6" w:rsidRDefault="0093676E">
      <w:pPr>
        <w:pStyle w:val="Teksttreci0"/>
        <w:spacing w:after="0"/>
        <w:rPr>
          <w:lang w:val="pl-PL"/>
        </w:rPr>
      </w:pPr>
      <w:hyperlink r:id="rId2092" w:history="1">
        <w:r w:rsidR="000425B4">
          <w:rPr>
            <w:i/>
            <w:iCs/>
            <w:color w:val="0072BC"/>
            <w:lang w:val="pl"/>
          </w:rPr>
          <w:t>Cotleţ p. Rumunii</w:t>
        </w:r>
        <w:r w:rsidR="000425B4">
          <w:rPr>
            <w:lang w:val="pl"/>
          </w:rPr>
          <w:t>,</w:t>
        </w:r>
      </w:hyperlink>
      <w:r w:rsidR="000425B4">
        <w:rPr>
          <w:lang w:val="pl"/>
        </w:rPr>
        <w:t xml:space="preserve"> nr 38565/97, 3 czerwca 2003 r.</w:t>
      </w:r>
    </w:p>
    <w:p w:rsidR="00B71A20" w:rsidRDefault="0093676E">
      <w:pPr>
        <w:pStyle w:val="Teksttreci0"/>
        <w:spacing w:after="0"/>
      </w:pPr>
      <w:hyperlink r:id="rId2093" w:history="1">
        <w:r w:rsidR="000425B4" w:rsidRPr="000625F6">
          <w:rPr>
            <w:i/>
            <w:iCs/>
            <w:color w:val="0072BC"/>
            <w:lang w:val="en-GB"/>
          </w:rPr>
          <w:t>Croatian Golf Federation p. Chorwacji</w:t>
        </w:r>
        <w:r w:rsidR="000425B4" w:rsidRPr="000625F6">
          <w:rPr>
            <w:lang w:val="en-GB"/>
          </w:rPr>
          <w:t>,</w:t>
        </w:r>
      </w:hyperlink>
      <w:r w:rsidR="000425B4" w:rsidRPr="000625F6">
        <w:rPr>
          <w:lang w:val="en-GB"/>
        </w:rPr>
        <w:t xml:space="preserve"> nr 66994/14, 17 grudnia 2020 r.</w:t>
      </w:r>
    </w:p>
    <w:p w:rsidR="00B71A20" w:rsidRPr="000625F6" w:rsidRDefault="0093676E">
      <w:pPr>
        <w:pStyle w:val="Teksttreci0"/>
        <w:spacing w:after="0"/>
        <w:rPr>
          <w:lang w:val="pl-PL"/>
        </w:rPr>
      </w:pPr>
      <w:hyperlink r:id="rId2094" w:history="1">
        <w:r w:rsidR="000425B4">
          <w:rPr>
            <w:i/>
            <w:iCs/>
            <w:color w:val="0072BC"/>
            <w:lang w:val="pl"/>
          </w:rPr>
          <w:t xml:space="preserve">Cudak p. Litwie </w:t>
        </w:r>
      </w:hyperlink>
      <w:r w:rsidR="000425B4">
        <w:rPr>
          <w:lang w:val="pl"/>
        </w:rPr>
        <w:t>[WI], nr 15869/02, ECHR 2010</w:t>
      </w:r>
    </w:p>
    <w:p w:rsidR="00B71A20" w:rsidRPr="000625F6" w:rsidRDefault="0093676E">
      <w:pPr>
        <w:pStyle w:val="Teksttreci0"/>
        <w:spacing w:after="0"/>
        <w:rPr>
          <w:lang w:val="pl-PL"/>
        </w:rPr>
      </w:pPr>
      <w:hyperlink r:id="rId2095" w:history="1">
        <w:r w:rsidR="000425B4">
          <w:rPr>
            <w:i/>
            <w:iCs/>
            <w:color w:val="0072BC"/>
            <w:lang w:val="pl"/>
          </w:rPr>
          <w:t>Cvetković p. Serbii</w:t>
        </w:r>
        <w:r w:rsidR="000425B4">
          <w:rPr>
            <w:lang w:val="pl"/>
          </w:rPr>
          <w:t>,</w:t>
        </w:r>
      </w:hyperlink>
      <w:r w:rsidR="000425B4">
        <w:rPr>
          <w:lang w:val="pl"/>
        </w:rPr>
        <w:t xml:space="preserve"> nr 17271/04, 10 czerwca 2008 r.</w:t>
      </w:r>
    </w:p>
    <w:p w:rsidR="00B71A20" w:rsidRPr="000625F6" w:rsidRDefault="0093676E">
      <w:pPr>
        <w:pStyle w:val="Teksttreci0"/>
        <w:spacing w:after="460"/>
        <w:rPr>
          <w:lang w:val="pl-PL"/>
        </w:rPr>
      </w:pPr>
      <w:hyperlink r:id="rId2096" w:history="1">
        <w:r w:rsidR="000425B4">
          <w:rPr>
            <w:i/>
            <w:iCs/>
            <w:color w:val="0072BC"/>
            <w:lang w:val="pl"/>
          </w:rPr>
          <w:t xml:space="preserve">Cypr p. Turcji </w:t>
        </w:r>
      </w:hyperlink>
      <w:r w:rsidR="000425B4">
        <w:rPr>
          <w:lang w:val="pl"/>
        </w:rPr>
        <w:t>[WI], nr 25781/94, ECHR 2001-IV</w:t>
      </w:r>
    </w:p>
    <w:p w:rsidR="00B71A20" w:rsidRPr="000625F6" w:rsidRDefault="000425B4">
      <w:pPr>
        <w:pStyle w:val="Teksttreci30"/>
        <w:spacing w:after="100"/>
        <w:rPr>
          <w:lang w:val="pl-PL"/>
        </w:rPr>
      </w:pPr>
      <w:r>
        <w:rPr>
          <w:lang w:val="pl"/>
        </w:rPr>
        <w:t>—D—</w:t>
      </w:r>
    </w:p>
    <w:p w:rsidR="00B71A20" w:rsidRPr="000625F6" w:rsidRDefault="0093676E">
      <w:pPr>
        <w:pStyle w:val="Teksttreci0"/>
        <w:spacing w:after="0"/>
        <w:rPr>
          <w:lang w:val="pl-PL"/>
        </w:rPr>
      </w:pPr>
      <w:hyperlink r:id="rId2097" w:history="1">
        <w:r w:rsidR="000425B4">
          <w:rPr>
            <w:i/>
            <w:iCs/>
            <w:color w:val="0072BC"/>
            <w:lang w:val="pl"/>
          </w:rPr>
          <w:t>D.B. p. Turcji</w:t>
        </w:r>
        <w:r w:rsidR="000425B4">
          <w:rPr>
            <w:lang w:val="pl"/>
          </w:rPr>
          <w:t>,</w:t>
        </w:r>
      </w:hyperlink>
      <w:r w:rsidR="000425B4">
        <w:rPr>
          <w:lang w:val="pl"/>
        </w:rPr>
        <w:t xml:space="preserve"> nr 33526/08, 13 lipca 2010 r.</w:t>
      </w:r>
    </w:p>
    <w:p w:rsidR="00B71A20" w:rsidRPr="000625F6" w:rsidRDefault="0093676E">
      <w:pPr>
        <w:pStyle w:val="Teksttreci0"/>
        <w:spacing w:after="0"/>
        <w:rPr>
          <w:lang w:val="pl-PL"/>
        </w:rPr>
      </w:pPr>
      <w:hyperlink r:id="rId2098" w:history="1">
        <w:r w:rsidR="000425B4">
          <w:rPr>
            <w:i/>
            <w:iCs/>
            <w:color w:val="0072BC"/>
            <w:lang w:val="pl"/>
          </w:rPr>
          <w:t xml:space="preserve">D.H. i Inni p. Czechom </w:t>
        </w:r>
      </w:hyperlink>
      <w:r w:rsidR="000425B4">
        <w:rPr>
          <w:lang w:val="pl"/>
        </w:rPr>
        <w:t>[WI], nr 57325/00, ECHR 2007-IV</w:t>
      </w:r>
    </w:p>
    <w:p w:rsidR="00B71A20" w:rsidRPr="000625F6" w:rsidRDefault="0093676E">
      <w:pPr>
        <w:pStyle w:val="Teksttreci0"/>
        <w:spacing w:after="0"/>
        <w:rPr>
          <w:lang w:val="pl-PL"/>
        </w:rPr>
      </w:pPr>
      <w:hyperlink r:id="rId2099" w:history="1">
        <w:r w:rsidR="000425B4">
          <w:rPr>
            <w:i/>
            <w:iCs/>
            <w:color w:val="0072BC"/>
            <w:lang w:val="pl"/>
          </w:rPr>
          <w:t xml:space="preserve">D.J. i A.-K.R. p. Rumunii </w:t>
        </w:r>
      </w:hyperlink>
      <w:r w:rsidR="000425B4">
        <w:rPr>
          <w:lang w:val="pl"/>
        </w:rPr>
        <w:t>(dec.), nr 34175/05, 20 października 2009 r.</w:t>
      </w:r>
    </w:p>
    <w:p w:rsidR="00B71A20" w:rsidRPr="000625F6" w:rsidRDefault="0093676E">
      <w:pPr>
        <w:pStyle w:val="Teksttreci0"/>
        <w:spacing w:after="0"/>
        <w:rPr>
          <w:lang w:val="pl-PL"/>
        </w:rPr>
      </w:pPr>
      <w:hyperlink r:id="rId2100" w:history="1">
        <w:r w:rsidR="000425B4">
          <w:rPr>
            <w:i/>
            <w:iCs/>
            <w:color w:val="0072BC"/>
            <w:lang w:val="pl"/>
          </w:rPr>
          <w:t xml:space="preserve">Dalban p. Rumunii </w:t>
        </w:r>
      </w:hyperlink>
      <w:r w:rsidR="000425B4">
        <w:rPr>
          <w:lang w:val="pl"/>
        </w:rPr>
        <w:t>[WI], nr 28114/95, ECHR 1999-VI</w:t>
      </w:r>
    </w:p>
    <w:p w:rsidR="00B71A20" w:rsidRPr="000625F6" w:rsidRDefault="0093676E">
      <w:pPr>
        <w:pStyle w:val="Teksttreci0"/>
        <w:spacing w:after="0"/>
        <w:rPr>
          <w:lang w:val="pl-PL"/>
        </w:rPr>
      </w:pPr>
      <w:hyperlink r:id="rId2101" w:history="1">
        <w:r w:rsidR="000425B4">
          <w:rPr>
            <w:i/>
            <w:iCs/>
            <w:color w:val="0072BC"/>
            <w:lang w:val="pl"/>
          </w:rPr>
          <w:t>Dalia p. Francji</w:t>
        </w:r>
        <w:r w:rsidR="000425B4">
          <w:rPr>
            <w:lang w:val="pl"/>
          </w:rPr>
          <w:t>,</w:t>
        </w:r>
      </w:hyperlink>
      <w:r w:rsidR="000425B4">
        <w:rPr>
          <w:lang w:val="pl"/>
        </w:rPr>
        <w:t xml:space="preserve"> 19 lutego 1998 r., </w:t>
      </w:r>
      <w:r w:rsidR="000425B4">
        <w:rPr>
          <w:i/>
          <w:iCs/>
          <w:lang w:val="pl"/>
        </w:rPr>
        <w:t>Raporty</w:t>
      </w:r>
      <w:r w:rsidR="000425B4">
        <w:rPr>
          <w:lang w:val="pl"/>
        </w:rPr>
        <w:t xml:space="preserve"> 1998-I</w:t>
      </w:r>
    </w:p>
    <w:p w:rsidR="00B71A20" w:rsidRPr="000625F6" w:rsidRDefault="0093676E">
      <w:pPr>
        <w:pStyle w:val="Teksttreci0"/>
        <w:spacing w:after="0"/>
        <w:rPr>
          <w:lang w:val="pl-PL"/>
        </w:rPr>
      </w:pPr>
      <w:hyperlink r:id="rId2102" w:history="1">
        <w:r w:rsidR="000425B4">
          <w:rPr>
            <w:i/>
            <w:iCs/>
            <w:color w:val="0072BC"/>
            <w:lang w:val="pl"/>
          </w:rPr>
          <w:t>Daniel Faulkner p. Wielkiej Brytanii</w:t>
        </w:r>
        <w:r w:rsidR="000425B4">
          <w:rPr>
            <w:lang w:val="pl"/>
          </w:rPr>
          <w:t>,</w:t>
        </w:r>
      </w:hyperlink>
      <w:r w:rsidR="000425B4">
        <w:rPr>
          <w:lang w:val="pl"/>
        </w:rPr>
        <w:t xml:space="preserve"> nr 68909/13, 6 października 2016 r.</w:t>
      </w:r>
    </w:p>
    <w:p w:rsidR="00B71A20" w:rsidRPr="000625F6" w:rsidRDefault="0093676E">
      <w:pPr>
        <w:pStyle w:val="Teksttreci0"/>
        <w:spacing w:after="0"/>
        <w:rPr>
          <w:lang w:val="pl-PL"/>
        </w:rPr>
      </w:pPr>
      <w:hyperlink r:id="rId2103" w:history="1">
        <w:r w:rsidR="000425B4">
          <w:rPr>
            <w:i/>
            <w:iCs/>
            <w:color w:val="0072BC"/>
            <w:lang w:val="pl"/>
          </w:rPr>
          <w:t>De Becker p. Belgii</w:t>
        </w:r>
        <w:r w:rsidR="000425B4">
          <w:rPr>
            <w:lang w:val="pl"/>
          </w:rPr>
          <w:t>,</w:t>
        </w:r>
      </w:hyperlink>
      <w:r w:rsidR="000425B4">
        <w:rPr>
          <w:lang w:val="pl"/>
        </w:rPr>
        <w:t xml:space="preserve"> nr 214/56, decyzja Komisji z dnia 9 czerwca 1958 r.</w:t>
      </w:r>
    </w:p>
    <w:p w:rsidR="00B71A20" w:rsidRPr="000625F6" w:rsidRDefault="0093676E" w:rsidP="00071350">
      <w:pPr>
        <w:pStyle w:val="Teksttreci0"/>
        <w:spacing w:after="0"/>
        <w:rPr>
          <w:lang w:val="pl-PL"/>
        </w:rPr>
      </w:pPr>
      <w:hyperlink r:id="rId2104" w:history="1">
        <w:r w:rsidR="000425B4">
          <w:rPr>
            <w:i/>
            <w:iCs/>
            <w:color w:val="0072BC"/>
            <w:lang w:val="pl"/>
          </w:rPr>
          <w:t>De Ieso p. Włochom</w:t>
        </w:r>
        <w:r w:rsidR="000425B4">
          <w:rPr>
            <w:lang w:val="pl"/>
          </w:rPr>
          <w:t>,</w:t>
        </w:r>
      </w:hyperlink>
      <w:r w:rsidR="000425B4">
        <w:rPr>
          <w:lang w:val="pl"/>
        </w:rPr>
        <w:t xml:space="preserve"> nr 34383/02, 24 kwietnia 2012 r.</w:t>
      </w:r>
    </w:p>
    <w:p w:rsidR="00B71A20" w:rsidRPr="000625F6" w:rsidRDefault="0093676E">
      <w:pPr>
        <w:pStyle w:val="Teksttreci0"/>
        <w:spacing w:after="0"/>
        <w:rPr>
          <w:lang w:val="pl-PL"/>
        </w:rPr>
      </w:pPr>
      <w:hyperlink r:id="rId2105" w:history="1">
        <w:r w:rsidR="000425B4">
          <w:rPr>
            <w:i/>
            <w:iCs/>
            <w:color w:val="0072BC"/>
            <w:lang w:val="pl"/>
          </w:rPr>
          <w:t>De Pace p. Włochom</w:t>
        </w:r>
        <w:r w:rsidR="000425B4">
          <w:rPr>
            <w:lang w:val="pl"/>
          </w:rPr>
          <w:t>,</w:t>
        </w:r>
      </w:hyperlink>
      <w:r w:rsidR="000425B4">
        <w:rPr>
          <w:lang w:val="pl"/>
        </w:rPr>
        <w:t xml:space="preserve"> nr 22728/03, 17 lipca 2008 r.</w:t>
      </w:r>
    </w:p>
    <w:p w:rsidR="00B71A20" w:rsidRDefault="0093676E">
      <w:pPr>
        <w:pStyle w:val="Teksttreci0"/>
        <w:spacing w:after="0"/>
      </w:pPr>
      <w:hyperlink r:id="rId2106" w:history="1">
        <w:r w:rsidR="000425B4" w:rsidRPr="000625F6">
          <w:rPr>
            <w:i/>
            <w:iCs/>
            <w:color w:val="0072BC"/>
            <w:lang w:val="en-GB"/>
          </w:rPr>
          <w:t>De Saedeleer p. Belgii</w:t>
        </w:r>
        <w:r w:rsidR="000425B4" w:rsidRPr="000625F6">
          <w:rPr>
            <w:lang w:val="en-GB"/>
          </w:rPr>
          <w:t>,</w:t>
        </w:r>
      </w:hyperlink>
      <w:r w:rsidR="000425B4" w:rsidRPr="000625F6">
        <w:rPr>
          <w:lang w:val="en-GB"/>
        </w:rPr>
        <w:t xml:space="preserve"> nr 27535/04, 24 lipca 2007 r.</w:t>
      </w:r>
    </w:p>
    <w:p w:rsidR="00B71A20" w:rsidRDefault="0093676E">
      <w:pPr>
        <w:pStyle w:val="Teksttreci0"/>
        <w:spacing w:after="0"/>
      </w:pPr>
      <w:hyperlink r:id="rId2107" w:history="1">
        <w:r w:rsidR="000425B4" w:rsidRPr="000625F6">
          <w:rPr>
            <w:i/>
            <w:iCs/>
            <w:color w:val="0072BC"/>
          </w:rPr>
          <w:t xml:space="preserve">De Tommaso p. Włochom </w:t>
        </w:r>
      </w:hyperlink>
      <w:r w:rsidR="000425B4" w:rsidRPr="000625F6">
        <w:t>[WI], nr 43395/09, 23 lutego 2017 r.</w:t>
      </w:r>
    </w:p>
    <w:p w:rsidR="00B71A20" w:rsidRDefault="0093676E">
      <w:pPr>
        <w:pStyle w:val="Teksttreci0"/>
        <w:spacing w:after="0"/>
      </w:pPr>
      <w:hyperlink r:id="rId2108" w:history="1">
        <w:r w:rsidR="000425B4" w:rsidRPr="000625F6">
          <w:rPr>
            <w:i/>
            <w:iCs/>
            <w:color w:val="0072BC"/>
          </w:rPr>
          <w:t>De Wilde, Ooms i Versyp p. Belgii</w:t>
        </w:r>
        <w:r w:rsidR="000425B4" w:rsidRPr="000625F6">
          <w:t>,</w:t>
        </w:r>
      </w:hyperlink>
      <w:r w:rsidR="000425B4" w:rsidRPr="000625F6">
        <w:t xml:space="preserve"> 18 czerwca 1971 r., Seria A nr 12</w:t>
      </w:r>
    </w:p>
    <w:p w:rsidR="00B71A20" w:rsidRPr="000625F6" w:rsidRDefault="0093676E">
      <w:pPr>
        <w:pStyle w:val="Teksttreci0"/>
        <w:spacing w:after="0" w:line="230" w:lineRule="auto"/>
        <w:rPr>
          <w:lang w:val="pl-PL"/>
        </w:rPr>
      </w:pPr>
      <w:hyperlink r:id="rId2109" w:history="1">
        <w:r w:rsidR="000425B4">
          <w:rPr>
            <w:i/>
            <w:iCs/>
            <w:color w:val="0072BC"/>
            <w:lang w:val="pl"/>
          </w:rPr>
          <w:t>Delecolle p. Francji</w:t>
        </w:r>
        <w:r w:rsidR="000425B4">
          <w:rPr>
            <w:lang w:val="pl"/>
          </w:rPr>
          <w:t>,</w:t>
        </w:r>
      </w:hyperlink>
      <w:r w:rsidR="000425B4">
        <w:rPr>
          <w:lang w:val="pl"/>
        </w:rPr>
        <w:t xml:space="preserve"> nr 37646/13, 25 października 2018 r.</w:t>
      </w:r>
    </w:p>
    <w:p w:rsidR="00B71A20" w:rsidRPr="000625F6" w:rsidRDefault="0093676E">
      <w:pPr>
        <w:pStyle w:val="Teksttreci0"/>
        <w:spacing w:after="0"/>
        <w:rPr>
          <w:lang w:val="pl-PL"/>
        </w:rPr>
      </w:pPr>
      <w:hyperlink r:id="rId2110" w:history="1">
        <w:r w:rsidR="000425B4">
          <w:rPr>
            <w:i/>
            <w:iCs/>
            <w:color w:val="0072BC"/>
            <w:lang w:val="pl"/>
          </w:rPr>
          <w:t xml:space="preserve">Demir i Baykara p. Turcji </w:t>
        </w:r>
      </w:hyperlink>
      <w:r w:rsidR="000425B4">
        <w:rPr>
          <w:lang w:val="pl"/>
        </w:rPr>
        <w:t>[WI], nr 34503/97, ECHR 2008</w:t>
      </w:r>
    </w:p>
    <w:p w:rsidR="00B71A20" w:rsidRPr="000625F6" w:rsidRDefault="0093676E">
      <w:pPr>
        <w:pStyle w:val="Teksttreci0"/>
        <w:spacing w:after="0"/>
        <w:rPr>
          <w:lang w:val="pl-PL"/>
        </w:rPr>
      </w:pPr>
      <w:hyperlink r:id="rId2111" w:history="1">
        <w:r w:rsidR="000425B4">
          <w:rPr>
            <w:i/>
            <w:iCs/>
            <w:color w:val="0072BC"/>
            <w:lang w:val="pl"/>
          </w:rPr>
          <w:t xml:space="preserve">Demirbaş i Inni p. Turcji </w:t>
        </w:r>
      </w:hyperlink>
      <w:r w:rsidR="000425B4">
        <w:rPr>
          <w:lang w:val="pl"/>
        </w:rPr>
        <w:t>(dec.), nr 1093/08 i 18 innych, 9 listopada 2010 r.</w:t>
      </w:r>
    </w:p>
    <w:p w:rsidR="00B71A20" w:rsidRPr="000625F6" w:rsidRDefault="0093676E">
      <w:pPr>
        <w:pStyle w:val="Teksttreci0"/>
        <w:spacing w:after="0"/>
        <w:rPr>
          <w:lang w:val="pl-PL"/>
        </w:rPr>
      </w:pPr>
      <w:hyperlink r:id="rId2112" w:history="1">
        <w:r w:rsidR="000425B4">
          <w:rPr>
            <w:i/>
            <w:iCs/>
            <w:color w:val="0072BC"/>
            <w:lang w:val="pl"/>
          </w:rPr>
          <w:t xml:space="preserve">Demokratyczna Republika Konga p. Belgii </w:t>
        </w:r>
      </w:hyperlink>
      <w:r w:rsidR="000425B4">
        <w:rPr>
          <w:lang w:val="pl"/>
        </w:rPr>
        <w:t>(dec.), nr 16554/19, 6 października 2020 r.</w:t>
      </w:r>
    </w:p>
    <w:p w:rsidR="00B71A20" w:rsidRPr="000625F6" w:rsidRDefault="0093676E">
      <w:pPr>
        <w:pStyle w:val="Teksttreci0"/>
        <w:spacing w:after="0"/>
        <w:rPr>
          <w:lang w:val="pl-PL"/>
        </w:rPr>
      </w:pPr>
      <w:hyperlink r:id="rId2113" w:history="1">
        <w:r w:rsidR="000425B4">
          <w:rPr>
            <w:i/>
            <w:iCs/>
            <w:color w:val="0072BC"/>
            <w:lang w:val="pl"/>
          </w:rPr>
          <w:t xml:space="preserve">Demopoulos i Inni p. Turcji </w:t>
        </w:r>
      </w:hyperlink>
      <w:r w:rsidR="000425B4">
        <w:rPr>
          <w:lang w:val="pl"/>
        </w:rPr>
        <w:t>(dec.) [WI], nr 46113/99 i 7 innych, ECHR 2010</w:t>
      </w:r>
    </w:p>
    <w:p w:rsidR="00B71A20" w:rsidRPr="000625F6" w:rsidRDefault="0093676E">
      <w:pPr>
        <w:pStyle w:val="Teksttreci0"/>
        <w:spacing w:after="0"/>
        <w:rPr>
          <w:lang w:val="pl-PL"/>
        </w:rPr>
      </w:pPr>
      <w:hyperlink r:id="rId2114" w:history="1">
        <w:r w:rsidR="000425B4">
          <w:rPr>
            <w:i/>
            <w:iCs/>
            <w:color w:val="0072BC"/>
            <w:lang w:val="pl"/>
          </w:rPr>
          <w:t xml:space="preserve">Denisov p. Ukrainie </w:t>
        </w:r>
      </w:hyperlink>
      <w:r w:rsidR="000425B4">
        <w:rPr>
          <w:lang w:val="pl"/>
        </w:rPr>
        <w:t>[WI], nr 76639/11, 25 września 2018 r.</w:t>
      </w:r>
    </w:p>
    <w:p w:rsidR="00B71A20" w:rsidRPr="000625F6" w:rsidRDefault="0093676E">
      <w:pPr>
        <w:pStyle w:val="Teksttreci0"/>
        <w:spacing w:after="0"/>
        <w:rPr>
          <w:lang w:val="pl-PL"/>
        </w:rPr>
      </w:pPr>
      <w:hyperlink r:id="rId2115" w:history="1">
        <w:r w:rsidR="000425B4">
          <w:rPr>
            <w:i/>
            <w:iCs/>
            <w:color w:val="0072BC"/>
            <w:lang w:val="pl"/>
          </w:rPr>
          <w:t xml:space="preserve">Dennis i Inni p. Wielkiej Brytanii </w:t>
        </w:r>
      </w:hyperlink>
      <w:r w:rsidR="000425B4">
        <w:rPr>
          <w:lang w:val="pl"/>
        </w:rPr>
        <w:t>(dec.), nr 76573/01, 2 lipca 2002 r.</w:t>
      </w:r>
    </w:p>
    <w:p w:rsidR="00B71A20" w:rsidRPr="000625F6" w:rsidRDefault="0093676E">
      <w:pPr>
        <w:pStyle w:val="Teksttreci0"/>
        <w:spacing w:after="0"/>
        <w:rPr>
          <w:lang w:val="pl-PL"/>
        </w:rPr>
      </w:pPr>
      <w:hyperlink r:id="rId2116" w:history="1">
        <w:r w:rsidR="000425B4">
          <w:rPr>
            <w:i/>
            <w:iCs/>
            <w:color w:val="0072BC"/>
            <w:lang w:val="pl"/>
          </w:rPr>
          <w:t xml:space="preserve">Depauw p. Belgii </w:t>
        </w:r>
      </w:hyperlink>
      <w:r w:rsidR="000425B4">
        <w:rPr>
          <w:lang w:val="pl"/>
        </w:rPr>
        <w:t>(dec.), nr 2115/04, 15 maja 2007 r.</w:t>
      </w:r>
    </w:p>
    <w:p w:rsidR="00B71A20" w:rsidRPr="000625F6" w:rsidRDefault="0093676E">
      <w:pPr>
        <w:pStyle w:val="Teksttreci0"/>
        <w:spacing w:after="0"/>
        <w:rPr>
          <w:lang w:val="pl-PL"/>
        </w:rPr>
      </w:pPr>
      <w:hyperlink r:id="rId2117" w:history="1">
        <w:r w:rsidR="000425B4">
          <w:rPr>
            <w:i/>
            <w:iCs/>
            <w:color w:val="0072BC"/>
            <w:lang w:val="pl"/>
          </w:rPr>
          <w:t xml:space="preserve">Di Salvo p. Włochom </w:t>
        </w:r>
      </w:hyperlink>
      <w:r w:rsidR="000425B4">
        <w:rPr>
          <w:lang w:val="pl"/>
        </w:rPr>
        <w:t>(dec.), nr 16098/05, 11 stycznia 2007 r.</w:t>
      </w:r>
    </w:p>
    <w:p w:rsidR="00B71A20" w:rsidRPr="000625F6" w:rsidRDefault="0093676E">
      <w:pPr>
        <w:pStyle w:val="Teksttreci0"/>
        <w:spacing w:after="0"/>
        <w:rPr>
          <w:lang w:val="pl-PL"/>
        </w:rPr>
      </w:pPr>
      <w:hyperlink r:id="rId2118" w:history="1">
        <w:r w:rsidR="000425B4">
          <w:rPr>
            <w:i/>
            <w:iCs/>
            <w:color w:val="0072BC"/>
            <w:lang w:val="pl"/>
          </w:rPr>
          <w:t xml:space="preserve">Di Sante p. Włochom </w:t>
        </w:r>
      </w:hyperlink>
      <w:r w:rsidR="000425B4">
        <w:rPr>
          <w:lang w:val="pl"/>
        </w:rPr>
        <w:t>(dec.), nr 56079/00, 24 czerwca 2004 r.</w:t>
      </w:r>
    </w:p>
    <w:p w:rsidR="00B71A20" w:rsidRPr="000625F6" w:rsidRDefault="0093676E">
      <w:pPr>
        <w:pStyle w:val="Teksttreci0"/>
        <w:spacing w:after="0"/>
        <w:rPr>
          <w:lang w:val="pl-PL"/>
        </w:rPr>
      </w:pPr>
      <w:hyperlink r:id="rId2119" w:history="1">
        <w:r w:rsidR="000425B4">
          <w:rPr>
            <w:i/>
            <w:iCs/>
            <w:color w:val="0072BC"/>
            <w:lang w:val="pl"/>
          </w:rPr>
          <w:t>Diacenco p. Rumunii</w:t>
        </w:r>
        <w:r w:rsidR="000425B4">
          <w:rPr>
            <w:lang w:val="pl"/>
          </w:rPr>
          <w:t>,</w:t>
        </w:r>
      </w:hyperlink>
      <w:r w:rsidR="000425B4">
        <w:rPr>
          <w:lang w:val="pl"/>
        </w:rPr>
        <w:t xml:space="preserve"> nr 124/04, 7 lutego 2012 r.</w:t>
      </w:r>
    </w:p>
    <w:p w:rsidR="00B71A20" w:rsidRPr="000625F6" w:rsidRDefault="0093676E">
      <w:pPr>
        <w:pStyle w:val="Teksttreci0"/>
        <w:spacing w:after="0"/>
        <w:rPr>
          <w:lang w:val="pl-PL"/>
        </w:rPr>
      </w:pPr>
      <w:hyperlink r:id="rId2120" w:history="1">
        <w:r w:rsidR="000425B4">
          <w:rPr>
            <w:i/>
            <w:iCs/>
            <w:color w:val="0072BC"/>
            <w:lang w:val="pl"/>
          </w:rPr>
          <w:t>Dimitar Yanakiev p. Bułgarii (nr 2)</w:t>
        </w:r>
        <w:r w:rsidR="000425B4">
          <w:rPr>
            <w:lang w:val="pl"/>
          </w:rPr>
          <w:t>,</w:t>
        </w:r>
      </w:hyperlink>
      <w:r w:rsidR="000425B4">
        <w:rPr>
          <w:lang w:val="pl"/>
        </w:rPr>
        <w:t xml:space="preserve"> nr 50346/07, 31 marca 2016 r.</w:t>
      </w:r>
    </w:p>
    <w:p w:rsidR="00B71A20" w:rsidRPr="000625F6" w:rsidRDefault="0093676E">
      <w:pPr>
        <w:pStyle w:val="Teksttreci0"/>
        <w:spacing w:after="0"/>
        <w:rPr>
          <w:lang w:val="pl-PL"/>
        </w:rPr>
      </w:pPr>
      <w:hyperlink r:id="rId2121" w:history="1">
        <w:r w:rsidR="000425B4">
          <w:rPr>
            <w:i/>
            <w:iCs/>
            <w:color w:val="0072BC"/>
            <w:lang w:val="pl"/>
          </w:rPr>
          <w:t xml:space="preserve">Dimitras i Inni p. Grecji </w:t>
        </w:r>
      </w:hyperlink>
      <w:r w:rsidR="000425B4">
        <w:rPr>
          <w:lang w:val="pl"/>
        </w:rPr>
        <w:t>(dec), nr 59573/09 i 65211/09, 4 lipca 2017 r.</w:t>
      </w:r>
    </w:p>
    <w:p w:rsidR="00B71A20" w:rsidRPr="000625F6" w:rsidRDefault="0093676E">
      <w:pPr>
        <w:pStyle w:val="Teksttreci0"/>
        <w:spacing w:after="0"/>
        <w:rPr>
          <w:lang w:val="pl-PL"/>
        </w:rPr>
      </w:pPr>
      <w:hyperlink r:id="rId2122" w:history="1">
        <w:r w:rsidR="000425B4">
          <w:rPr>
            <w:i/>
            <w:iCs/>
            <w:color w:val="0072BC"/>
            <w:lang w:val="pl"/>
          </w:rPr>
          <w:t>Dimitrescu p. Rumunii</w:t>
        </w:r>
        <w:r w:rsidR="000425B4">
          <w:rPr>
            <w:lang w:val="pl"/>
          </w:rPr>
          <w:t>,</w:t>
        </w:r>
      </w:hyperlink>
      <w:r w:rsidR="000425B4">
        <w:rPr>
          <w:lang w:val="pl"/>
        </w:rPr>
        <w:t xml:space="preserve"> nr 5629/03 i 3028/04, 3 czerwca 2008 r.</w:t>
      </w:r>
    </w:p>
    <w:p w:rsidR="00B71A20" w:rsidRPr="000625F6" w:rsidRDefault="0093676E">
      <w:pPr>
        <w:pStyle w:val="Teksttreci0"/>
        <w:spacing w:after="0"/>
        <w:rPr>
          <w:lang w:val="pl-PL"/>
        </w:rPr>
      </w:pPr>
      <w:hyperlink r:id="rId2123" w:history="1">
        <w:r w:rsidR="000425B4">
          <w:rPr>
            <w:i/>
            <w:iCs/>
            <w:color w:val="0072BC"/>
            <w:lang w:val="pl"/>
          </w:rPr>
          <w:t>Dimo Dimov i Inni p. Bułgarii</w:t>
        </w:r>
        <w:r w:rsidR="000425B4">
          <w:rPr>
            <w:lang w:val="pl"/>
          </w:rPr>
          <w:t>,</w:t>
        </w:r>
      </w:hyperlink>
      <w:r w:rsidR="000425B4">
        <w:rPr>
          <w:lang w:val="pl"/>
        </w:rPr>
        <w:t xml:space="preserve"> nr 30044/10, 7 lipca 2020 r.</w:t>
      </w:r>
    </w:p>
    <w:p w:rsidR="00B71A20" w:rsidRPr="000625F6" w:rsidRDefault="0093676E">
      <w:pPr>
        <w:pStyle w:val="Teksttreci0"/>
        <w:spacing w:after="0"/>
        <w:rPr>
          <w:lang w:val="pl-PL"/>
        </w:rPr>
      </w:pPr>
      <w:hyperlink r:id="rId2124" w:history="1">
        <w:r w:rsidR="000425B4">
          <w:rPr>
            <w:i/>
            <w:iCs/>
            <w:color w:val="0072BC"/>
            <w:lang w:val="pl"/>
          </w:rPr>
          <w:t xml:space="preserve">Dinchev p. Bułgarii </w:t>
        </w:r>
      </w:hyperlink>
      <w:r w:rsidR="000425B4">
        <w:rPr>
          <w:lang w:val="pl"/>
        </w:rPr>
        <w:t>(dec.), nr 17220/09, 21 listopada 2017 r.</w:t>
      </w:r>
    </w:p>
    <w:p w:rsidR="00B71A20" w:rsidRPr="000625F6" w:rsidRDefault="0093676E">
      <w:pPr>
        <w:pStyle w:val="Teksttreci0"/>
        <w:spacing w:after="0"/>
        <w:rPr>
          <w:lang w:val="pl-PL"/>
        </w:rPr>
      </w:pPr>
      <w:hyperlink r:id="rId2125" w:history="1">
        <w:r w:rsidR="000425B4">
          <w:rPr>
            <w:i/>
            <w:iCs/>
            <w:color w:val="0072BC"/>
            <w:lang w:val="pl"/>
          </w:rPr>
          <w:t>Dink p. Turcji</w:t>
        </w:r>
        <w:r w:rsidR="000425B4">
          <w:rPr>
            <w:lang w:val="pl"/>
          </w:rPr>
          <w:t>,</w:t>
        </w:r>
      </w:hyperlink>
      <w:r w:rsidR="000425B4">
        <w:rPr>
          <w:lang w:val="pl"/>
        </w:rPr>
        <w:t xml:space="preserve"> nr 2668/07 i 4 inne, 14 września 2010 r.</w:t>
      </w:r>
    </w:p>
    <w:p w:rsidR="00B71A20" w:rsidRPr="000625F6" w:rsidRDefault="0093676E">
      <w:pPr>
        <w:pStyle w:val="Teksttreci0"/>
        <w:spacing w:after="0"/>
        <w:rPr>
          <w:lang w:val="pl-PL"/>
        </w:rPr>
      </w:pPr>
      <w:hyperlink r:id="rId2126" w:history="1">
        <w:r w:rsidR="000425B4">
          <w:rPr>
            <w:i/>
            <w:iCs/>
            <w:color w:val="0072BC"/>
            <w:lang w:val="pl"/>
          </w:rPr>
          <w:t xml:space="preserve">Dîrjan i Ștefan p. Rumunii </w:t>
        </w:r>
      </w:hyperlink>
      <w:r w:rsidR="000425B4">
        <w:rPr>
          <w:lang w:val="pl"/>
        </w:rPr>
        <w:t>(dec.), nr 14224/15 i 50977/15, 15 kwietnia 2020 r.</w:t>
      </w:r>
    </w:p>
    <w:p w:rsidR="00B71A20" w:rsidRPr="000625F6" w:rsidRDefault="0093676E">
      <w:pPr>
        <w:pStyle w:val="Teksttreci0"/>
        <w:spacing w:after="0"/>
        <w:rPr>
          <w:lang w:val="pl-PL"/>
        </w:rPr>
      </w:pPr>
      <w:hyperlink r:id="rId2127" w:history="1">
        <w:r w:rsidR="000425B4">
          <w:rPr>
            <w:i/>
            <w:iCs/>
            <w:color w:val="0072BC"/>
            <w:lang w:val="pl"/>
          </w:rPr>
          <w:t xml:space="preserve">Djokaba Lambi Longa p. Holandii </w:t>
        </w:r>
      </w:hyperlink>
      <w:r w:rsidR="000425B4">
        <w:rPr>
          <w:lang w:val="pl"/>
        </w:rPr>
        <w:t>(dec.), nr 33917/12, ECHR 2012</w:t>
      </w:r>
    </w:p>
    <w:p w:rsidR="00B71A20" w:rsidRPr="000625F6" w:rsidRDefault="0093676E">
      <w:pPr>
        <w:pStyle w:val="Teksttreci0"/>
        <w:spacing w:after="0"/>
        <w:rPr>
          <w:lang w:val="pl-PL"/>
        </w:rPr>
      </w:pPr>
      <w:hyperlink r:id="rId2128" w:history="1">
        <w:r w:rsidR="000425B4">
          <w:rPr>
            <w:i/>
            <w:iCs/>
            <w:color w:val="0072BC"/>
            <w:lang w:val="pl"/>
          </w:rPr>
          <w:t xml:space="preserve">Doğan i Çakmak p. Turcji </w:t>
        </w:r>
      </w:hyperlink>
      <w:r w:rsidR="000425B4">
        <w:rPr>
          <w:lang w:val="pl"/>
        </w:rPr>
        <w:t>(dec.), nr 28484/10 i 58223/10, 14 maja 2019 r.</w:t>
      </w:r>
    </w:p>
    <w:p w:rsidR="00B71A20" w:rsidRPr="000625F6" w:rsidRDefault="0093676E">
      <w:pPr>
        <w:pStyle w:val="Teksttreci0"/>
        <w:spacing w:after="0" w:line="230" w:lineRule="auto"/>
        <w:rPr>
          <w:lang w:val="pl-PL"/>
        </w:rPr>
      </w:pPr>
      <w:hyperlink r:id="rId2129" w:history="1">
        <w:r w:rsidR="000425B4">
          <w:rPr>
            <w:i/>
            <w:iCs/>
            <w:color w:val="0072BC"/>
            <w:lang w:val="pl"/>
          </w:rPr>
          <w:t>Döner i Inni p. Turcji</w:t>
        </w:r>
        <w:r w:rsidR="000425B4">
          <w:rPr>
            <w:lang w:val="pl"/>
          </w:rPr>
          <w:t xml:space="preserve">, </w:t>
        </w:r>
      </w:hyperlink>
      <w:r w:rsidR="000425B4">
        <w:rPr>
          <w:lang w:val="pl"/>
        </w:rPr>
        <w:t>nr 29994/02, 7 marca 2017 r.</w:t>
      </w:r>
    </w:p>
    <w:p w:rsidR="00B71A20" w:rsidRPr="000625F6" w:rsidRDefault="0093676E">
      <w:pPr>
        <w:pStyle w:val="Teksttreci0"/>
        <w:spacing w:after="0"/>
        <w:rPr>
          <w:lang w:val="pl-PL"/>
        </w:rPr>
      </w:pPr>
      <w:hyperlink r:id="rId2130" w:history="1">
        <w:r w:rsidR="000425B4">
          <w:rPr>
            <w:i/>
            <w:iCs/>
            <w:color w:val="0072BC"/>
            <w:lang w:val="pl"/>
          </w:rPr>
          <w:t>Dos Santos Calado i Inni p. Portugalii</w:t>
        </w:r>
        <w:r w:rsidR="000425B4">
          <w:rPr>
            <w:lang w:val="pl"/>
          </w:rPr>
          <w:t>,</w:t>
        </w:r>
      </w:hyperlink>
      <w:r w:rsidR="000425B4">
        <w:rPr>
          <w:lang w:val="pl"/>
        </w:rPr>
        <w:t xml:space="preserve"> nr 55997/14 i 3 inne, 31 marca 2020 r.</w:t>
      </w:r>
    </w:p>
    <w:p w:rsidR="00B71A20" w:rsidRPr="000625F6" w:rsidRDefault="0093676E">
      <w:pPr>
        <w:pStyle w:val="Teksttreci0"/>
        <w:spacing w:after="0"/>
        <w:rPr>
          <w:lang w:val="pl-PL"/>
        </w:rPr>
      </w:pPr>
      <w:hyperlink r:id="rId2131" w:history="1">
        <w:r w:rsidR="000425B4">
          <w:rPr>
            <w:i/>
            <w:iCs/>
            <w:color w:val="0072BC"/>
            <w:lang w:val="pl"/>
          </w:rPr>
          <w:t xml:space="preserve">Döşemealtı Belediyesi p. Turcji </w:t>
        </w:r>
      </w:hyperlink>
      <w:r w:rsidR="000425B4">
        <w:rPr>
          <w:lang w:val="pl"/>
        </w:rPr>
        <w:t>(dec.), nr 50108/06, 23 marca 2010 r.</w:t>
      </w:r>
    </w:p>
    <w:p w:rsidR="00B71A20" w:rsidRPr="000625F6" w:rsidRDefault="0093676E">
      <w:pPr>
        <w:pStyle w:val="Teksttreci0"/>
        <w:spacing w:after="0"/>
        <w:rPr>
          <w:lang w:val="pl-PL"/>
        </w:rPr>
      </w:pPr>
      <w:hyperlink r:id="rId2132" w:history="1">
        <w:r w:rsidR="000425B4">
          <w:rPr>
            <w:i/>
            <w:iCs/>
            <w:color w:val="0072BC"/>
            <w:lang w:val="pl"/>
          </w:rPr>
          <w:t xml:space="preserve">Doshuyeva i Yusupov p. Rosji </w:t>
        </w:r>
      </w:hyperlink>
      <w:r w:rsidR="000425B4">
        <w:rPr>
          <w:lang w:val="pl"/>
        </w:rPr>
        <w:t>(dec.), nr 58055/10, 31 maja 2016 r.</w:t>
      </w:r>
    </w:p>
    <w:p w:rsidR="00B71A20" w:rsidRPr="000625F6" w:rsidRDefault="0093676E">
      <w:pPr>
        <w:pStyle w:val="Teksttreci0"/>
        <w:spacing w:after="0"/>
        <w:rPr>
          <w:lang w:val="pl-PL"/>
        </w:rPr>
      </w:pPr>
      <w:hyperlink r:id="rId2133" w:history="1">
        <w:r w:rsidR="000425B4">
          <w:rPr>
            <w:i/>
            <w:iCs/>
            <w:color w:val="0072BC"/>
            <w:lang w:val="pl"/>
          </w:rPr>
          <w:t xml:space="preserve">Drijfhout p. Holandii </w:t>
        </w:r>
      </w:hyperlink>
      <w:r w:rsidR="000425B4">
        <w:rPr>
          <w:lang w:val="pl"/>
        </w:rPr>
        <w:t>(dec.), nr 51721/09, 22 lutego 2011 r.</w:t>
      </w:r>
    </w:p>
    <w:p w:rsidR="00B71A20" w:rsidRPr="000625F6" w:rsidRDefault="0093676E">
      <w:pPr>
        <w:pStyle w:val="Teksttreci0"/>
        <w:spacing w:after="0"/>
        <w:rPr>
          <w:lang w:val="pl-PL"/>
        </w:rPr>
      </w:pPr>
      <w:hyperlink r:id="rId2134" w:history="1">
        <w:r w:rsidR="000425B4">
          <w:rPr>
            <w:i/>
            <w:iCs/>
            <w:color w:val="0072BC"/>
            <w:lang w:val="pl"/>
          </w:rPr>
          <w:t>Drozd i Janousek p. Francji i Hiszpanii</w:t>
        </w:r>
        <w:r w:rsidR="000425B4">
          <w:rPr>
            <w:lang w:val="pl"/>
          </w:rPr>
          <w:t>,</w:t>
        </w:r>
      </w:hyperlink>
      <w:r w:rsidR="000425B4">
        <w:rPr>
          <w:lang w:val="pl"/>
        </w:rPr>
        <w:t xml:space="preserve"> 26 czerwca 1992, Seria A nr 240</w:t>
      </w:r>
    </w:p>
    <w:p w:rsidR="00B71A20" w:rsidRPr="000625F6" w:rsidRDefault="0093676E">
      <w:pPr>
        <w:pStyle w:val="Teksttreci0"/>
        <w:spacing w:after="0"/>
        <w:rPr>
          <w:lang w:val="pl-PL"/>
        </w:rPr>
      </w:pPr>
      <w:hyperlink r:id="rId2135" w:history="1">
        <w:r w:rsidR="000425B4">
          <w:rPr>
            <w:i/>
            <w:iCs/>
            <w:color w:val="0072BC"/>
            <w:lang w:val="pl"/>
          </w:rPr>
          <w:t xml:space="preserve">Društvo za varstvo upnikov p. Słowenii </w:t>
        </w:r>
      </w:hyperlink>
      <w:r w:rsidR="000425B4">
        <w:rPr>
          <w:lang w:val="pl"/>
        </w:rPr>
        <w:t>(dec.), nr 66433/13, 21 listopada 2017 r.</w:t>
      </w:r>
    </w:p>
    <w:p w:rsidR="00B71A20" w:rsidRPr="000625F6" w:rsidRDefault="0093676E">
      <w:pPr>
        <w:pStyle w:val="Teksttreci0"/>
        <w:spacing w:after="0"/>
        <w:rPr>
          <w:lang w:val="pl-PL"/>
        </w:rPr>
      </w:pPr>
      <w:hyperlink r:id="rId2136" w:history="1">
        <w:r w:rsidR="000425B4">
          <w:rPr>
            <w:i/>
            <w:iCs/>
            <w:color w:val="0072BC"/>
            <w:lang w:val="pl"/>
          </w:rPr>
          <w:t>Dubovtsev i Inni p. Ukrainie</w:t>
        </w:r>
        <w:r w:rsidR="000425B4">
          <w:rPr>
            <w:lang w:val="pl"/>
          </w:rPr>
          <w:t>,</w:t>
        </w:r>
      </w:hyperlink>
      <w:r w:rsidR="000425B4">
        <w:rPr>
          <w:lang w:val="pl"/>
        </w:rPr>
        <w:t xml:space="preserve"> nr 21429/14 i 9 innych, 21 stycznia 2021 r.</w:t>
      </w:r>
    </w:p>
    <w:p w:rsidR="00B71A20" w:rsidRPr="000625F6" w:rsidRDefault="0093676E">
      <w:pPr>
        <w:pStyle w:val="Teksttreci0"/>
        <w:spacing w:after="0"/>
        <w:rPr>
          <w:lang w:val="pl-PL"/>
        </w:rPr>
      </w:pPr>
      <w:hyperlink r:id="rId2137" w:history="1">
        <w:r w:rsidR="000425B4">
          <w:rPr>
            <w:i/>
            <w:iCs/>
            <w:color w:val="0072BC"/>
            <w:lang w:val="pl"/>
          </w:rPr>
          <w:t xml:space="preserve">Dubská i Krejzová p. Czechom </w:t>
        </w:r>
      </w:hyperlink>
      <w:r w:rsidR="000425B4">
        <w:rPr>
          <w:lang w:val="pl"/>
        </w:rPr>
        <w:t>[WI], nr 28859/11 i 28473/12, 15 listopada 2016 r.</w:t>
      </w:r>
    </w:p>
    <w:p w:rsidR="00B71A20" w:rsidRPr="000625F6" w:rsidRDefault="0093676E">
      <w:pPr>
        <w:pStyle w:val="Teksttreci0"/>
        <w:spacing w:after="0"/>
        <w:rPr>
          <w:lang w:val="pl-PL"/>
        </w:rPr>
      </w:pPr>
      <w:hyperlink r:id="rId2138" w:history="1">
        <w:r w:rsidR="000425B4">
          <w:rPr>
            <w:i/>
            <w:iCs/>
            <w:color w:val="0072BC"/>
            <w:lang w:val="pl"/>
          </w:rPr>
          <w:t>Dudek p. Niemcom</w:t>
        </w:r>
        <w:r w:rsidR="000425B4">
          <w:rPr>
            <w:color w:val="0072BC"/>
            <w:lang w:val="pl"/>
          </w:rPr>
          <w:t xml:space="preserve"> </w:t>
        </w:r>
      </w:hyperlink>
      <w:r w:rsidR="000425B4">
        <w:rPr>
          <w:lang w:val="pl"/>
        </w:rPr>
        <w:t>(dec.), nr 12977/09 i 4 inne, 23 listopada 2010 r.</w:t>
      </w:r>
    </w:p>
    <w:p w:rsidR="00B71A20" w:rsidRPr="000625F6" w:rsidRDefault="0093676E">
      <w:pPr>
        <w:pStyle w:val="Teksttreci0"/>
        <w:spacing w:after="0"/>
        <w:rPr>
          <w:lang w:val="pl-PL"/>
        </w:rPr>
      </w:pPr>
      <w:hyperlink r:id="rId2139" w:history="1">
        <w:r w:rsidR="000425B4">
          <w:rPr>
            <w:i/>
            <w:iCs/>
            <w:color w:val="0072BC"/>
            <w:lang w:val="pl"/>
          </w:rPr>
          <w:t>Dudgeon p. Wielkiej Brytanii</w:t>
        </w:r>
        <w:r w:rsidR="000425B4">
          <w:rPr>
            <w:lang w:val="pl"/>
          </w:rPr>
          <w:t>,</w:t>
        </w:r>
      </w:hyperlink>
      <w:r w:rsidR="000425B4">
        <w:rPr>
          <w:lang w:val="pl"/>
        </w:rPr>
        <w:t xml:space="preserve"> 22 października 1981 r., Seria A nr 45</w:t>
      </w:r>
    </w:p>
    <w:p w:rsidR="00B71A20" w:rsidRPr="000625F6" w:rsidRDefault="0093676E">
      <w:pPr>
        <w:pStyle w:val="Teksttreci0"/>
        <w:spacing w:after="0"/>
        <w:rPr>
          <w:lang w:val="pl-PL"/>
        </w:rPr>
      </w:pPr>
      <w:hyperlink r:id="rId2140" w:history="1">
        <w:r w:rsidR="000425B4">
          <w:rPr>
            <w:i/>
            <w:iCs/>
            <w:color w:val="0072BC"/>
            <w:lang w:val="pl"/>
          </w:rPr>
          <w:t>Dukmedjian p. Francji</w:t>
        </w:r>
        <w:r w:rsidR="000425B4">
          <w:rPr>
            <w:lang w:val="pl"/>
          </w:rPr>
          <w:t>,</w:t>
        </w:r>
      </w:hyperlink>
      <w:r w:rsidR="000425B4">
        <w:rPr>
          <w:lang w:val="pl"/>
        </w:rPr>
        <w:t xml:space="preserve"> nr 60495/00, 31 stycznia 2006 r.</w:t>
      </w:r>
    </w:p>
    <w:p w:rsidR="00B71A20" w:rsidRPr="000625F6" w:rsidRDefault="0093676E">
      <w:pPr>
        <w:pStyle w:val="Teksttreci0"/>
        <w:spacing w:after="0"/>
        <w:rPr>
          <w:lang w:val="pl-PL"/>
        </w:rPr>
      </w:pPr>
      <w:hyperlink r:id="rId2141" w:history="1">
        <w:r w:rsidR="000425B4">
          <w:rPr>
            <w:i/>
            <w:iCs/>
            <w:color w:val="0072BC"/>
            <w:lang w:val="pl"/>
          </w:rPr>
          <w:t xml:space="preserve">Dumpe p. Łotwie </w:t>
        </w:r>
      </w:hyperlink>
      <w:r w:rsidR="000425B4">
        <w:rPr>
          <w:lang w:val="pl"/>
        </w:rPr>
        <w:t>(dec.), nr 71506/13, 16 października 2018 r.</w:t>
      </w:r>
    </w:p>
    <w:p w:rsidR="00B71A20" w:rsidRPr="000625F6" w:rsidRDefault="0093676E">
      <w:pPr>
        <w:pStyle w:val="Teksttreci0"/>
        <w:spacing w:after="0"/>
        <w:rPr>
          <w:lang w:val="pl-PL"/>
        </w:rPr>
      </w:pPr>
      <w:hyperlink r:id="rId2142" w:history="1">
        <w:r w:rsidR="000425B4">
          <w:rPr>
            <w:i/>
            <w:iCs/>
            <w:color w:val="0072BC"/>
            <w:lang w:val="pl"/>
          </w:rPr>
          <w:t xml:space="preserve">Duringer i Inni p. Francji </w:t>
        </w:r>
      </w:hyperlink>
      <w:r w:rsidR="000425B4">
        <w:rPr>
          <w:lang w:val="pl"/>
        </w:rPr>
        <w:t>(dec.), nr 61164/00 i 18589/02, ECHR 2003-II</w:t>
      </w:r>
    </w:p>
    <w:p w:rsidR="00B71A20" w:rsidRPr="000625F6" w:rsidRDefault="0093676E">
      <w:pPr>
        <w:pStyle w:val="Teksttreci0"/>
        <w:spacing w:after="0"/>
        <w:rPr>
          <w:lang w:val="pl-PL"/>
        </w:rPr>
      </w:pPr>
      <w:hyperlink r:id="rId2143" w:history="1">
        <w:r w:rsidR="000425B4">
          <w:rPr>
            <w:i/>
            <w:iCs/>
            <w:color w:val="0072BC"/>
            <w:lang w:val="pl"/>
          </w:rPr>
          <w:t>Durini p. Włochom</w:t>
        </w:r>
        <w:r w:rsidR="000425B4">
          <w:rPr>
            <w:lang w:val="pl"/>
          </w:rPr>
          <w:t>,</w:t>
        </w:r>
      </w:hyperlink>
      <w:r w:rsidR="000425B4">
        <w:rPr>
          <w:lang w:val="pl"/>
        </w:rPr>
        <w:t xml:space="preserve"> nr 19217/91, Decyzja Komisji z dnia 12 stycznia 1994 r., DR 76</w:t>
      </w:r>
    </w:p>
    <w:p w:rsidR="00B71A20" w:rsidRPr="000625F6" w:rsidRDefault="0093676E">
      <w:pPr>
        <w:pStyle w:val="Teksttreci0"/>
        <w:spacing w:after="0"/>
        <w:rPr>
          <w:lang w:val="pl-PL"/>
        </w:rPr>
      </w:pPr>
      <w:hyperlink r:id="rId2144" w:history="1">
        <w:r w:rsidR="000425B4">
          <w:rPr>
            <w:i/>
            <w:iCs/>
            <w:color w:val="0072BC"/>
            <w:lang w:val="pl"/>
          </w:rPr>
          <w:t>Dvořáček i Dvořáčková p. Słowacji</w:t>
        </w:r>
        <w:r w:rsidR="000425B4">
          <w:rPr>
            <w:lang w:val="pl"/>
          </w:rPr>
          <w:t>,</w:t>
        </w:r>
      </w:hyperlink>
      <w:r w:rsidR="000425B4">
        <w:rPr>
          <w:lang w:val="pl"/>
        </w:rPr>
        <w:t xml:space="preserve"> nr 30754/04, 28 lipca 2009 r.</w:t>
      </w:r>
    </w:p>
    <w:p w:rsidR="00B71A20" w:rsidRPr="000625F6" w:rsidRDefault="0093676E">
      <w:pPr>
        <w:pStyle w:val="Teksttreci0"/>
        <w:spacing w:after="460"/>
        <w:rPr>
          <w:lang w:val="pl-PL"/>
        </w:rPr>
      </w:pPr>
      <w:hyperlink r:id="rId2145" w:history="1">
        <w:r w:rsidR="000425B4">
          <w:rPr>
            <w:i/>
            <w:iCs/>
            <w:color w:val="0072BC"/>
            <w:lang w:val="pl"/>
          </w:rPr>
          <w:t>Dzidzava p. Rosji</w:t>
        </w:r>
        <w:r w:rsidR="000425B4">
          <w:rPr>
            <w:lang w:val="pl"/>
          </w:rPr>
          <w:t>,</w:t>
        </w:r>
      </w:hyperlink>
      <w:r w:rsidR="000425B4">
        <w:rPr>
          <w:lang w:val="pl"/>
        </w:rPr>
        <w:t xml:space="preserve"> nr 16363/07, 20 grudnia 2016 r.</w:t>
      </w:r>
    </w:p>
    <w:p w:rsidR="00B71A20" w:rsidRPr="000625F6" w:rsidRDefault="000425B4">
      <w:pPr>
        <w:pStyle w:val="Teksttreci30"/>
        <w:spacing w:after="100"/>
        <w:rPr>
          <w:lang w:val="pl-PL"/>
        </w:rPr>
      </w:pPr>
      <w:r>
        <w:rPr>
          <w:lang w:val="pl"/>
        </w:rPr>
        <w:t>—E—</w:t>
      </w:r>
    </w:p>
    <w:p w:rsidR="00B71A20" w:rsidRPr="000625F6" w:rsidRDefault="0093676E">
      <w:pPr>
        <w:pStyle w:val="Teksttreci0"/>
        <w:spacing w:after="0"/>
        <w:rPr>
          <w:lang w:val="pl-PL"/>
        </w:rPr>
      </w:pPr>
      <w:hyperlink r:id="rId2146" w:history="1">
        <w:r w:rsidR="000425B4">
          <w:rPr>
            <w:i/>
            <w:iCs/>
            <w:color w:val="0072BC"/>
            <w:lang w:val="pl"/>
          </w:rPr>
          <w:t>E.M. i Inni p. Norwegii</w:t>
        </w:r>
        <w:r w:rsidR="000425B4">
          <w:rPr>
            <w:lang w:val="pl"/>
          </w:rPr>
          <w:t>,</w:t>
        </w:r>
      </w:hyperlink>
      <w:r w:rsidR="000425B4">
        <w:rPr>
          <w:lang w:val="pl"/>
        </w:rPr>
        <w:t xml:space="preserve"> nr 53471/17, 20 stycznia 2022 r.</w:t>
      </w:r>
    </w:p>
    <w:p w:rsidR="00B71A20" w:rsidRPr="000625F6" w:rsidRDefault="0093676E">
      <w:pPr>
        <w:pStyle w:val="Teksttreci0"/>
        <w:spacing w:after="0"/>
        <w:rPr>
          <w:lang w:val="pl-PL"/>
        </w:rPr>
      </w:pPr>
      <w:hyperlink r:id="rId2147" w:history="1">
        <w:r w:rsidR="000425B4">
          <w:rPr>
            <w:i/>
            <w:iCs/>
            <w:color w:val="0072BC"/>
            <w:lang w:val="pl"/>
          </w:rPr>
          <w:t>Eberhard i M. p. Słowenii</w:t>
        </w:r>
        <w:r w:rsidR="000425B4">
          <w:rPr>
            <w:lang w:val="pl"/>
          </w:rPr>
          <w:t>,</w:t>
        </w:r>
      </w:hyperlink>
      <w:r w:rsidR="000425B4">
        <w:rPr>
          <w:lang w:val="pl"/>
        </w:rPr>
        <w:t xml:space="preserve"> nr 8673/05 i 9733/05, 1 grudnia 2009 r.</w:t>
      </w:r>
    </w:p>
    <w:p w:rsidR="00B71A20" w:rsidRPr="000625F6" w:rsidRDefault="0093676E">
      <w:pPr>
        <w:pStyle w:val="Teksttreci0"/>
        <w:spacing w:after="0"/>
        <w:rPr>
          <w:lang w:val="pl-PL"/>
        </w:rPr>
      </w:pPr>
      <w:hyperlink r:id="rId2148" w:history="1">
        <w:r w:rsidR="000425B4">
          <w:rPr>
            <w:i/>
            <w:iCs/>
            <w:color w:val="0072BC"/>
            <w:lang w:val="pl"/>
          </w:rPr>
          <w:t>Eğitim ve Bilim Emekçileri Sendikası p. Turcji</w:t>
        </w:r>
        <w:r w:rsidR="000425B4">
          <w:rPr>
            <w:lang w:val="pl"/>
          </w:rPr>
          <w:t>,</w:t>
        </w:r>
      </w:hyperlink>
      <w:r w:rsidR="000425B4">
        <w:rPr>
          <w:lang w:val="pl"/>
        </w:rPr>
        <w:t xml:space="preserve"> nr 20641/05, ECHR 2012</w:t>
      </w:r>
    </w:p>
    <w:p w:rsidR="00B71A20" w:rsidRPr="000625F6" w:rsidRDefault="0093676E">
      <w:pPr>
        <w:pStyle w:val="Teksttreci0"/>
        <w:spacing w:after="0"/>
        <w:rPr>
          <w:lang w:val="pl-PL"/>
        </w:rPr>
      </w:pPr>
      <w:hyperlink r:id="rId2149" w:history="1">
        <w:r w:rsidR="000425B4">
          <w:rPr>
            <w:i/>
            <w:iCs/>
            <w:color w:val="0072BC"/>
            <w:lang w:val="pl"/>
          </w:rPr>
          <w:t xml:space="preserve">Egmez p. Cyprowi </w:t>
        </w:r>
      </w:hyperlink>
      <w:r w:rsidR="000425B4">
        <w:rPr>
          <w:lang w:val="pl"/>
        </w:rPr>
        <w:t>(dec.), nr 12214/07, 18 września 2012 r.</w:t>
      </w:r>
    </w:p>
    <w:p w:rsidR="00B71A20" w:rsidRPr="000625F6" w:rsidRDefault="0093676E">
      <w:pPr>
        <w:pStyle w:val="Teksttreci0"/>
        <w:spacing w:after="0"/>
        <w:rPr>
          <w:lang w:val="pl-PL"/>
        </w:rPr>
      </w:pPr>
      <w:hyperlink r:id="rId2150" w:history="1">
        <w:r w:rsidR="000425B4">
          <w:rPr>
            <w:i/>
            <w:iCs/>
            <w:color w:val="0072BC"/>
            <w:lang w:val="pl"/>
          </w:rPr>
          <w:t>Egmez p. Cyprowi</w:t>
        </w:r>
        <w:r w:rsidR="000425B4">
          <w:rPr>
            <w:lang w:val="pl"/>
          </w:rPr>
          <w:t>,</w:t>
        </w:r>
      </w:hyperlink>
      <w:r w:rsidR="000425B4">
        <w:rPr>
          <w:lang w:val="pl"/>
        </w:rPr>
        <w:t xml:space="preserve"> nr 30873/96, ECHR 2000-XII</w:t>
      </w:r>
    </w:p>
    <w:p w:rsidR="00B71A20" w:rsidRPr="000625F6" w:rsidRDefault="0093676E" w:rsidP="00071350">
      <w:pPr>
        <w:pStyle w:val="Teksttreci0"/>
        <w:spacing w:after="0"/>
        <w:rPr>
          <w:lang w:val="pl-PL"/>
        </w:rPr>
      </w:pPr>
      <w:hyperlink r:id="rId2151" w:history="1">
        <w:r w:rsidR="000425B4">
          <w:rPr>
            <w:i/>
            <w:iCs/>
            <w:color w:val="0072BC"/>
            <w:lang w:val="pl"/>
          </w:rPr>
          <w:t>Ekimdzhiev i Inni p. Bułgarii</w:t>
        </w:r>
        <w:r w:rsidR="000425B4">
          <w:rPr>
            <w:lang w:val="pl"/>
          </w:rPr>
          <w:t>,</w:t>
        </w:r>
      </w:hyperlink>
      <w:r w:rsidR="000425B4">
        <w:rPr>
          <w:lang w:val="pl"/>
        </w:rPr>
        <w:t xml:space="preserve"> nr 70078/12, 11 stycznia 2022 r.</w:t>
      </w:r>
    </w:p>
    <w:p w:rsidR="00B71A20" w:rsidRPr="000625F6" w:rsidRDefault="0093676E">
      <w:pPr>
        <w:pStyle w:val="Teksttreci0"/>
        <w:spacing w:after="0"/>
        <w:ind w:left="580" w:hanging="580"/>
        <w:rPr>
          <w:lang w:val="pl-PL"/>
        </w:rPr>
      </w:pPr>
      <w:hyperlink r:id="rId2152" w:history="1">
        <w:r w:rsidR="000425B4">
          <w:rPr>
            <w:i/>
            <w:iCs/>
            <w:color w:val="0072BC"/>
            <w:lang w:val="pl"/>
          </w:rPr>
          <w:t xml:space="preserve">El Majjaoui i Stichting Touba Moskee p. Holandii </w:t>
        </w:r>
      </w:hyperlink>
      <w:r w:rsidR="000425B4">
        <w:rPr>
          <w:lang w:val="pl"/>
        </w:rPr>
        <w:t>(skreślenie) [WI], nr 25525/03, 20 grudnia 2007 r.</w:t>
      </w:r>
    </w:p>
    <w:p w:rsidR="00B71A20" w:rsidRPr="000625F6" w:rsidRDefault="0093676E">
      <w:pPr>
        <w:pStyle w:val="Teksttreci0"/>
        <w:spacing w:after="0"/>
        <w:rPr>
          <w:lang w:val="pl-PL"/>
        </w:rPr>
      </w:pPr>
      <w:hyperlink r:id="rId2153" w:history="1">
        <w:r w:rsidR="000425B4">
          <w:rPr>
            <w:i/>
            <w:iCs/>
            <w:color w:val="0072BC"/>
            <w:lang w:val="pl"/>
          </w:rPr>
          <w:t xml:space="preserve">El-Masri p. Byłej Jugosłowiańskiej Republice Macedonii </w:t>
        </w:r>
      </w:hyperlink>
      <w:r w:rsidR="000425B4">
        <w:rPr>
          <w:lang w:val="pl"/>
        </w:rPr>
        <w:t>[WI], nr 39630/09, ECHR 2012</w:t>
      </w:r>
    </w:p>
    <w:p w:rsidR="00B71A20" w:rsidRPr="000625F6" w:rsidRDefault="0093676E">
      <w:pPr>
        <w:pStyle w:val="Teksttreci0"/>
        <w:spacing w:after="0"/>
        <w:rPr>
          <w:lang w:val="pl-PL"/>
        </w:rPr>
      </w:pPr>
      <w:hyperlink r:id="rId2154" w:history="1">
        <w:r w:rsidR="000425B4">
          <w:rPr>
            <w:i/>
            <w:iCs/>
            <w:color w:val="0072BC"/>
            <w:lang w:val="pl"/>
          </w:rPr>
          <w:t>Enukidze i Girgvliani p. Gruzji</w:t>
        </w:r>
        <w:r w:rsidR="000425B4">
          <w:rPr>
            <w:lang w:val="pl"/>
          </w:rPr>
          <w:t>,</w:t>
        </w:r>
      </w:hyperlink>
      <w:r w:rsidR="000425B4">
        <w:rPr>
          <w:lang w:val="pl"/>
        </w:rPr>
        <w:t xml:space="preserve"> nr 25091/07, 26 kwietnia 2011 r.</w:t>
      </w:r>
    </w:p>
    <w:p w:rsidR="00B71A20" w:rsidRPr="000625F6" w:rsidRDefault="0093676E">
      <w:pPr>
        <w:pStyle w:val="Teksttreci0"/>
        <w:spacing w:after="0"/>
        <w:rPr>
          <w:lang w:val="pl-PL"/>
        </w:rPr>
      </w:pPr>
      <w:hyperlink r:id="rId2155" w:history="1">
        <w:r w:rsidR="000425B4">
          <w:rPr>
            <w:i/>
            <w:iCs/>
            <w:color w:val="0072BC"/>
            <w:lang w:val="pl"/>
          </w:rPr>
          <w:t>Eon p. Francji</w:t>
        </w:r>
        <w:r w:rsidR="000425B4">
          <w:rPr>
            <w:lang w:val="pl"/>
          </w:rPr>
          <w:t>,</w:t>
        </w:r>
      </w:hyperlink>
      <w:r w:rsidR="000425B4">
        <w:rPr>
          <w:lang w:val="pl"/>
        </w:rPr>
        <w:t xml:space="preserve"> nr 26118/10, 14 marca 2013 r.</w:t>
      </w:r>
    </w:p>
    <w:p w:rsidR="00B71A20" w:rsidRPr="000625F6" w:rsidRDefault="0093676E">
      <w:pPr>
        <w:pStyle w:val="Teksttreci0"/>
        <w:spacing w:after="0"/>
        <w:rPr>
          <w:lang w:val="pl-PL"/>
        </w:rPr>
      </w:pPr>
      <w:hyperlink r:id="rId2156" w:history="1">
        <w:r w:rsidR="000425B4">
          <w:rPr>
            <w:i/>
            <w:iCs/>
            <w:color w:val="0072BC"/>
            <w:lang w:val="pl"/>
          </w:rPr>
          <w:t xml:space="preserve">Epözdemir p. Turcji </w:t>
        </w:r>
      </w:hyperlink>
      <w:r w:rsidR="000425B4">
        <w:rPr>
          <w:lang w:val="pl"/>
        </w:rPr>
        <w:t>(dec.), nr 57039/00, 31 stycznia 2002 r.</w:t>
      </w:r>
    </w:p>
    <w:p w:rsidR="00B71A20" w:rsidRPr="000625F6" w:rsidRDefault="0093676E">
      <w:pPr>
        <w:pStyle w:val="Teksttreci0"/>
        <w:spacing w:after="0"/>
        <w:rPr>
          <w:lang w:val="pl-PL"/>
        </w:rPr>
      </w:pPr>
      <w:hyperlink r:id="rId2157" w:history="1">
        <w:r w:rsidR="000425B4">
          <w:rPr>
            <w:i/>
            <w:iCs/>
            <w:color w:val="0072BC"/>
            <w:lang w:val="pl"/>
          </w:rPr>
          <w:t>Er i Inni p. Turcji</w:t>
        </w:r>
        <w:r w:rsidR="000425B4">
          <w:rPr>
            <w:lang w:val="pl"/>
          </w:rPr>
          <w:t>,</w:t>
        </w:r>
      </w:hyperlink>
      <w:r w:rsidR="000425B4">
        <w:rPr>
          <w:lang w:val="pl"/>
        </w:rPr>
        <w:t xml:space="preserve"> nr 23016/04, 31 lipca 2012 r.</w:t>
      </w:r>
    </w:p>
    <w:p w:rsidR="00B71A20" w:rsidRPr="000625F6" w:rsidRDefault="0093676E">
      <w:pPr>
        <w:pStyle w:val="Teksttreci0"/>
        <w:spacing w:after="0"/>
        <w:rPr>
          <w:lang w:val="pl-PL"/>
        </w:rPr>
      </w:pPr>
      <w:hyperlink r:id="rId2158" w:history="1">
        <w:r w:rsidR="000425B4">
          <w:rPr>
            <w:i/>
            <w:iCs/>
            <w:color w:val="0072BC"/>
            <w:lang w:val="pl"/>
          </w:rPr>
          <w:t>Ergezen p. Turcji</w:t>
        </w:r>
        <w:r w:rsidR="000425B4">
          <w:rPr>
            <w:lang w:val="pl"/>
          </w:rPr>
          <w:t>,</w:t>
        </w:r>
      </w:hyperlink>
      <w:r w:rsidR="000425B4">
        <w:rPr>
          <w:lang w:val="pl"/>
        </w:rPr>
        <w:t xml:space="preserve"> nr 73359/10, 8 kwietnia 2014 r.</w:t>
      </w:r>
    </w:p>
    <w:p w:rsidR="00B71A20" w:rsidRPr="000625F6" w:rsidRDefault="0093676E">
      <w:pPr>
        <w:pStyle w:val="Teksttreci0"/>
        <w:spacing w:after="0"/>
        <w:rPr>
          <w:lang w:val="pl-PL"/>
        </w:rPr>
      </w:pPr>
      <w:hyperlink r:id="rId2159" w:history="1">
        <w:r w:rsidR="000425B4">
          <w:rPr>
            <w:i/>
            <w:iCs/>
            <w:color w:val="0072BC"/>
            <w:lang w:val="pl"/>
          </w:rPr>
          <w:t>Eskerkhanov i Inni p. Rosji</w:t>
        </w:r>
        <w:r w:rsidR="000425B4">
          <w:rPr>
            <w:lang w:val="pl"/>
          </w:rPr>
          <w:t>,</w:t>
        </w:r>
      </w:hyperlink>
      <w:r w:rsidR="000425B4">
        <w:rPr>
          <w:lang w:val="pl"/>
        </w:rPr>
        <w:t xml:space="preserve"> nr 18496/16 i 2 inne, 25 lipca 2017 r.</w:t>
      </w:r>
    </w:p>
    <w:p w:rsidR="00B71A20" w:rsidRPr="000625F6" w:rsidRDefault="0093676E">
      <w:pPr>
        <w:pStyle w:val="Teksttreci0"/>
        <w:spacing w:after="0"/>
        <w:rPr>
          <w:lang w:val="pl-PL"/>
        </w:rPr>
      </w:pPr>
      <w:hyperlink r:id="rId2160" w:history="1">
        <w:r w:rsidR="000425B4">
          <w:rPr>
            <w:i/>
            <w:iCs/>
            <w:color w:val="0072BC"/>
            <w:lang w:val="pl"/>
          </w:rPr>
          <w:t>Euromak Metal Doo p. Byłej Jugosłowiańskiej Republice Macedonii</w:t>
        </w:r>
        <w:r w:rsidR="000425B4">
          <w:rPr>
            <w:lang w:val="pl"/>
          </w:rPr>
          <w:t>,</w:t>
        </w:r>
      </w:hyperlink>
      <w:r w:rsidR="000425B4">
        <w:rPr>
          <w:lang w:val="pl"/>
        </w:rPr>
        <w:t xml:space="preserve"> nr 68039/14, 14 czerwca 2018 r.</w:t>
      </w:r>
    </w:p>
    <w:p w:rsidR="00B71A20" w:rsidRPr="000625F6" w:rsidRDefault="0093676E">
      <w:pPr>
        <w:pStyle w:val="Teksttreci0"/>
        <w:spacing w:after="460"/>
        <w:rPr>
          <w:lang w:val="pl-PL"/>
        </w:rPr>
      </w:pPr>
      <w:hyperlink r:id="rId2161" w:history="1">
        <w:r w:rsidR="000425B4">
          <w:rPr>
            <w:i/>
            <w:iCs/>
            <w:color w:val="0072BC"/>
            <w:lang w:val="pl"/>
          </w:rPr>
          <w:t>Eyoum-Priso p. Francji</w:t>
        </w:r>
        <w:r w:rsidR="000425B4">
          <w:rPr>
            <w:lang w:val="pl"/>
          </w:rPr>
          <w:t>,</w:t>
        </w:r>
      </w:hyperlink>
      <w:r w:rsidR="000425B4">
        <w:rPr>
          <w:lang w:val="pl"/>
        </w:rPr>
        <w:t xml:space="preserve"> nr 24352/94, raport Komisji z dnia 9 kwietnia 1997 r.</w:t>
      </w:r>
    </w:p>
    <w:p w:rsidR="00B71A20" w:rsidRPr="000625F6" w:rsidRDefault="000425B4">
      <w:pPr>
        <w:pStyle w:val="Teksttreci30"/>
        <w:spacing w:after="120"/>
        <w:rPr>
          <w:lang w:val="pl-PL"/>
        </w:rPr>
      </w:pPr>
      <w:r>
        <w:rPr>
          <w:lang w:val="pl"/>
        </w:rPr>
        <w:t>—F—</w:t>
      </w:r>
    </w:p>
    <w:p w:rsidR="00B71A20" w:rsidRPr="000625F6" w:rsidRDefault="0093676E">
      <w:pPr>
        <w:pStyle w:val="Teksttreci0"/>
        <w:spacing w:after="0"/>
        <w:rPr>
          <w:lang w:val="pl-PL"/>
        </w:rPr>
      </w:pPr>
      <w:hyperlink r:id="rId2162" w:history="1">
        <w:r w:rsidR="000425B4">
          <w:rPr>
            <w:i/>
            <w:iCs/>
            <w:color w:val="0072BC"/>
            <w:lang w:val="pl"/>
          </w:rPr>
          <w:t xml:space="preserve">Fábián p. Węgrom </w:t>
        </w:r>
      </w:hyperlink>
      <w:r w:rsidR="000425B4">
        <w:rPr>
          <w:lang w:val="pl"/>
        </w:rPr>
        <w:t>[WI], nr 78117/13, 5 września 2017 r.</w:t>
      </w:r>
    </w:p>
    <w:p w:rsidR="00B71A20" w:rsidRPr="000625F6" w:rsidRDefault="0093676E">
      <w:pPr>
        <w:pStyle w:val="Teksttreci0"/>
        <w:spacing w:after="0"/>
        <w:rPr>
          <w:lang w:val="pl-PL"/>
        </w:rPr>
      </w:pPr>
      <w:hyperlink r:id="rId2163" w:history="1">
        <w:r w:rsidR="000425B4">
          <w:rPr>
            <w:i/>
            <w:iCs/>
            <w:color w:val="0072BC"/>
            <w:lang w:val="pl"/>
          </w:rPr>
          <w:t>Fabris i Parziale p. Włochom</w:t>
        </w:r>
        <w:r w:rsidR="000425B4">
          <w:rPr>
            <w:lang w:val="pl"/>
          </w:rPr>
          <w:t>,</w:t>
        </w:r>
      </w:hyperlink>
      <w:r w:rsidR="000425B4">
        <w:rPr>
          <w:lang w:val="pl"/>
        </w:rPr>
        <w:t xml:space="preserve"> nr 41603/13, 19 marca 2020 r.</w:t>
      </w:r>
    </w:p>
    <w:p w:rsidR="00B71A20" w:rsidRPr="000625F6" w:rsidRDefault="0093676E">
      <w:pPr>
        <w:pStyle w:val="Teksttreci0"/>
        <w:spacing w:after="0"/>
        <w:rPr>
          <w:lang w:val="pl-PL"/>
        </w:rPr>
      </w:pPr>
      <w:hyperlink r:id="rId2164" w:history="1">
        <w:r w:rsidR="000425B4">
          <w:rPr>
            <w:i/>
            <w:iCs/>
            <w:color w:val="0072BC"/>
            <w:lang w:val="pl"/>
          </w:rPr>
          <w:t xml:space="preserve">Fairfield p. Wielkiej Brytanii </w:t>
        </w:r>
      </w:hyperlink>
      <w:r w:rsidR="000425B4">
        <w:rPr>
          <w:lang w:val="pl"/>
        </w:rPr>
        <w:t>(dec.), nr 24790/04, ECHR 2005-VI</w:t>
      </w:r>
    </w:p>
    <w:p w:rsidR="00B71A20" w:rsidRPr="000625F6" w:rsidRDefault="0093676E">
      <w:pPr>
        <w:pStyle w:val="Teksttreci0"/>
        <w:spacing w:after="0"/>
        <w:rPr>
          <w:lang w:val="pl-PL"/>
        </w:rPr>
      </w:pPr>
      <w:hyperlink r:id="rId2165" w:history="1">
        <w:r w:rsidR="000425B4">
          <w:rPr>
            <w:i/>
            <w:iCs/>
            <w:color w:val="0072BC"/>
            <w:lang w:val="pl"/>
          </w:rPr>
          <w:t xml:space="preserve">Fakhretdinov i Inni p. Rosji </w:t>
        </w:r>
      </w:hyperlink>
      <w:r w:rsidR="000425B4">
        <w:rPr>
          <w:lang w:val="pl"/>
        </w:rPr>
        <w:t>(dec.), nr 26716/09 i 2 inne, 23 września 2010 r.</w:t>
      </w:r>
    </w:p>
    <w:p w:rsidR="00B71A20" w:rsidRPr="000625F6" w:rsidRDefault="0093676E">
      <w:pPr>
        <w:pStyle w:val="Teksttreci0"/>
        <w:spacing w:after="0"/>
        <w:rPr>
          <w:lang w:val="pl-PL"/>
        </w:rPr>
      </w:pPr>
      <w:hyperlink r:id="rId2166" w:history="1">
        <w:r w:rsidR="000425B4">
          <w:rPr>
            <w:i/>
            <w:iCs/>
            <w:color w:val="0072BC"/>
            <w:lang w:val="pl"/>
          </w:rPr>
          <w:t xml:space="preserve">Farcaş p. Rumunii </w:t>
        </w:r>
      </w:hyperlink>
      <w:r w:rsidR="000425B4">
        <w:rPr>
          <w:lang w:val="pl"/>
        </w:rPr>
        <w:t>(dec.), nr 32596/04, 14 września 2010 r.</w:t>
      </w:r>
    </w:p>
    <w:p w:rsidR="00B71A20" w:rsidRDefault="0093676E">
      <w:pPr>
        <w:pStyle w:val="Teksttreci0"/>
        <w:spacing w:after="0"/>
        <w:ind w:left="580" w:hanging="580"/>
      </w:pPr>
      <w:hyperlink r:id="rId2167" w:history="1">
        <w:r w:rsidR="000425B4" w:rsidRPr="000625F6">
          <w:rPr>
            <w:i/>
            <w:iCs/>
            <w:color w:val="0072BC"/>
            <w:lang w:val="en-GB"/>
          </w:rPr>
          <w:t>Federation chretienne des temoins de Jehovah de France p. Francji</w:t>
        </w:r>
        <w:r w:rsidR="000425B4" w:rsidRPr="000625F6">
          <w:rPr>
            <w:color w:val="0072BC"/>
            <w:lang w:val="en-GB"/>
          </w:rPr>
          <w:t xml:space="preserve"> </w:t>
        </w:r>
      </w:hyperlink>
      <w:r w:rsidR="000425B4" w:rsidRPr="000625F6">
        <w:rPr>
          <w:lang w:val="en-GB"/>
        </w:rPr>
        <w:t>(dec.), nr 53430/99, ECHR 2001-XI</w:t>
      </w:r>
    </w:p>
    <w:p w:rsidR="00B71A20" w:rsidRDefault="0093676E">
      <w:pPr>
        <w:pStyle w:val="Teksttreci0"/>
        <w:spacing w:after="0"/>
        <w:ind w:left="580" w:hanging="580"/>
      </w:pPr>
      <w:hyperlink r:id="rId2168" w:history="1">
        <w:r w:rsidR="000425B4" w:rsidRPr="000625F6">
          <w:rPr>
            <w:i/>
            <w:iCs/>
            <w:color w:val="0072BC"/>
            <w:lang w:val="en-GB"/>
          </w:rPr>
          <w:t xml:space="preserve">Federation of French Medical Trade Unions i National Federation of Nurses p. Francji </w:t>
        </w:r>
      </w:hyperlink>
      <w:r w:rsidR="000425B4" w:rsidRPr="000625F6">
        <w:rPr>
          <w:lang w:val="en-GB"/>
        </w:rPr>
        <w:t>(dec.), nr 10983/84, decyzja Komisji z dnia 12 maja 1986 r., DR 47</w:t>
      </w:r>
    </w:p>
    <w:p w:rsidR="00B71A20" w:rsidRPr="000625F6" w:rsidRDefault="0093676E">
      <w:pPr>
        <w:pStyle w:val="Teksttreci0"/>
        <w:spacing w:after="0"/>
        <w:rPr>
          <w:lang w:val="pl-PL"/>
        </w:rPr>
      </w:pPr>
      <w:hyperlink r:id="rId2169" w:history="1">
        <w:r w:rsidR="000425B4">
          <w:rPr>
            <w:i/>
            <w:iCs/>
            <w:color w:val="0072BC"/>
            <w:lang w:val="pl"/>
          </w:rPr>
          <w:t xml:space="preserve">Fedotov p. Mołdawii </w:t>
        </w:r>
      </w:hyperlink>
      <w:r w:rsidR="000425B4">
        <w:rPr>
          <w:lang w:val="pl"/>
        </w:rPr>
        <w:t>(dec.), nr 51838/07, 24 maja 2011 r.</w:t>
      </w:r>
    </w:p>
    <w:p w:rsidR="00B71A20" w:rsidRPr="000625F6" w:rsidRDefault="0093676E">
      <w:pPr>
        <w:pStyle w:val="Teksttreci0"/>
        <w:spacing w:after="0"/>
        <w:rPr>
          <w:lang w:val="pl-PL"/>
        </w:rPr>
      </w:pPr>
      <w:hyperlink r:id="rId2170" w:history="1">
        <w:r w:rsidR="000425B4">
          <w:rPr>
            <w:i/>
            <w:iCs/>
            <w:color w:val="0072BC"/>
            <w:lang w:val="pl"/>
          </w:rPr>
          <w:t>Fedotova p. Rosji</w:t>
        </w:r>
        <w:r w:rsidR="000425B4">
          <w:rPr>
            <w:lang w:val="pl"/>
          </w:rPr>
          <w:t>,</w:t>
        </w:r>
      </w:hyperlink>
      <w:r w:rsidR="000425B4">
        <w:rPr>
          <w:lang w:val="pl"/>
        </w:rPr>
        <w:t xml:space="preserve"> nr 73225/01, 13 kwietnia 2006 r.</w:t>
      </w:r>
    </w:p>
    <w:p w:rsidR="00B71A20" w:rsidRPr="000625F6" w:rsidRDefault="0093676E">
      <w:pPr>
        <w:pStyle w:val="Teksttreci0"/>
        <w:spacing w:after="0"/>
        <w:rPr>
          <w:lang w:val="pl-PL"/>
        </w:rPr>
      </w:pPr>
      <w:hyperlink r:id="rId2171" w:history="1">
        <w:r w:rsidR="000425B4">
          <w:rPr>
            <w:i/>
            <w:iCs/>
            <w:color w:val="0072BC"/>
            <w:lang w:val="pl"/>
          </w:rPr>
          <w:t xml:space="preserve">Fener Rum Patrikliği (Patriarchat Ekumeniczny) p. Turcji </w:t>
        </w:r>
      </w:hyperlink>
      <w:r w:rsidR="000425B4">
        <w:rPr>
          <w:lang w:val="pl"/>
        </w:rPr>
        <w:t>(dec.), nr 14340/05, 12 czerwca 2007 r.</w:t>
      </w:r>
    </w:p>
    <w:p w:rsidR="00B71A20" w:rsidRPr="000625F6" w:rsidRDefault="0093676E">
      <w:pPr>
        <w:pStyle w:val="Teksttreci0"/>
        <w:spacing w:after="0"/>
        <w:rPr>
          <w:lang w:val="pl-PL"/>
        </w:rPr>
      </w:pPr>
      <w:hyperlink r:id="rId2172" w:history="1">
        <w:r w:rsidR="000425B4">
          <w:rPr>
            <w:i/>
            <w:iCs/>
            <w:color w:val="0072BC"/>
            <w:lang w:val="pl"/>
          </w:rPr>
          <w:t xml:space="preserve">Fernandez p. Francji </w:t>
        </w:r>
      </w:hyperlink>
      <w:r w:rsidR="000425B4">
        <w:rPr>
          <w:lang w:val="pl"/>
        </w:rPr>
        <w:t>(dec.), nr 65421/10, 17 stycznia 2012 r.</w:t>
      </w:r>
    </w:p>
    <w:p w:rsidR="00B71A20" w:rsidRPr="000625F6" w:rsidRDefault="0093676E">
      <w:pPr>
        <w:pStyle w:val="Teksttreci0"/>
        <w:spacing w:after="0"/>
        <w:rPr>
          <w:lang w:val="pl-PL"/>
        </w:rPr>
      </w:pPr>
      <w:hyperlink r:id="rId2173" w:history="1">
        <w:r w:rsidR="000425B4">
          <w:rPr>
            <w:i/>
            <w:iCs/>
            <w:color w:val="0072BC"/>
            <w:lang w:val="pl"/>
          </w:rPr>
          <w:t xml:space="preserve">Fernie p. Wielkiej Brytanii </w:t>
        </w:r>
      </w:hyperlink>
      <w:r w:rsidR="000425B4">
        <w:rPr>
          <w:lang w:val="pl"/>
        </w:rPr>
        <w:t>(dec.), nr 14881/04, 5 stycznia 2006 r.</w:t>
      </w:r>
    </w:p>
    <w:p w:rsidR="00B71A20" w:rsidRPr="000625F6" w:rsidRDefault="0093676E">
      <w:pPr>
        <w:pStyle w:val="Teksttreci0"/>
        <w:spacing w:after="0"/>
        <w:rPr>
          <w:lang w:val="pl-PL"/>
        </w:rPr>
      </w:pPr>
      <w:hyperlink r:id="rId2174" w:history="1">
        <w:r w:rsidR="000425B4">
          <w:rPr>
            <w:i/>
            <w:iCs/>
            <w:color w:val="0072BC"/>
            <w:lang w:val="pl"/>
          </w:rPr>
          <w:t>Ferreira Alves p. Portugalii (nr 6)</w:t>
        </w:r>
        <w:r w:rsidR="000425B4">
          <w:rPr>
            <w:lang w:val="pl"/>
          </w:rPr>
          <w:t>,</w:t>
        </w:r>
      </w:hyperlink>
      <w:r w:rsidR="000425B4">
        <w:rPr>
          <w:lang w:val="pl"/>
        </w:rPr>
        <w:t xml:space="preserve"> nr 46436/06 i 55676/08, 13 kwietnia 2010 r.</w:t>
      </w:r>
    </w:p>
    <w:p w:rsidR="00B71A20" w:rsidRPr="000625F6" w:rsidRDefault="0093676E">
      <w:pPr>
        <w:pStyle w:val="Teksttreci0"/>
        <w:spacing w:after="0"/>
        <w:rPr>
          <w:lang w:val="pl-PL"/>
        </w:rPr>
      </w:pPr>
      <w:hyperlink r:id="rId2175" w:history="1">
        <w:r w:rsidR="000425B4">
          <w:rPr>
            <w:i/>
            <w:iCs/>
            <w:color w:val="0072BC"/>
            <w:lang w:val="pl"/>
          </w:rPr>
          <w:t>Fetisov i Inni p. Rosji</w:t>
        </w:r>
        <w:r w:rsidR="000425B4">
          <w:rPr>
            <w:lang w:val="pl"/>
          </w:rPr>
          <w:t>,</w:t>
        </w:r>
      </w:hyperlink>
      <w:r w:rsidR="000425B4">
        <w:rPr>
          <w:lang w:val="pl"/>
        </w:rPr>
        <w:t xml:space="preserve"> nr 43710/07 i 3 innych, 17 stycznia 2012 r.</w:t>
      </w:r>
    </w:p>
    <w:p w:rsidR="00B71A20" w:rsidRPr="000625F6" w:rsidRDefault="0093676E">
      <w:pPr>
        <w:pStyle w:val="Teksttreci0"/>
        <w:spacing w:after="0"/>
        <w:rPr>
          <w:lang w:val="pl-PL"/>
        </w:rPr>
      </w:pPr>
      <w:hyperlink r:id="rId2176" w:history="1">
        <w:r w:rsidR="000425B4">
          <w:rPr>
            <w:i/>
            <w:iCs/>
            <w:color w:val="0072BC"/>
            <w:lang w:val="pl"/>
          </w:rPr>
          <w:t>Filipović p. Serbii</w:t>
        </w:r>
        <w:r w:rsidR="000425B4">
          <w:rPr>
            <w:lang w:val="pl"/>
          </w:rPr>
          <w:t>,</w:t>
        </w:r>
      </w:hyperlink>
      <w:r w:rsidR="000425B4">
        <w:rPr>
          <w:lang w:val="pl"/>
        </w:rPr>
        <w:t xml:space="preserve"> nr 27935/05, 20 listopada 2007 r.</w:t>
      </w:r>
    </w:p>
    <w:p w:rsidR="00B71A20" w:rsidRDefault="0093676E">
      <w:pPr>
        <w:pStyle w:val="Teksttreci0"/>
        <w:spacing w:after="0"/>
        <w:rPr>
          <w:lang w:val="pl"/>
        </w:rPr>
      </w:pPr>
      <w:hyperlink r:id="rId2177" w:history="1">
        <w:r w:rsidR="000425B4">
          <w:rPr>
            <w:i/>
            <w:iCs/>
            <w:color w:val="0072BC"/>
            <w:lang w:val="pl"/>
          </w:rPr>
          <w:t>Financial Times Ltd i Inni p. Wielkiej Brytanii</w:t>
        </w:r>
        <w:r w:rsidR="000425B4">
          <w:rPr>
            <w:lang w:val="pl"/>
          </w:rPr>
          <w:t>,</w:t>
        </w:r>
      </w:hyperlink>
      <w:r w:rsidR="000425B4">
        <w:rPr>
          <w:lang w:val="pl"/>
        </w:rPr>
        <w:t xml:space="preserve"> nr 821/03, 15 grudnia 2009 r.</w:t>
      </w:r>
    </w:p>
    <w:p w:rsidR="00773877" w:rsidRPr="000625F6" w:rsidRDefault="0093676E">
      <w:pPr>
        <w:pStyle w:val="Teksttreci0"/>
        <w:spacing w:after="0"/>
        <w:rPr>
          <w:lang w:val="pl-PL"/>
        </w:rPr>
      </w:pPr>
      <w:hyperlink r:id="rId2178" w:history="1">
        <w:r w:rsidR="00773877" w:rsidRPr="00773877">
          <w:rPr>
            <w:i/>
            <w:iCs/>
            <w:color w:val="0072BC"/>
            <w:lang w:val="pl"/>
          </w:rPr>
          <w:t>FINE DOO i Inni p.</w:t>
        </w:r>
        <w:r w:rsidR="00773877">
          <w:rPr>
            <w:i/>
            <w:iCs/>
            <w:color w:val="0072BC"/>
            <w:lang w:val="pl"/>
          </w:rPr>
          <w:t> </w:t>
        </w:r>
        <w:r w:rsidR="00773877" w:rsidRPr="00773877">
          <w:rPr>
            <w:i/>
            <w:iCs/>
            <w:color w:val="0072BC"/>
            <w:lang w:val="pl"/>
          </w:rPr>
          <w:t>Macedonii Północnej (dec.)</w:t>
        </w:r>
      </w:hyperlink>
      <w:r w:rsidR="00773877">
        <w:rPr>
          <w:lang w:val="pl"/>
        </w:rPr>
        <w:t>, nr 37948/13, 17 maja 2022 r.</w:t>
      </w:r>
    </w:p>
    <w:p w:rsidR="00B71A20" w:rsidRPr="000625F6" w:rsidRDefault="0093676E">
      <w:pPr>
        <w:pStyle w:val="Teksttreci0"/>
        <w:spacing w:after="0"/>
        <w:rPr>
          <w:lang w:val="pl-PL"/>
        </w:rPr>
      </w:pPr>
      <w:hyperlink r:id="rId2179" w:history="1">
        <w:r w:rsidR="000425B4">
          <w:rPr>
            <w:i/>
            <w:iCs/>
            <w:color w:val="0072BC"/>
            <w:lang w:val="pl"/>
          </w:rPr>
          <w:t>Finger p. Bułgarii</w:t>
        </w:r>
        <w:r w:rsidR="000425B4">
          <w:rPr>
            <w:lang w:val="pl"/>
          </w:rPr>
          <w:t>,</w:t>
        </w:r>
      </w:hyperlink>
      <w:r w:rsidR="000425B4">
        <w:rPr>
          <w:lang w:val="pl"/>
        </w:rPr>
        <w:t xml:space="preserve"> nr 37346/05, 10 maja 2011 r.</w:t>
      </w:r>
    </w:p>
    <w:p w:rsidR="00B71A20" w:rsidRPr="000625F6" w:rsidRDefault="0093676E">
      <w:pPr>
        <w:pStyle w:val="Teksttreci0"/>
        <w:spacing w:after="0"/>
        <w:rPr>
          <w:lang w:val="pl-PL"/>
        </w:rPr>
      </w:pPr>
      <w:hyperlink r:id="rId2180" w:history="1">
        <w:r w:rsidR="000425B4">
          <w:rPr>
            <w:i/>
            <w:iCs/>
            <w:color w:val="0072BC"/>
            <w:lang w:val="pl"/>
          </w:rPr>
          <w:t>Flisar p. Słowenii</w:t>
        </w:r>
        <w:r w:rsidR="000425B4">
          <w:rPr>
            <w:lang w:val="pl"/>
          </w:rPr>
          <w:t>,</w:t>
        </w:r>
      </w:hyperlink>
      <w:r w:rsidR="000425B4">
        <w:rPr>
          <w:lang w:val="pl"/>
        </w:rPr>
        <w:t xml:space="preserve"> nr 3127/09, 29 września 2011 r.</w:t>
      </w:r>
    </w:p>
    <w:p w:rsidR="00B71A20" w:rsidRPr="000625F6" w:rsidRDefault="0093676E">
      <w:pPr>
        <w:pStyle w:val="Teksttreci0"/>
        <w:spacing w:after="0"/>
        <w:rPr>
          <w:lang w:val="pl-PL"/>
        </w:rPr>
      </w:pPr>
      <w:hyperlink r:id="rId2181" w:history="1">
        <w:r w:rsidR="000425B4">
          <w:rPr>
            <w:i/>
            <w:iCs/>
            <w:color w:val="0072BC"/>
            <w:lang w:val="pl"/>
          </w:rPr>
          <w:t xml:space="preserve">Folgerø i Inni p. Norwegii </w:t>
        </w:r>
      </w:hyperlink>
      <w:r w:rsidR="000425B4">
        <w:rPr>
          <w:lang w:val="pl"/>
        </w:rPr>
        <w:t>(dec.), nr 15472/02, 14 lutego 2006 r.</w:t>
      </w:r>
    </w:p>
    <w:p w:rsidR="00B71A20" w:rsidRPr="000625F6" w:rsidRDefault="0093676E">
      <w:pPr>
        <w:pStyle w:val="Teksttreci0"/>
        <w:spacing w:after="0"/>
        <w:rPr>
          <w:lang w:val="pl-PL"/>
        </w:rPr>
      </w:pPr>
      <w:hyperlink r:id="rId2182" w:history="1">
        <w:r w:rsidR="000425B4">
          <w:rPr>
            <w:i/>
            <w:iCs/>
            <w:color w:val="0072BC"/>
            <w:lang w:val="pl"/>
          </w:rPr>
          <w:t>Fomin p. Mołdawii</w:t>
        </w:r>
        <w:r w:rsidR="000425B4">
          <w:rPr>
            <w:lang w:val="pl"/>
          </w:rPr>
          <w:t>,</w:t>
        </w:r>
      </w:hyperlink>
      <w:r w:rsidR="000425B4">
        <w:rPr>
          <w:lang w:val="pl"/>
        </w:rPr>
        <w:t xml:space="preserve"> nr 36755/06, 11 października 2011 r.</w:t>
      </w:r>
    </w:p>
    <w:p w:rsidR="00B71A20" w:rsidRPr="000625F6" w:rsidRDefault="0093676E">
      <w:pPr>
        <w:pStyle w:val="Teksttreci0"/>
        <w:spacing w:after="0"/>
        <w:rPr>
          <w:lang w:val="pl-PL"/>
        </w:rPr>
      </w:pPr>
      <w:hyperlink r:id="rId2183" w:history="1">
        <w:r w:rsidR="000425B4">
          <w:rPr>
            <w:i/>
            <w:iCs/>
            <w:color w:val="0072BC"/>
            <w:lang w:val="pl"/>
          </w:rPr>
          <w:t xml:space="preserve">Forcadell i Lluis i Inni p. Hiszpanii </w:t>
        </w:r>
      </w:hyperlink>
      <w:r w:rsidR="000425B4">
        <w:rPr>
          <w:lang w:val="pl"/>
        </w:rPr>
        <w:t>(dec.), nr 75147/17, 7 maja 2019 r.</w:t>
      </w:r>
    </w:p>
    <w:p w:rsidR="00B71A20" w:rsidRPr="000625F6" w:rsidRDefault="0093676E">
      <w:pPr>
        <w:pStyle w:val="Teksttreci0"/>
        <w:spacing w:after="0"/>
        <w:rPr>
          <w:lang w:val="pl-PL"/>
        </w:rPr>
      </w:pPr>
      <w:hyperlink r:id="rId2184" w:history="1">
        <w:r w:rsidR="000425B4">
          <w:rPr>
            <w:i/>
            <w:iCs/>
            <w:color w:val="0072BC"/>
            <w:lang w:val="pl"/>
          </w:rPr>
          <w:t>Foti i Inni p. Włochom</w:t>
        </w:r>
        <w:r w:rsidR="000425B4">
          <w:rPr>
            <w:lang w:val="pl"/>
          </w:rPr>
          <w:t>,</w:t>
        </w:r>
      </w:hyperlink>
      <w:r w:rsidR="000425B4">
        <w:rPr>
          <w:lang w:val="pl"/>
        </w:rPr>
        <w:t xml:space="preserve"> 10 grudnia 1982 r., Seria A nr 56</w:t>
      </w:r>
    </w:p>
    <w:p w:rsidR="00B71A20" w:rsidRPr="000625F6" w:rsidRDefault="0093676E">
      <w:pPr>
        <w:pStyle w:val="Teksttreci0"/>
        <w:spacing w:after="460"/>
        <w:rPr>
          <w:lang w:val="pl-PL"/>
        </w:rPr>
      </w:pPr>
      <w:hyperlink r:id="rId2185" w:history="1">
        <w:r w:rsidR="000425B4">
          <w:rPr>
            <w:i/>
            <w:iCs/>
            <w:color w:val="0072BC"/>
            <w:lang w:val="pl"/>
          </w:rPr>
          <w:t xml:space="preserve">Fressoz i Roire p. Francji </w:t>
        </w:r>
      </w:hyperlink>
      <w:r w:rsidR="000425B4">
        <w:rPr>
          <w:lang w:val="pl"/>
        </w:rPr>
        <w:t>[WI], nr 29183/95, ECHR 1999-I</w:t>
      </w:r>
    </w:p>
    <w:p w:rsidR="00B71A20" w:rsidRPr="000625F6" w:rsidRDefault="000425B4">
      <w:pPr>
        <w:pStyle w:val="Teksttreci30"/>
        <w:spacing w:after="120"/>
        <w:rPr>
          <w:lang w:val="pl-PL"/>
        </w:rPr>
      </w:pPr>
      <w:r>
        <w:rPr>
          <w:lang w:val="pl"/>
        </w:rPr>
        <w:t>—G—</w:t>
      </w:r>
    </w:p>
    <w:p w:rsidR="00B71A20" w:rsidRPr="000625F6" w:rsidRDefault="0093676E">
      <w:pPr>
        <w:pStyle w:val="Teksttreci0"/>
        <w:spacing w:after="0"/>
        <w:rPr>
          <w:lang w:val="pl-PL"/>
        </w:rPr>
      </w:pPr>
      <w:hyperlink r:id="rId2186" w:history="1">
        <w:r w:rsidR="000425B4">
          <w:rPr>
            <w:i/>
            <w:iCs/>
            <w:color w:val="0072BC"/>
            <w:lang w:val="pl"/>
          </w:rPr>
          <w:t>G.J. p. Luksemburgowi</w:t>
        </w:r>
        <w:r w:rsidR="000425B4">
          <w:rPr>
            <w:lang w:val="pl"/>
          </w:rPr>
          <w:t>,</w:t>
        </w:r>
      </w:hyperlink>
      <w:r w:rsidR="000425B4">
        <w:rPr>
          <w:lang w:val="pl"/>
        </w:rPr>
        <w:t xml:space="preserve"> nr 21156/93, 26 października 2000 r.</w:t>
      </w:r>
    </w:p>
    <w:p w:rsidR="00B71A20" w:rsidRPr="000625F6" w:rsidRDefault="0093676E">
      <w:pPr>
        <w:pStyle w:val="Teksttreci0"/>
        <w:spacing w:after="0"/>
        <w:rPr>
          <w:lang w:val="pl-PL"/>
        </w:rPr>
      </w:pPr>
      <w:hyperlink r:id="rId2187" w:history="1">
        <w:r w:rsidR="000425B4">
          <w:rPr>
            <w:i/>
            <w:iCs/>
            <w:color w:val="0072BC"/>
            <w:lang w:val="pl"/>
          </w:rPr>
          <w:t xml:space="preserve">Gäfgen p. Niemcom </w:t>
        </w:r>
      </w:hyperlink>
      <w:r w:rsidR="000425B4">
        <w:rPr>
          <w:lang w:val="pl"/>
        </w:rPr>
        <w:t>[WI], nr 22978/05, ECHR 2010</w:t>
      </w:r>
    </w:p>
    <w:p w:rsidR="00B71A20" w:rsidRPr="000625F6" w:rsidRDefault="0093676E">
      <w:pPr>
        <w:pStyle w:val="Teksttreci0"/>
        <w:spacing w:after="0"/>
        <w:rPr>
          <w:lang w:val="pl-PL"/>
        </w:rPr>
      </w:pPr>
      <w:hyperlink r:id="rId2188" w:history="1">
        <w:r w:rsidR="000425B4">
          <w:rPr>
            <w:i/>
            <w:iCs/>
            <w:color w:val="0072BC"/>
            <w:lang w:val="pl"/>
          </w:rPr>
          <w:t xml:space="preserve">Gaftoniuc p. Rumunii </w:t>
        </w:r>
      </w:hyperlink>
      <w:r w:rsidR="000425B4">
        <w:rPr>
          <w:lang w:val="pl"/>
        </w:rPr>
        <w:t>(dec.), nr 30934/05, 22 lutego 2011 r.</w:t>
      </w:r>
    </w:p>
    <w:p w:rsidR="00B71A20" w:rsidRPr="000625F6" w:rsidRDefault="0093676E">
      <w:pPr>
        <w:pStyle w:val="Teksttreci0"/>
        <w:spacing w:after="0"/>
        <w:rPr>
          <w:lang w:val="pl-PL"/>
        </w:rPr>
      </w:pPr>
      <w:hyperlink r:id="rId2189" w:history="1">
        <w:r w:rsidR="000425B4">
          <w:rPr>
            <w:i/>
            <w:iCs/>
            <w:color w:val="0072BC"/>
            <w:lang w:val="pl"/>
          </w:rPr>
          <w:t>Gagiu p. Rumunii</w:t>
        </w:r>
        <w:r w:rsidR="000425B4">
          <w:rPr>
            <w:lang w:val="pl"/>
          </w:rPr>
          <w:t>,</w:t>
        </w:r>
      </w:hyperlink>
      <w:r w:rsidR="000425B4">
        <w:rPr>
          <w:lang w:val="pl"/>
        </w:rPr>
        <w:t xml:space="preserve"> nr 63258/00, 24 lutego 2009 r.</w:t>
      </w:r>
    </w:p>
    <w:p w:rsidR="00B71A20" w:rsidRPr="000625F6" w:rsidRDefault="0093676E">
      <w:pPr>
        <w:pStyle w:val="Teksttreci0"/>
        <w:spacing w:after="0"/>
        <w:rPr>
          <w:lang w:val="pl-PL"/>
        </w:rPr>
      </w:pPr>
      <w:hyperlink r:id="rId2190" w:history="1">
        <w:r w:rsidR="000425B4">
          <w:rPr>
            <w:i/>
            <w:iCs/>
            <w:color w:val="0072BC"/>
            <w:lang w:val="pl"/>
          </w:rPr>
          <w:t>Gagliano Giorgi p. Włochom</w:t>
        </w:r>
        <w:r w:rsidR="000425B4">
          <w:rPr>
            <w:lang w:val="pl"/>
          </w:rPr>
          <w:t>,</w:t>
        </w:r>
      </w:hyperlink>
      <w:r w:rsidR="000425B4">
        <w:rPr>
          <w:lang w:val="pl"/>
        </w:rPr>
        <w:t xml:space="preserve"> nr 23563/07, ECHR 2012</w:t>
      </w:r>
    </w:p>
    <w:p w:rsidR="00B71A20" w:rsidRPr="000625F6" w:rsidRDefault="0093676E">
      <w:pPr>
        <w:pStyle w:val="Teksttreci0"/>
        <w:spacing w:after="0"/>
        <w:rPr>
          <w:lang w:val="pl-PL"/>
        </w:rPr>
      </w:pPr>
      <w:hyperlink r:id="rId2191" w:history="1">
        <w:r w:rsidR="000425B4">
          <w:rPr>
            <w:i/>
            <w:iCs/>
            <w:color w:val="0072BC"/>
            <w:lang w:val="pl"/>
          </w:rPr>
          <w:t>Gaglione i Inni p. Włochom</w:t>
        </w:r>
        <w:r w:rsidR="000425B4">
          <w:rPr>
            <w:lang w:val="pl"/>
          </w:rPr>
          <w:t>,</w:t>
        </w:r>
      </w:hyperlink>
      <w:r w:rsidR="000425B4">
        <w:rPr>
          <w:lang w:val="pl"/>
        </w:rPr>
        <w:t xml:space="preserve"> nr 45867/07 i 69 innych, 21 grudnia 2010 r.</w:t>
      </w:r>
    </w:p>
    <w:p w:rsidR="00B71A20" w:rsidRPr="000625F6" w:rsidRDefault="0093676E">
      <w:pPr>
        <w:pStyle w:val="Teksttreci0"/>
        <w:spacing w:after="0"/>
        <w:rPr>
          <w:lang w:val="pl-PL"/>
        </w:rPr>
      </w:pPr>
      <w:hyperlink r:id="rId2192" w:history="1">
        <w:r w:rsidR="000425B4">
          <w:rPr>
            <w:i/>
            <w:iCs/>
            <w:color w:val="0072BC"/>
            <w:lang w:val="pl"/>
          </w:rPr>
          <w:t xml:space="preserve">Galev i Inni p. Bułgarii </w:t>
        </w:r>
      </w:hyperlink>
      <w:r w:rsidR="000425B4">
        <w:rPr>
          <w:lang w:val="pl"/>
        </w:rPr>
        <w:t>(dec.), nr 18324/04, 29 września 2009 r.</w:t>
      </w:r>
    </w:p>
    <w:p w:rsidR="00B71A20" w:rsidRPr="000625F6" w:rsidRDefault="0093676E" w:rsidP="00773877">
      <w:pPr>
        <w:pStyle w:val="Teksttreci0"/>
        <w:spacing w:after="0"/>
        <w:rPr>
          <w:lang w:val="pl-PL"/>
        </w:rPr>
      </w:pPr>
      <w:hyperlink r:id="rId2193" w:history="1">
        <w:r w:rsidR="000425B4">
          <w:rPr>
            <w:i/>
            <w:iCs/>
            <w:color w:val="0072BC"/>
            <w:lang w:val="pl"/>
          </w:rPr>
          <w:t xml:space="preserve">Galić p. Holandii </w:t>
        </w:r>
      </w:hyperlink>
      <w:r w:rsidR="000425B4">
        <w:rPr>
          <w:lang w:val="pl"/>
        </w:rPr>
        <w:t>(dec.), nr 22617/07, 9 czerwca 2009 r.</w:t>
      </w:r>
    </w:p>
    <w:p w:rsidR="00B71A20" w:rsidRPr="000625F6" w:rsidRDefault="0093676E">
      <w:pPr>
        <w:pStyle w:val="Teksttreci0"/>
        <w:spacing w:after="0"/>
        <w:rPr>
          <w:lang w:val="pl-PL"/>
        </w:rPr>
      </w:pPr>
      <w:hyperlink r:id="rId2194" w:history="1">
        <w:r w:rsidR="000425B4">
          <w:rPr>
            <w:i/>
            <w:iCs/>
            <w:color w:val="0072BC"/>
            <w:lang w:val="pl"/>
          </w:rPr>
          <w:t xml:space="preserve">Galović p. Chorwacji </w:t>
        </w:r>
      </w:hyperlink>
      <w:r w:rsidR="000425B4">
        <w:rPr>
          <w:lang w:val="pl"/>
        </w:rPr>
        <w:t>(dec.), nr 54388/09, 5 marca 2013 r.</w:t>
      </w:r>
    </w:p>
    <w:p w:rsidR="00B71A20" w:rsidRPr="000625F6" w:rsidRDefault="0093676E">
      <w:pPr>
        <w:pStyle w:val="Teksttreci0"/>
        <w:spacing w:after="0"/>
        <w:rPr>
          <w:lang w:val="pl-PL"/>
        </w:rPr>
      </w:pPr>
      <w:hyperlink r:id="rId2195" w:history="1">
        <w:r w:rsidR="000425B4">
          <w:rPr>
            <w:i/>
            <w:iCs/>
            <w:color w:val="0072BC"/>
            <w:lang w:val="pl"/>
          </w:rPr>
          <w:t xml:space="preserve">García Ruiz p. Hiszpanii </w:t>
        </w:r>
      </w:hyperlink>
      <w:r w:rsidR="000425B4">
        <w:rPr>
          <w:lang w:val="pl"/>
        </w:rPr>
        <w:t>[WI], nr 30544/96, ECHR 1999-I</w:t>
      </w:r>
    </w:p>
    <w:p w:rsidR="00B71A20" w:rsidRPr="000625F6" w:rsidRDefault="0093676E">
      <w:pPr>
        <w:pStyle w:val="Teksttreci0"/>
        <w:spacing w:after="0" w:line="230" w:lineRule="auto"/>
        <w:rPr>
          <w:lang w:val="pl-PL"/>
        </w:rPr>
      </w:pPr>
      <w:hyperlink r:id="rId2196" w:history="1">
        <w:r w:rsidR="000425B4">
          <w:rPr>
            <w:i/>
            <w:iCs/>
            <w:color w:val="0072BC"/>
            <w:lang w:val="pl"/>
          </w:rPr>
          <w:t xml:space="preserve">Gard i Inni p. Wielkiej Brytanii </w:t>
        </w:r>
      </w:hyperlink>
      <w:r w:rsidR="000425B4">
        <w:rPr>
          <w:lang w:val="pl"/>
        </w:rPr>
        <w:t>(dec.), nr 39793/17, 27 czerwca 2017 r.</w:t>
      </w:r>
    </w:p>
    <w:p w:rsidR="00B71A20" w:rsidRPr="000625F6" w:rsidRDefault="0093676E">
      <w:pPr>
        <w:pStyle w:val="Teksttreci0"/>
        <w:spacing w:after="0"/>
        <w:rPr>
          <w:lang w:val="pl-PL"/>
        </w:rPr>
      </w:pPr>
      <w:hyperlink r:id="rId2197" w:history="1">
        <w:r w:rsidR="000425B4">
          <w:rPr>
            <w:i/>
            <w:iCs/>
            <w:color w:val="0072BC"/>
            <w:lang w:val="pl"/>
          </w:rPr>
          <w:t xml:space="preserve">Gardean i S.C. Grup 95 SA p. Rumunii </w:t>
        </w:r>
      </w:hyperlink>
      <w:r w:rsidR="000425B4">
        <w:rPr>
          <w:lang w:val="pl"/>
        </w:rPr>
        <w:t>(rewizja), nr 25787/04, 30 kwietnia 2013 r.</w:t>
      </w:r>
    </w:p>
    <w:p w:rsidR="00B71A20" w:rsidRPr="000625F6" w:rsidRDefault="0093676E">
      <w:pPr>
        <w:pStyle w:val="Teksttreci0"/>
        <w:spacing w:after="0" w:line="230" w:lineRule="auto"/>
        <w:rPr>
          <w:lang w:val="pl-PL"/>
        </w:rPr>
      </w:pPr>
      <w:hyperlink r:id="rId2198" w:history="1">
        <w:r w:rsidR="000425B4">
          <w:rPr>
            <w:i/>
            <w:iCs/>
            <w:color w:val="0072BC"/>
            <w:lang w:val="pl"/>
          </w:rPr>
          <w:t xml:space="preserve">Gas i Dubois p. Francji </w:t>
        </w:r>
      </w:hyperlink>
      <w:r w:rsidR="000425B4">
        <w:rPr>
          <w:lang w:val="pl"/>
        </w:rPr>
        <w:t>(dec.), nr 25951/07, 31 sierpnia 2010 r.</w:t>
      </w:r>
    </w:p>
    <w:p w:rsidR="00B71A20" w:rsidRPr="000625F6" w:rsidRDefault="0093676E">
      <w:pPr>
        <w:pStyle w:val="Teksttreci0"/>
        <w:spacing w:after="0"/>
        <w:rPr>
          <w:lang w:val="pl-PL"/>
        </w:rPr>
      </w:pPr>
      <w:hyperlink r:id="rId2199" w:history="1">
        <w:r w:rsidR="000425B4">
          <w:rPr>
            <w:i/>
            <w:iCs/>
            <w:color w:val="0072BC"/>
            <w:lang w:val="pl"/>
          </w:rPr>
          <w:t xml:space="preserve">Gasparini p. Włochom i Belgii </w:t>
        </w:r>
      </w:hyperlink>
      <w:r w:rsidR="000425B4">
        <w:rPr>
          <w:lang w:val="pl"/>
        </w:rPr>
        <w:t>(dec.), nr 10750/03, 12 maja 2009 r.</w:t>
      </w:r>
    </w:p>
    <w:p w:rsidR="00B71A20" w:rsidRPr="000625F6" w:rsidRDefault="0093676E">
      <w:pPr>
        <w:pStyle w:val="Teksttreci0"/>
        <w:spacing w:after="0"/>
        <w:rPr>
          <w:lang w:val="pl-PL"/>
        </w:rPr>
      </w:pPr>
      <w:hyperlink r:id="rId2200" w:history="1">
        <w:r w:rsidR="000425B4">
          <w:rPr>
            <w:i/>
            <w:iCs/>
            <w:color w:val="0072BC"/>
            <w:lang w:val="pl"/>
          </w:rPr>
          <w:t>Gaziyev p. Azerbejdżanowi</w:t>
        </w:r>
        <w:r w:rsidR="000425B4">
          <w:rPr>
            <w:color w:val="0072BC"/>
            <w:lang w:val="pl"/>
          </w:rPr>
          <w:t xml:space="preserve"> </w:t>
        </w:r>
      </w:hyperlink>
      <w:r w:rsidR="000425B4">
        <w:rPr>
          <w:lang w:val="pl"/>
        </w:rPr>
        <w:t>(dec.), nr 2758/05, 7 lipica 2007 r.</w:t>
      </w:r>
    </w:p>
    <w:p w:rsidR="00B71A20" w:rsidRPr="000625F6" w:rsidRDefault="0093676E">
      <w:pPr>
        <w:pStyle w:val="Teksttreci0"/>
        <w:spacing w:after="0"/>
        <w:rPr>
          <w:lang w:val="pl-PL"/>
        </w:rPr>
      </w:pPr>
      <w:hyperlink r:id="rId2201" w:history="1">
        <w:r w:rsidR="000425B4">
          <w:rPr>
            <w:i/>
            <w:iCs/>
            <w:color w:val="0072BC"/>
            <w:lang w:val="pl"/>
          </w:rPr>
          <w:t>Genderdoc-M i M.D. p. Republice Mołdawii</w:t>
        </w:r>
        <w:r w:rsidR="000425B4">
          <w:rPr>
            <w:lang w:val="pl"/>
          </w:rPr>
          <w:t>,</w:t>
        </w:r>
      </w:hyperlink>
      <w:r w:rsidR="000425B4">
        <w:rPr>
          <w:lang w:val="pl"/>
        </w:rPr>
        <w:t xml:space="preserve"> nr 23914/15, 14 grudnia 2021 r.</w:t>
      </w:r>
    </w:p>
    <w:p w:rsidR="00B71A20" w:rsidRPr="000625F6" w:rsidRDefault="0093676E">
      <w:pPr>
        <w:pStyle w:val="Teksttreci0"/>
        <w:spacing w:after="0"/>
        <w:rPr>
          <w:lang w:val="pl-PL"/>
        </w:rPr>
      </w:pPr>
      <w:hyperlink r:id="rId2202" w:history="1">
        <w:r w:rsidR="000425B4">
          <w:rPr>
            <w:i/>
            <w:iCs/>
            <w:color w:val="0072BC"/>
            <w:lang w:val="pl"/>
          </w:rPr>
          <w:t xml:space="preserve">Gennari p. Włochom </w:t>
        </w:r>
      </w:hyperlink>
      <w:r w:rsidR="000425B4">
        <w:rPr>
          <w:lang w:val="pl"/>
        </w:rPr>
        <w:t>(dec.), nr 46956/99, 5 października 2000 r.</w:t>
      </w:r>
    </w:p>
    <w:p w:rsidR="00B71A20" w:rsidRPr="000625F6" w:rsidRDefault="0093676E">
      <w:pPr>
        <w:pStyle w:val="Teksttreci0"/>
        <w:spacing w:after="0"/>
        <w:rPr>
          <w:lang w:val="pl-PL"/>
        </w:rPr>
      </w:pPr>
      <w:hyperlink r:id="rId2203" w:history="1">
        <w:r w:rsidR="000425B4">
          <w:rPr>
            <w:i/>
            <w:iCs/>
            <w:color w:val="0072BC"/>
            <w:lang w:val="pl"/>
          </w:rPr>
          <w:t>Genovese p. Malcie</w:t>
        </w:r>
        <w:r w:rsidR="000425B4">
          <w:rPr>
            <w:lang w:val="pl"/>
          </w:rPr>
          <w:t>,</w:t>
        </w:r>
      </w:hyperlink>
      <w:r w:rsidR="000425B4">
        <w:rPr>
          <w:lang w:val="pl"/>
        </w:rPr>
        <w:t xml:space="preserve"> nr 53124/09, 11 października 2011 r.</w:t>
      </w:r>
    </w:p>
    <w:p w:rsidR="00B71A20" w:rsidRPr="000625F6" w:rsidRDefault="0093676E">
      <w:pPr>
        <w:pStyle w:val="Teksttreci0"/>
        <w:spacing w:after="0"/>
        <w:rPr>
          <w:lang w:val="pl-PL"/>
        </w:rPr>
      </w:pPr>
      <w:hyperlink r:id="rId2204" w:history="1">
        <w:r w:rsidR="000425B4">
          <w:rPr>
            <w:i/>
            <w:iCs/>
            <w:color w:val="0072BC"/>
            <w:lang w:val="pl"/>
          </w:rPr>
          <w:t>Gentilhomme, Schaff-Benhadji i Zerouki p. Francji</w:t>
        </w:r>
        <w:r w:rsidR="000425B4">
          <w:rPr>
            <w:lang w:val="pl"/>
          </w:rPr>
          <w:t>,</w:t>
        </w:r>
      </w:hyperlink>
      <w:r w:rsidR="000425B4">
        <w:rPr>
          <w:lang w:val="pl"/>
        </w:rPr>
        <w:t xml:space="preserve"> nr 48205/99 i 2 inne, 14 maja 2002 r.</w:t>
      </w:r>
    </w:p>
    <w:p w:rsidR="00B71A20" w:rsidRPr="000625F6" w:rsidRDefault="0093676E">
      <w:pPr>
        <w:pStyle w:val="Teksttreci0"/>
        <w:spacing w:after="0"/>
        <w:rPr>
          <w:lang w:val="pl-PL"/>
        </w:rPr>
      </w:pPr>
      <w:hyperlink r:id="rId2205" w:history="1">
        <w:r w:rsidR="000425B4">
          <w:rPr>
            <w:i/>
            <w:iCs/>
            <w:color w:val="0072BC"/>
            <w:lang w:val="pl"/>
          </w:rPr>
          <w:t xml:space="preserve">Gruzja p. Rosji (I) </w:t>
        </w:r>
      </w:hyperlink>
      <w:r w:rsidR="000425B4">
        <w:rPr>
          <w:lang w:val="pl"/>
        </w:rPr>
        <w:t>[WI], nr 13255/07, ECHR 2014</w:t>
      </w:r>
    </w:p>
    <w:p w:rsidR="00B71A20" w:rsidRPr="000625F6" w:rsidRDefault="0093676E">
      <w:pPr>
        <w:pStyle w:val="Teksttreci0"/>
        <w:spacing w:after="0"/>
        <w:rPr>
          <w:lang w:val="pl-PL"/>
        </w:rPr>
      </w:pPr>
      <w:hyperlink r:id="rId2206" w:history="1">
        <w:r w:rsidR="000425B4">
          <w:rPr>
            <w:i/>
            <w:iCs/>
            <w:color w:val="0072BC"/>
            <w:lang w:val="pl"/>
          </w:rPr>
          <w:t xml:space="preserve">Gruzja p. Rosji (II) </w:t>
        </w:r>
      </w:hyperlink>
      <w:r w:rsidR="000425B4">
        <w:rPr>
          <w:lang w:val="pl"/>
        </w:rPr>
        <w:t>[WI] (przedmiot skargi), nr 38263/08, 21 stycznia 2021 r.</w:t>
      </w:r>
    </w:p>
    <w:p w:rsidR="00B71A20" w:rsidRDefault="0093676E">
      <w:pPr>
        <w:pStyle w:val="Teksttreci0"/>
        <w:spacing w:after="0"/>
      </w:pPr>
      <w:hyperlink r:id="rId2207" w:history="1">
        <w:r w:rsidR="000425B4" w:rsidRPr="000625F6">
          <w:rPr>
            <w:i/>
            <w:iCs/>
            <w:color w:val="0072BC"/>
            <w:lang w:val="en-GB"/>
          </w:rPr>
          <w:t>Georgian Labour Party p. Gruzji</w:t>
        </w:r>
        <w:r w:rsidR="000425B4" w:rsidRPr="000625F6">
          <w:rPr>
            <w:lang w:val="en-GB"/>
          </w:rPr>
          <w:t>,</w:t>
        </w:r>
      </w:hyperlink>
      <w:r w:rsidR="000425B4" w:rsidRPr="000625F6">
        <w:rPr>
          <w:lang w:val="en-GB"/>
        </w:rPr>
        <w:t xml:space="preserve"> nr 9103/04, ECHR 2008</w:t>
      </w:r>
    </w:p>
    <w:p w:rsidR="00B71A20" w:rsidRPr="000625F6" w:rsidRDefault="0093676E">
      <w:pPr>
        <w:pStyle w:val="Teksttreci0"/>
        <w:spacing w:after="0"/>
        <w:rPr>
          <w:lang w:val="pl-PL"/>
        </w:rPr>
      </w:pPr>
      <w:hyperlink r:id="rId2208" w:history="1">
        <w:r w:rsidR="000425B4">
          <w:rPr>
            <w:i/>
            <w:iCs/>
            <w:color w:val="0072BC"/>
            <w:lang w:val="pl"/>
          </w:rPr>
          <w:t xml:space="preserve">Gevorgyan i Inni p. Armenii </w:t>
        </w:r>
      </w:hyperlink>
      <w:r w:rsidR="000425B4">
        <w:rPr>
          <w:lang w:val="pl"/>
        </w:rPr>
        <w:t>(dec.), nr 66535/10, 14 stycznia 2020 r.</w:t>
      </w:r>
    </w:p>
    <w:p w:rsidR="00B71A20" w:rsidRPr="000625F6" w:rsidRDefault="0093676E">
      <w:pPr>
        <w:pStyle w:val="Teksttreci0"/>
        <w:spacing w:after="0"/>
        <w:rPr>
          <w:lang w:val="pl-PL"/>
        </w:rPr>
      </w:pPr>
      <w:hyperlink r:id="rId2209" w:history="1">
        <w:r w:rsidR="000425B4">
          <w:rPr>
            <w:i/>
            <w:iCs/>
            <w:color w:val="0072BC"/>
            <w:lang w:val="pl"/>
          </w:rPr>
          <w:t xml:space="preserve">Gherghina p. Rumunii </w:t>
        </w:r>
      </w:hyperlink>
      <w:r w:rsidR="000425B4">
        <w:rPr>
          <w:lang w:val="pl"/>
        </w:rPr>
        <w:t>(dec.) [WI], nr 42219/07, 8 lipca 2015 r.</w:t>
      </w:r>
    </w:p>
    <w:p w:rsidR="00B71A20" w:rsidRPr="000625F6" w:rsidRDefault="0093676E">
      <w:pPr>
        <w:pStyle w:val="Teksttreci0"/>
        <w:spacing w:after="0"/>
        <w:rPr>
          <w:lang w:val="pl-PL"/>
        </w:rPr>
      </w:pPr>
      <w:hyperlink r:id="rId2210" w:history="1">
        <w:r w:rsidR="000425B4">
          <w:rPr>
            <w:i/>
            <w:iCs/>
            <w:color w:val="0072BC"/>
            <w:lang w:val="pl"/>
          </w:rPr>
          <w:t>Ghoumid i Inni p. Francji</w:t>
        </w:r>
        <w:r w:rsidR="000425B4">
          <w:rPr>
            <w:lang w:val="pl"/>
          </w:rPr>
          <w:t>,</w:t>
        </w:r>
      </w:hyperlink>
      <w:r w:rsidR="000425B4">
        <w:rPr>
          <w:lang w:val="pl"/>
        </w:rPr>
        <w:t xml:space="preserve"> nr 52273/16 i 4 inne, 25 czerwca 2020 r.</w:t>
      </w:r>
    </w:p>
    <w:p w:rsidR="00B71A20" w:rsidRPr="000625F6" w:rsidRDefault="0093676E">
      <w:pPr>
        <w:pStyle w:val="Teksttreci0"/>
        <w:spacing w:after="0"/>
        <w:rPr>
          <w:lang w:val="pl-PL"/>
        </w:rPr>
      </w:pPr>
      <w:hyperlink r:id="rId2211" w:history="1">
        <w:r w:rsidR="000425B4">
          <w:rPr>
            <w:i/>
            <w:iCs/>
            <w:color w:val="0072BC"/>
            <w:lang w:val="pl"/>
          </w:rPr>
          <w:t>Gillow p. Wielkiej Brytanii</w:t>
        </w:r>
        <w:r w:rsidR="000425B4">
          <w:rPr>
            <w:lang w:val="pl"/>
          </w:rPr>
          <w:t>,</w:t>
        </w:r>
      </w:hyperlink>
      <w:r w:rsidR="000425B4">
        <w:rPr>
          <w:lang w:val="pl"/>
        </w:rPr>
        <w:t xml:space="preserve"> 24 listopada 1986 r., Seria A nr 109</w:t>
      </w:r>
    </w:p>
    <w:p w:rsidR="00B71A20" w:rsidRPr="000625F6" w:rsidRDefault="0093676E">
      <w:pPr>
        <w:pStyle w:val="Teksttreci0"/>
        <w:spacing w:after="0"/>
        <w:rPr>
          <w:lang w:val="pl-PL"/>
        </w:rPr>
      </w:pPr>
      <w:hyperlink r:id="rId2212" w:history="1">
        <w:r w:rsidR="000425B4">
          <w:rPr>
            <w:i/>
            <w:iCs/>
            <w:color w:val="0072BC"/>
            <w:lang w:val="pl"/>
          </w:rPr>
          <w:t xml:space="preserve">Giuliani i Gaggio p. Włochom </w:t>
        </w:r>
      </w:hyperlink>
      <w:r w:rsidR="000425B4">
        <w:rPr>
          <w:lang w:val="pl"/>
        </w:rPr>
        <w:t>[WI], nr 23458/02, ECHR 2011</w:t>
      </w:r>
    </w:p>
    <w:p w:rsidR="00B71A20" w:rsidRPr="000625F6" w:rsidRDefault="0093676E">
      <w:pPr>
        <w:pStyle w:val="Teksttreci0"/>
        <w:spacing w:after="0"/>
        <w:rPr>
          <w:lang w:val="pl-PL"/>
        </w:rPr>
      </w:pPr>
      <w:hyperlink r:id="rId2213" w:history="1">
        <w:r w:rsidR="000425B4">
          <w:rPr>
            <w:i/>
            <w:iCs/>
            <w:color w:val="0072BC"/>
            <w:lang w:val="pl"/>
          </w:rPr>
          <w:t xml:space="preserve">Giummarra i Inni p. Francji </w:t>
        </w:r>
      </w:hyperlink>
      <w:r w:rsidR="000425B4">
        <w:rPr>
          <w:lang w:val="pl"/>
        </w:rPr>
        <w:t>(dec.), nr 61166/00, 12 czerwca 2001 r.</w:t>
      </w:r>
    </w:p>
    <w:p w:rsidR="00B71A20" w:rsidRPr="000625F6" w:rsidRDefault="0093676E">
      <w:pPr>
        <w:pStyle w:val="Teksttreci0"/>
        <w:spacing w:after="0"/>
        <w:rPr>
          <w:lang w:val="pl-PL"/>
        </w:rPr>
      </w:pPr>
      <w:hyperlink r:id="rId2214" w:history="1">
        <w:r w:rsidR="000425B4">
          <w:rPr>
            <w:i/>
            <w:iCs/>
            <w:color w:val="0072BC"/>
            <w:lang w:val="pl"/>
          </w:rPr>
          <w:t>Giuran p. Rumunii</w:t>
        </w:r>
        <w:r w:rsidR="000425B4">
          <w:rPr>
            <w:lang w:val="pl"/>
          </w:rPr>
          <w:t>,</w:t>
        </w:r>
      </w:hyperlink>
      <w:r w:rsidR="000425B4">
        <w:rPr>
          <w:lang w:val="pl"/>
        </w:rPr>
        <w:t xml:space="preserve"> nr 24360/04, ECHR 2011</w:t>
      </w:r>
    </w:p>
    <w:p w:rsidR="00B71A20" w:rsidRPr="000625F6" w:rsidRDefault="0093676E">
      <w:pPr>
        <w:pStyle w:val="Teksttreci0"/>
        <w:spacing w:after="0"/>
        <w:rPr>
          <w:lang w:val="pl-PL"/>
        </w:rPr>
      </w:pPr>
      <w:hyperlink r:id="rId2215" w:history="1">
        <w:r w:rsidR="000425B4">
          <w:rPr>
            <w:i/>
            <w:iCs/>
            <w:color w:val="0072BC"/>
            <w:lang w:val="pl"/>
          </w:rPr>
          <w:t>Giusti p. Włochom</w:t>
        </w:r>
        <w:r w:rsidR="000425B4">
          <w:rPr>
            <w:lang w:val="pl"/>
          </w:rPr>
          <w:t>,</w:t>
        </w:r>
      </w:hyperlink>
      <w:r w:rsidR="000425B4">
        <w:rPr>
          <w:lang w:val="pl"/>
        </w:rPr>
        <w:t xml:space="preserve"> nr 13175/03, 18 października 2011 r.</w:t>
      </w:r>
    </w:p>
    <w:p w:rsidR="00B71A20" w:rsidRPr="000625F6" w:rsidRDefault="0093676E">
      <w:pPr>
        <w:pStyle w:val="Teksttreci0"/>
        <w:spacing w:after="0"/>
        <w:rPr>
          <w:lang w:val="pl-PL"/>
        </w:rPr>
      </w:pPr>
      <w:hyperlink r:id="rId2216" w:history="1">
        <w:r w:rsidR="000425B4">
          <w:rPr>
            <w:i/>
            <w:iCs/>
            <w:color w:val="0072BC"/>
            <w:lang w:val="pl"/>
          </w:rPr>
          <w:t>Gogitidze i Inni p. Gruzji</w:t>
        </w:r>
        <w:r w:rsidR="000425B4">
          <w:rPr>
            <w:lang w:val="pl"/>
          </w:rPr>
          <w:t>,</w:t>
        </w:r>
      </w:hyperlink>
      <w:r w:rsidR="000425B4">
        <w:rPr>
          <w:lang w:val="pl"/>
        </w:rPr>
        <w:t xml:space="preserve"> nr 36862/05, 12 maja 2015 r.</w:t>
      </w:r>
    </w:p>
    <w:p w:rsidR="00B71A20" w:rsidRPr="000625F6" w:rsidRDefault="0093676E">
      <w:pPr>
        <w:pStyle w:val="Teksttreci0"/>
        <w:spacing w:after="0"/>
        <w:rPr>
          <w:lang w:val="pl-PL"/>
        </w:rPr>
      </w:pPr>
      <w:hyperlink r:id="rId2217" w:history="1">
        <w:r w:rsidR="000425B4">
          <w:rPr>
            <w:i/>
            <w:iCs/>
            <w:color w:val="0072BC"/>
            <w:lang w:val="pl"/>
          </w:rPr>
          <w:t>Göktan p. Francji</w:t>
        </w:r>
        <w:r w:rsidR="000425B4">
          <w:rPr>
            <w:lang w:val="pl"/>
          </w:rPr>
          <w:t>,</w:t>
        </w:r>
      </w:hyperlink>
      <w:r w:rsidR="000425B4">
        <w:rPr>
          <w:lang w:val="pl"/>
        </w:rPr>
        <w:t xml:space="preserve"> nr 33402/96, ECHR 2002-V</w:t>
      </w:r>
    </w:p>
    <w:p w:rsidR="00B71A20" w:rsidRPr="000625F6" w:rsidRDefault="0093676E">
      <w:pPr>
        <w:pStyle w:val="Teksttreci0"/>
        <w:spacing w:after="0" w:line="230" w:lineRule="auto"/>
        <w:rPr>
          <w:lang w:val="pl-PL"/>
        </w:rPr>
      </w:pPr>
      <w:hyperlink r:id="rId2218" w:history="1">
        <w:r w:rsidR="000425B4">
          <w:rPr>
            <w:i/>
            <w:iCs/>
            <w:color w:val="0072BC"/>
            <w:lang w:val="pl"/>
          </w:rPr>
          <w:t>Gorraiz Lizarraga i Inni p. Hiszpanii</w:t>
        </w:r>
        <w:r w:rsidR="000425B4">
          <w:rPr>
            <w:lang w:val="pl"/>
          </w:rPr>
          <w:t>,</w:t>
        </w:r>
      </w:hyperlink>
      <w:r w:rsidR="000425B4">
        <w:rPr>
          <w:lang w:val="pl"/>
        </w:rPr>
        <w:t xml:space="preserve"> nr 62543/00, ECHR 2004-III</w:t>
      </w:r>
    </w:p>
    <w:p w:rsidR="00B71A20" w:rsidRPr="000625F6" w:rsidRDefault="0093676E">
      <w:pPr>
        <w:pStyle w:val="Teksttreci0"/>
        <w:spacing w:after="0"/>
        <w:rPr>
          <w:lang w:val="pl-PL"/>
        </w:rPr>
      </w:pPr>
      <w:hyperlink r:id="rId2219" w:history="1">
        <w:r w:rsidR="000425B4">
          <w:rPr>
            <w:i/>
            <w:iCs/>
            <w:color w:val="0072BC"/>
            <w:lang w:val="pl"/>
          </w:rPr>
          <w:t>Gough p. Wielkiej Brytanii</w:t>
        </w:r>
        <w:r w:rsidR="000425B4">
          <w:rPr>
            <w:lang w:val="pl"/>
          </w:rPr>
          <w:t>,</w:t>
        </w:r>
      </w:hyperlink>
      <w:r w:rsidR="000425B4">
        <w:rPr>
          <w:lang w:val="pl"/>
        </w:rPr>
        <w:t xml:space="preserve"> nr 49327/11, 28 października 2014 r.</w:t>
      </w:r>
    </w:p>
    <w:p w:rsidR="00B71A20" w:rsidRPr="000625F6" w:rsidRDefault="0093676E">
      <w:pPr>
        <w:pStyle w:val="Teksttreci0"/>
        <w:spacing w:after="0"/>
        <w:rPr>
          <w:lang w:val="pl-PL"/>
        </w:rPr>
      </w:pPr>
      <w:hyperlink r:id="rId2220" w:history="1">
        <w:r w:rsidR="000425B4">
          <w:rPr>
            <w:i/>
            <w:iCs/>
            <w:color w:val="0072BC"/>
            <w:lang w:val="pl"/>
          </w:rPr>
          <w:t>Grădinar p. Mołdawii</w:t>
        </w:r>
        <w:r w:rsidR="000425B4">
          <w:rPr>
            <w:lang w:val="pl"/>
          </w:rPr>
          <w:t>,</w:t>
        </w:r>
      </w:hyperlink>
      <w:r w:rsidR="000425B4">
        <w:rPr>
          <w:lang w:val="pl"/>
        </w:rPr>
        <w:t xml:space="preserve"> nr 7170/02, 8 kwietnia 2008 r.</w:t>
      </w:r>
    </w:p>
    <w:p w:rsidR="00B71A20" w:rsidRPr="000625F6" w:rsidRDefault="0093676E">
      <w:pPr>
        <w:pStyle w:val="Teksttreci0"/>
        <w:spacing w:after="0"/>
        <w:rPr>
          <w:lang w:val="pl-PL"/>
        </w:rPr>
      </w:pPr>
      <w:hyperlink r:id="rId2221" w:history="1">
        <w:r w:rsidR="000425B4">
          <w:rPr>
            <w:i/>
            <w:iCs/>
            <w:color w:val="0072BC"/>
            <w:lang w:val="pl"/>
          </w:rPr>
          <w:t>Grande Stevens i Inni p. Włochom</w:t>
        </w:r>
        <w:r w:rsidR="000425B4">
          <w:rPr>
            <w:lang w:val="pl"/>
          </w:rPr>
          <w:t>,</w:t>
        </w:r>
      </w:hyperlink>
      <w:r w:rsidR="000425B4">
        <w:rPr>
          <w:lang w:val="pl"/>
        </w:rPr>
        <w:t xml:space="preserve"> nr 18640/10 i 4 inne, 4 marca 2014 r.</w:t>
      </w:r>
    </w:p>
    <w:p w:rsidR="00B71A20" w:rsidRPr="000625F6" w:rsidRDefault="0093676E">
      <w:pPr>
        <w:pStyle w:val="Teksttreci0"/>
        <w:spacing w:after="0"/>
        <w:rPr>
          <w:lang w:val="pl-PL"/>
        </w:rPr>
      </w:pPr>
      <w:hyperlink r:id="rId2222" w:history="1">
        <w:r w:rsidR="000425B4">
          <w:rPr>
            <w:i/>
            <w:iCs/>
            <w:color w:val="0072BC"/>
            <w:lang w:val="pl"/>
          </w:rPr>
          <w:t xml:space="preserve">Grässer p. Niemcom </w:t>
        </w:r>
      </w:hyperlink>
      <w:r w:rsidR="000425B4">
        <w:rPr>
          <w:lang w:val="pl"/>
        </w:rPr>
        <w:t>(dec.), nr 66491/01, 16 września 2004 r.</w:t>
      </w:r>
    </w:p>
    <w:p w:rsidR="00B71A20" w:rsidRDefault="0093676E">
      <w:pPr>
        <w:pStyle w:val="Teksttreci0"/>
        <w:spacing w:after="0"/>
      </w:pPr>
      <w:hyperlink r:id="rId2223" w:history="1">
        <w:r w:rsidR="000425B4" w:rsidRPr="000625F6">
          <w:rPr>
            <w:i/>
            <w:iCs/>
            <w:color w:val="0072BC"/>
            <w:lang w:val="en-GB"/>
          </w:rPr>
          <w:t xml:space="preserve">Gratzinger i Gratzingerova p. Czechom </w:t>
        </w:r>
      </w:hyperlink>
      <w:r w:rsidR="000425B4" w:rsidRPr="000625F6">
        <w:rPr>
          <w:lang w:val="en-GB"/>
        </w:rPr>
        <w:t>(dec.) [WI], nr 39794/98, ECHR 2002-VII</w:t>
      </w:r>
    </w:p>
    <w:p w:rsidR="00B71A20" w:rsidRDefault="0093676E">
      <w:pPr>
        <w:pStyle w:val="Teksttreci0"/>
        <w:spacing w:after="0"/>
      </w:pPr>
      <w:hyperlink r:id="rId2224" w:history="1">
        <w:r w:rsidR="000425B4" w:rsidRPr="000625F6">
          <w:rPr>
            <w:i/>
            <w:iCs/>
            <w:color w:val="0072BC"/>
            <w:lang w:val="en-GB"/>
          </w:rPr>
          <w:t xml:space="preserve">Greek Federation of Bank Employee Unions p. Grecji </w:t>
        </w:r>
      </w:hyperlink>
      <w:r w:rsidR="000425B4" w:rsidRPr="000625F6">
        <w:rPr>
          <w:lang w:val="en-GB"/>
        </w:rPr>
        <w:t>(dec.), nr 72808/10, 6 grudnia 2011 r.</w:t>
      </w:r>
    </w:p>
    <w:p w:rsidR="00B71A20" w:rsidRPr="000625F6" w:rsidRDefault="0093676E">
      <w:pPr>
        <w:pStyle w:val="Teksttreci0"/>
        <w:spacing w:after="0"/>
        <w:rPr>
          <w:lang w:val="pl-PL"/>
        </w:rPr>
      </w:pPr>
      <w:hyperlink r:id="rId2225" w:history="1">
        <w:r w:rsidR="000425B4">
          <w:rPr>
            <w:i/>
            <w:iCs/>
            <w:color w:val="0072BC"/>
            <w:lang w:val="pl"/>
          </w:rPr>
          <w:t xml:space="preserve">Grišankova i Grišankovs p. Łotwie </w:t>
        </w:r>
      </w:hyperlink>
      <w:r w:rsidR="000425B4">
        <w:rPr>
          <w:lang w:val="pl"/>
        </w:rPr>
        <w:t>(dec.), nr 36117/02, ECHR 2003-II</w:t>
      </w:r>
    </w:p>
    <w:p w:rsidR="00B71A20" w:rsidRPr="000625F6" w:rsidRDefault="0093676E">
      <w:pPr>
        <w:pStyle w:val="Teksttreci0"/>
        <w:spacing w:after="0"/>
        <w:rPr>
          <w:lang w:val="pl-PL"/>
        </w:rPr>
      </w:pPr>
      <w:hyperlink r:id="rId2226" w:history="1">
        <w:r w:rsidR="000425B4">
          <w:rPr>
            <w:i/>
            <w:iCs/>
            <w:color w:val="0072BC"/>
            <w:lang w:val="pl"/>
          </w:rPr>
          <w:t>Grori p. Albanii</w:t>
        </w:r>
        <w:r w:rsidR="000425B4">
          <w:rPr>
            <w:lang w:val="pl"/>
          </w:rPr>
          <w:t>,</w:t>
        </w:r>
      </w:hyperlink>
      <w:r w:rsidR="000425B4">
        <w:rPr>
          <w:lang w:val="pl"/>
        </w:rPr>
        <w:t xml:space="preserve"> nr 25336/04, 7 lipca 2009 r.</w:t>
      </w:r>
    </w:p>
    <w:p w:rsidR="00B71A20" w:rsidRPr="000625F6" w:rsidRDefault="0093676E">
      <w:pPr>
        <w:pStyle w:val="Teksttreci0"/>
        <w:spacing w:after="0"/>
        <w:rPr>
          <w:lang w:val="pl-PL"/>
        </w:rPr>
      </w:pPr>
      <w:hyperlink r:id="rId2227" w:history="1">
        <w:r w:rsidR="000425B4">
          <w:rPr>
            <w:i/>
            <w:iCs/>
            <w:color w:val="0072BC"/>
            <w:lang w:val="pl"/>
          </w:rPr>
          <w:t xml:space="preserve">Gross p. Szwajcarii </w:t>
        </w:r>
      </w:hyperlink>
      <w:r w:rsidR="000425B4">
        <w:rPr>
          <w:lang w:val="pl"/>
        </w:rPr>
        <w:t>[WI], nr 67810/10, ECHR 2014</w:t>
      </w:r>
    </w:p>
    <w:p w:rsidR="00B71A20" w:rsidRPr="000625F6" w:rsidRDefault="0093676E">
      <w:pPr>
        <w:pStyle w:val="Teksttreci0"/>
        <w:spacing w:after="0"/>
        <w:rPr>
          <w:lang w:val="pl-PL"/>
        </w:rPr>
      </w:pPr>
      <w:hyperlink r:id="rId2228" w:history="1">
        <w:r w:rsidR="000425B4">
          <w:rPr>
            <w:i/>
            <w:iCs/>
            <w:color w:val="0072BC"/>
            <w:lang w:val="pl"/>
          </w:rPr>
          <w:t xml:space="preserve">Grossi i Inni p. Włochom </w:t>
        </w:r>
      </w:hyperlink>
      <w:r w:rsidR="000425B4">
        <w:rPr>
          <w:lang w:val="pl"/>
        </w:rPr>
        <w:t>(rewizja), nr 18791/03, 30 października 2012 r.</w:t>
      </w:r>
    </w:p>
    <w:p w:rsidR="00B71A20" w:rsidRPr="000625F6" w:rsidRDefault="0093676E">
      <w:pPr>
        <w:pStyle w:val="Teksttreci0"/>
        <w:spacing w:after="0"/>
        <w:rPr>
          <w:lang w:val="pl-PL"/>
        </w:rPr>
      </w:pPr>
      <w:hyperlink r:id="rId2229" w:history="1">
        <w:r w:rsidR="000425B4">
          <w:rPr>
            <w:i/>
            <w:iCs/>
            <w:color w:val="0072BC"/>
            <w:lang w:val="pl"/>
          </w:rPr>
          <w:t>Grozdanić i Gršković-Grozdanić p. Chorwacji</w:t>
        </w:r>
        <w:r w:rsidR="000425B4">
          <w:rPr>
            <w:lang w:val="pl"/>
          </w:rPr>
          <w:t>,</w:t>
        </w:r>
      </w:hyperlink>
      <w:r w:rsidR="000425B4">
        <w:rPr>
          <w:lang w:val="pl"/>
        </w:rPr>
        <w:t xml:space="preserve"> nr 43326/13, 28 stycznia 2021 r.</w:t>
      </w:r>
    </w:p>
    <w:p w:rsidR="00B71A20" w:rsidRPr="000625F6" w:rsidRDefault="0093676E">
      <w:pPr>
        <w:pStyle w:val="Teksttreci0"/>
        <w:spacing w:after="0"/>
        <w:rPr>
          <w:lang w:val="pl-PL"/>
        </w:rPr>
      </w:pPr>
      <w:hyperlink r:id="rId2230" w:history="1">
        <w:r w:rsidR="000425B4">
          <w:rPr>
            <w:i/>
            <w:iCs/>
            <w:color w:val="0072BC"/>
            <w:lang w:val="pl"/>
          </w:rPr>
          <w:t>Grzinčič p. Słowenii</w:t>
        </w:r>
        <w:r w:rsidR="000425B4">
          <w:rPr>
            <w:lang w:val="pl"/>
          </w:rPr>
          <w:t>,</w:t>
        </w:r>
      </w:hyperlink>
      <w:r w:rsidR="000425B4">
        <w:rPr>
          <w:lang w:val="pl"/>
        </w:rPr>
        <w:t xml:space="preserve"> nr 26867/02, 3 maja 2007 r.</w:t>
      </w:r>
    </w:p>
    <w:p w:rsidR="00B71A20" w:rsidRDefault="0093676E">
      <w:pPr>
        <w:pStyle w:val="Teksttreci0"/>
        <w:spacing w:after="0"/>
      </w:pPr>
      <w:hyperlink r:id="rId2231" w:history="1">
        <w:r w:rsidR="000425B4" w:rsidRPr="000625F6">
          <w:rPr>
            <w:i/>
            <w:iCs/>
            <w:color w:val="0072BC"/>
            <w:lang w:val="en-GB"/>
          </w:rPr>
          <w:t>Guisset p. Francji</w:t>
        </w:r>
        <w:r w:rsidR="000425B4" w:rsidRPr="000625F6">
          <w:rPr>
            <w:lang w:val="en-GB"/>
          </w:rPr>
          <w:t>,</w:t>
        </w:r>
      </w:hyperlink>
      <w:r w:rsidR="000425B4" w:rsidRPr="000625F6">
        <w:rPr>
          <w:lang w:val="en-GB"/>
        </w:rPr>
        <w:t xml:space="preserve"> nr 33933/96, ECHR 2000-IX</w:t>
      </w:r>
    </w:p>
    <w:p w:rsidR="00B71A20" w:rsidRPr="000625F6" w:rsidRDefault="0093676E">
      <w:pPr>
        <w:pStyle w:val="Teksttreci0"/>
        <w:spacing w:after="0"/>
        <w:rPr>
          <w:lang w:val="pl-PL"/>
        </w:rPr>
      </w:pPr>
      <w:hyperlink r:id="rId2232" w:history="1">
        <w:r w:rsidR="000425B4">
          <w:rPr>
            <w:i/>
            <w:iCs/>
            <w:color w:val="0072BC"/>
            <w:lang w:val="pl"/>
          </w:rPr>
          <w:t>Gülen p. Turcji</w:t>
        </w:r>
        <w:r w:rsidR="000425B4">
          <w:rPr>
            <w:lang w:val="pl"/>
          </w:rPr>
          <w:t>,</w:t>
        </w:r>
      </w:hyperlink>
      <w:r w:rsidR="000425B4">
        <w:rPr>
          <w:lang w:val="pl"/>
        </w:rPr>
        <w:t xml:space="preserve"> nr 28226/02, 14 października 2008 r.</w:t>
      </w:r>
    </w:p>
    <w:p w:rsidR="00B71A20" w:rsidRPr="000625F6" w:rsidRDefault="0093676E">
      <w:pPr>
        <w:pStyle w:val="Teksttreci0"/>
        <w:spacing w:after="0"/>
        <w:rPr>
          <w:lang w:val="pl-PL"/>
        </w:rPr>
      </w:pPr>
      <w:hyperlink r:id="rId2233" w:history="1">
        <w:r w:rsidR="000425B4">
          <w:rPr>
            <w:i/>
            <w:iCs/>
            <w:color w:val="0072BC"/>
            <w:lang w:val="pl"/>
          </w:rPr>
          <w:t xml:space="preserve">Güneş p. Turcji </w:t>
        </w:r>
      </w:hyperlink>
      <w:r w:rsidR="000425B4">
        <w:rPr>
          <w:lang w:val="pl"/>
        </w:rPr>
        <w:t>(dec.), nr 53916/00, 13 maja 2004 r.</w:t>
      </w:r>
    </w:p>
    <w:p w:rsidR="00B71A20" w:rsidRPr="000625F6" w:rsidRDefault="0093676E">
      <w:pPr>
        <w:pStyle w:val="Teksttreci0"/>
        <w:spacing w:after="0"/>
        <w:rPr>
          <w:lang w:val="pl-PL"/>
        </w:rPr>
      </w:pPr>
      <w:hyperlink r:id="rId2234" w:history="1">
        <w:r w:rsidR="000425B4">
          <w:rPr>
            <w:i/>
            <w:iCs/>
            <w:color w:val="0072BC"/>
            <w:lang w:val="pl"/>
          </w:rPr>
          <w:t xml:space="preserve">Gürdeniz p. Turcji </w:t>
        </w:r>
      </w:hyperlink>
      <w:r w:rsidR="000425B4">
        <w:rPr>
          <w:lang w:val="pl"/>
        </w:rPr>
        <w:t>(dec.), nr 59715/10, 18 marca 2014 r.</w:t>
      </w:r>
    </w:p>
    <w:p w:rsidR="00B71A20" w:rsidRPr="000625F6" w:rsidRDefault="0093676E">
      <w:pPr>
        <w:pStyle w:val="Teksttreci0"/>
        <w:spacing w:after="0"/>
        <w:rPr>
          <w:lang w:val="pl-PL"/>
        </w:rPr>
      </w:pPr>
      <w:hyperlink r:id="rId2235" w:history="1">
        <w:r w:rsidR="000425B4">
          <w:rPr>
            <w:i/>
            <w:iCs/>
            <w:color w:val="0072BC"/>
            <w:lang w:val="pl"/>
          </w:rPr>
          <w:t xml:space="preserve">Guruyan p. Armenii </w:t>
        </w:r>
      </w:hyperlink>
      <w:r w:rsidR="000425B4">
        <w:rPr>
          <w:lang w:val="pl"/>
        </w:rPr>
        <w:t>(dec.), nr 11456/05, 24 stycznia 2012 r.</w:t>
      </w:r>
    </w:p>
    <w:p w:rsidR="00B71A20" w:rsidRPr="000625F6" w:rsidRDefault="0093676E" w:rsidP="00381152">
      <w:pPr>
        <w:pStyle w:val="Teksttreci0"/>
        <w:spacing w:after="0"/>
        <w:rPr>
          <w:lang w:val="pl-PL"/>
        </w:rPr>
      </w:pPr>
      <w:hyperlink r:id="rId2236" w:history="1">
        <w:r w:rsidR="000425B4">
          <w:rPr>
            <w:i/>
            <w:iCs/>
            <w:color w:val="0072BC"/>
            <w:lang w:val="pl"/>
          </w:rPr>
          <w:t xml:space="preserve">Güzelyurtlu i Inni p. Cyprowi i Turcji </w:t>
        </w:r>
      </w:hyperlink>
      <w:r w:rsidR="000425B4">
        <w:rPr>
          <w:lang w:val="pl"/>
        </w:rPr>
        <w:t>[WI], nr 36925/07, 29 stycznia 2019 r.</w:t>
      </w:r>
    </w:p>
    <w:p w:rsidR="00B71A20" w:rsidRPr="000625F6" w:rsidRDefault="0093676E">
      <w:pPr>
        <w:pStyle w:val="Teksttreci0"/>
        <w:spacing w:after="0"/>
        <w:rPr>
          <w:lang w:val="pl-PL"/>
        </w:rPr>
      </w:pPr>
      <w:hyperlink r:id="rId2237" w:history="1">
        <w:r w:rsidR="000425B4">
          <w:rPr>
            <w:i/>
            <w:iCs/>
            <w:color w:val="0072BC"/>
            <w:lang w:val="pl"/>
          </w:rPr>
          <w:t>H.F. K-F p. Niemcom</w:t>
        </w:r>
        <w:r w:rsidR="000425B4">
          <w:rPr>
            <w:lang w:val="pl"/>
          </w:rPr>
          <w:t>,</w:t>
        </w:r>
      </w:hyperlink>
      <w:r w:rsidR="000425B4">
        <w:rPr>
          <w:lang w:val="pl"/>
        </w:rPr>
        <w:t xml:space="preserve"> nr 25629/94, raport Komisji z dnia 10 września 1996 r.</w:t>
      </w:r>
    </w:p>
    <w:p w:rsidR="00B71A20" w:rsidRPr="000625F6" w:rsidRDefault="0093676E">
      <w:pPr>
        <w:pStyle w:val="Teksttreci0"/>
        <w:spacing w:after="0"/>
        <w:rPr>
          <w:lang w:val="pl-PL"/>
        </w:rPr>
      </w:pPr>
      <w:hyperlink r:id="rId2238" w:history="1">
        <w:r w:rsidR="000425B4">
          <w:rPr>
            <w:i/>
            <w:iCs/>
            <w:color w:val="0072BC"/>
            <w:lang w:val="pl"/>
          </w:rPr>
          <w:t xml:space="preserve">Haas p. Szwajcarii </w:t>
        </w:r>
      </w:hyperlink>
      <w:r w:rsidR="000425B4">
        <w:rPr>
          <w:lang w:val="pl"/>
        </w:rPr>
        <w:t>(dec.), nr 31322/07, 20 maja 2010 r.</w:t>
      </w:r>
    </w:p>
    <w:p w:rsidR="00B71A20" w:rsidRPr="000625F6" w:rsidRDefault="0093676E">
      <w:pPr>
        <w:pStyle w:val="Teksttreci0"/>
        <w:spacing w:after="0"/>
        <w:rPr>
          <w:lang w:val="pl-PL"/>
        </w:rPr>
      </w:pPr>
      <w:hyperlink r:id="rId2239" w:history="1">
        <w:r w:rsidR="000425B4">
          <w:rPr>
            <w:i/>
            <w:iCs/>
            <w:color w:val="0072BC"/>
            <w:lang w:val="pl"/>
          </w:rPr>
          <w:t>Haász i Szabó p. Węgrom</w:t>
        </w:r>
        <w:r w:rsidR="000425B4">
          <w:rPr>
            <w:lang w:val="pl"/>
          </w:rPr>
          <w:t>,</w:t>
        </w:r>
      </w:hyperlink>
      <w:r w:rsidR="000425B4">
        <w:rPr>
          <w:lang w:val="pl"/>
        </w:rPr>
        <w:t xml:space="preserve"> nr 11327/14 i 11613/14, 13 października 2015 r.</w:t>
      </w:r>
    </w:p>
    <w:p w:rsidR="00B71A20" w:rsidRPr="000625F6" w:rsidRDefault="0093676E">
      <w:pPr>
        <w:pStyle w:val="Teksttreci0"/>
        <w:spacing w:after="0"/>
        <w:rPr>
          <w:lang w:val="pl-PL"/>
        </w:rPr>
      </w:pPr>
      <w:hyperlink r:id="rId2240" w:history="1">
        <w:r w:rsidR="000425B4">
          <w:rPr>
            <w:i/>
            <w:iCs/>
            <w:color w:val="0072BC"/>
            <w:lang w:val="pl"/>
          </w:rPr>
          <w:t xml:space="preserve">Hadrabová i Inni p. Czechom </w:t>
        </w:r>
      </w:hyperlink>
      <w:r w:rsidR="000425B4">
        <w:rPr>
          <w:lang w:val="pl"/>
        </w:rPr>
        <w:t>(dec.), nr 42165/02 i 466/03, 25 września 2007 r.</w:t>
      </w:r>
    </w:p>
    <w:p w:rsidR="00B71A20" w:rsidRPr="000625F6" w:rsidRDefault="0093676E">
      <w:pPr>
        <w:pStyle w:val="Teksttreci0"/>
        <w:spacing w:after="0"/>
        <w:rPr>
          <w:lang w:val="pl-PL"/>
        </w:rPr>
      </w:pPr>
      <w:hyperlink r:id="rId2241" w:history="1">
        <w:r w:rsidR="000425B4">
          <w:rPr>
            <w:i/>
            <w:iCs/>
            <w:color w:val="0072BC"/>
            <w:lang w:val="pl"/>
          </w:rPr>
          <w:t>Hambardzumyan p. Armenii</w:t>
        </w:r>
        <w:r w:rsidR="000425B4">
          <w:rPr>
            <w:lang w:val="pl"/>
          </w:rPr>
          <w:t>,</w:t>
        </w:r>
      </w:hyperlink>
      <w:r w:rsidR="000425B4">
        <w:rPr>
          <w:lang w:val="pl"/>
        </w:rPr>
        <w:t xml:space="preserve"> nr 43478/11, 5 grudnia 2019 r.</w:t>
      </w:r>
    </w:p>
    <w:p w:rsidR="00B71A20" w:rsidRPr="000625F6" w:rsidRDefault="0093676E">
      <w:pPr>
        <w:pStyle w:val="Teksttreci0"/>
        <w:spacing w:after="0"/>
        <w:rPr>
          <w:lang w:val="pl-PL"/>
        </w:rPr>
      </w:pPr>
      <w:hyperlink r:id="rId2242" w:history="1">
        <w:r w:rsidR="000425B4">
          <w:rPr>
            <w:i/>
            <w:iCs/>
            <w:color w:val="0072BC"/>
            <w:lang w:val="pl"/>
          </w:rPr>
          <w:t xml:space="preserve">Hamidovic p. Włochom </w:t>
        </w:r>
      </w:hyperlink>
      <w:r w:rsidR="000425B4">
        <w:rPr>
          <w:lang w:val="pl"/>
        </w:rPr>
        <w:t>(dec.), nr 31956/05, 13 września 2011 r.</w:t>
      </w:r>
    </w:p>
    <w:p w:rsidR="00B71A20" w:rsidRPr="000625F6" w:rsidRDefault="0093676E">
      <w:pPr>
        <w:pStyle w:val="Teksttreci0"/>
        <w:spacing w:after="0"/>
        <w:rPr>
          <w:lang w:val="pl-PL"/>
        </w:rPr>
      </w:pPr>
      <w:hyperlink r:id="rId2243" w:history="1">
        <w:r w:rsidR="000425B4">
          <w:rPr>
            <w:i/>
            <w:iCs/>
            <w:color w:val="0072BC"/>
            <w:lang w:val="pl"/>
          </w:rPr>
          <w:t xml:space="preserve">Hanan p. Niemcom </w:t>
        </w:r>
      </w:hyperlink>
      <w:r w:rsidR="000425B4">
        <w:rPr>
          <w:lang w:val="pl"/>
        </w:rPr>
        <w:t>[WI], nr 4871/16, 16 lutego 2021 r.</w:t>
      </w:r>
    </w:p>
    <w:p w:rsidR="00B71A20" w:rsidRPr="000625F6" w:rsidRDefault="0093676E">
      <w:pPr>
        <w:pStyle w:val="Teksttreci0"/>
        <w:spacing w:after="0"/>
        <w:rPr>
          <w:lang w:val="pl-PL"/>
        </w:rPr>
      </w:pPr>
      <w:hyperlink r:id="rId2244" w:history="1">
        <w:r w:rsidR="000425B4">
          <w:rPr>
            <w:i/>
            <w:iCs/>
            <w:color w:val="0072BC"/>
            <w:lang w:val="pl"/>
          </w:rPr>
          <w:t xml:space="preserve">Hanzl i Špadrna p. Czechom </w:t>
        </w:r>
      </w:hyperlink>
      <w:r w:rsidR="000425B4">
        <w:rPr>
          <w:lang w:val="pl"/>
        </w:rPr>
        <w:t>(dec.), nr 30073/06, 15 stycznia 2013 r.</w:t>
      </w:r>
    </w:p>
    <w:p w:rsidR="00B71A20" w:rsidRPr="000625F6" w:rsidRDefault="0093676E">
      <w:pPr>
        <w:pStyle w:val="Teksttreci0"/>
        <w:spacing w:after="0"/>
        <w:rPr>
          <w:lang w:val="pl-PL"/>
        </w:rPr>
      </w:pPr>
      <w:hyperlink r:id="rId2245" w:history="1">
        <w:r w:rsidR="000425B4">
          <w:rPr>
            <w:i/>
            <w:iCs/>
            <w:color w:val="0072BC"/>
            <w:lang w:val="pl"/>
          </w:rPr>
          <w:t xml:space="preserve">Harkins p. Wielkiej Brytanii </w:t>
        </w:r>
      </w:hyperlink>
      <w:r w:rsidR="000425B4">
        <w:rPr>
          <w:lang w:val="pl"/>
        </w:rPr>
        <w:t>(dec.) [WI], nr 71537/14, 15 czerwca 2017 r.</w:t>
      </w:r>
    </w:p>
    <w:p w:rsidR="00B71A20" w:rsidRPr="000625F6" w:rsidRDefault="0093676E">
      <w:pPr>
        <w:pStyle w:val="Teksttreci0"/>
        <w:spacing w:after="0" w:line="230" w:lineRule="auto"/>
        <w:rPr>
          <w:lang w:val="pl-PL"/>
        </w:rPr>
      </w:pPr>
      <w:hyperlink r:id="rId2246" w:history="1">
        <w:r w:rsidR="000425B4">
          <w:rPr>
            <w:i/>
            <w:iCs/>
            <w:color w:val="0072BC"/>
            <w:lang w:val="pl"/>
          </w:rPr>
          <w:t>Hartman p. Czechom</w:t>
        </w:r>
        <w:r w:rsidR="000425B4">
          <w:rPr>
            <w:lang w:val="pl"/>
          </w:rPr>
          <w:t>,</w:t>
        </w:r>
      </w:hyperlink>
      <w:r w:rsidR="000425B4">
        <w:rPr>
          <w:lang w:val="pl"/>
        </w:rPr>
        <w:t xml:space="preserve"> nr 53341/99, ECHR 2003-VIII</w:t>
      </w:r>
    </w:p>
    <w:p w:rsidR="00B71A20" w:rsidRPr="000625F6" w:rsidRDefault="0093676E">
      <w:pPr>
        <w:pStyle w:val="Teksttreci0"/>
        <w:spacing w:after="0"/>
        <w:rPr>
          <w:lang w:val="pl-PL"/>
        </w:rPr>
      </w:pPr>
      <w:hyperlink r:id="rId2247" w:history="1">
        <w:r w:rsidR="000425B4">
          <w:rPr>
            <w:i/>
            <w:iCs/>
            <w:color w:val="0072BC"/>
            <w:lang w:val="pl"/>
          </w:rPr>
          <w:t xml:space="preserve">Hartung p. Francji </w:t>
        </w:r>
      </w:hyperlink>
      <w:r w:rsidR="000425B4">
        <w:rPr>
          <w:lang w:val="pl"/>
        </w:rPr>
        <w:t>(dec.), nr 10231/07, 3 listopada 2009 r.</w:t>
      </w:r>
    </w:p>
    <w:p w:rsidR="00B71A20" w:rsidRDefault="0093676E">
      <w:pPr>
        <w:pStyle w:val="Teksttreci0"/>
        <w:spacing w:after="0"/>
      </w:pPr>
      <w:hyperlink r:id="rId2248" w:history="1">
        <w:r w:rsidR="000425B4" w:rsidRPr="000625F6">
          <w:rPr>
            <w:i/>
            <w:iCs/>
            <w:color w:val="0072BC"/>
            <w:lang w:val="en-GB"/>
          </w:rPr>
          <w:t>Harutyunyan p. Armenii</w:t>
        </w:r>
        <w:r w:rsidR="000425B4" w:rsidRPr="000625F6">
          <w:rPr>
            <w:lang w:val="en-GB"/>
          </w:rPr>
          <w:t>,</w:t>
        </w:r>
      </w:hyperlink>
      <w:r w:rsidR="000425B4" w:rsidRPr="000625F6">
        <w:rPr>
          <w:lang w:val="en-GB"/>
        </w:rPr>
        <w:t xml:space="preserve"> nr 36549/03, ECHR 2007-III</w:t>
      </w:r>
    </w:p>
    <w:p w:rsidR="00B71A20" w:rsidRPr="000625F6" w:rsidRDefault="0093676E">
      <w:pPr>
        <w:pStyle w:val="Teksttreci0"/>
        <w:spacing w:after="0"/>
        <w:rPr>
          <w:lang w:val="pl-PL"/>
        </w:rPr>
      </w:pPr>
      <w:hyperlink r:id="rId2249" w:history="1">
        <w:r w:rsidR="000425B4">
          <w:rPr>
            <w:i/>
            <w:iCs/>
            <w:color w:val="0072BC"/>
            <w:lang w:val="pl"/>
          </w:rPr>
          <w:t>Hasan Tunç i Inni p. Turcji</w:t>
        </w:r>
        <w:r w:rsidR="000425B4">
          <w:rPr>
            <w:lang w:val="pl"/>
          </w:rPr>
          <w:t>,</w:t>
        </w:r>
      </w:hyperlink>
      <w:r w:rsidR="000425B4">
        <w:rPr>
          <w:lang w:val="pl"/>
        </w:rPr>
        <w:t xml:space="preserve"> nr 19074/05, 31 stycznia 2017 r.</w:t>
      </w:r>
    </w:p>
    <w:p w:rsidR="00B71A20" w:rsidRPr="000625F6" w:rsidRDefault="0093676E">
      <w:pPr>
        <w:pStyle w:val="Teksttreci0"/>
        <w:spacing w:after="0"/>
        <w:rPr>
          <w:lang w:val="pl-PL"/>
        </w:rPr>
      </w:pPr>
      <w:hyperlink r:id="rId2250" w:history="1">
        <w:r w:rsidR="000425B4">
          <w:rPr>
            <w:i/>
            <w:iCs/>
            <w:color w:val="0072BC"/>
            <w:lang w:val="pl"/>
          </w:rPr>
          <w:t xml:space="preserve">Hassan p. Wielkiej Brytanii </w:t>
        </w:r>
      </w:hyperlink>
      <w:r w:rsidR="000425B4">
        <w:rPr>
          <w:lang w:val="pl"/>
        </w:rPr>
        <w:t>[WI], nr 29750/09, ECHR 2014</w:t>
      </w:r>
    </w:p>
    <w:p w:rsidR="00B71A20" w:rsidRPr="000625F6" w:rsidRDefault="0093676E">
      <w:pPr>
        <w:pStyle w:val="Teksttreci0"/>
        <w:spacing w:after="0"/>
        <w:rPr>
          <w:lang w:val="pl-PL"/>
        </w:rPr>
      </w:pPr>
      <w:hyperlink r:id="rId2251" w:history="1">
        <w:r w:rsidR="000425B4">
          <w:rPr>
            <w:i/>
            <w:iCs/>
            <w:color w:val="0072BC"/>
            <w:lang w:val="pl"/>
          </w:rPr>
          <w:t xml:space="preserve">Havelka p. Czechom </w:t>
        </w:r>
      </w:hyperlink>
      <w:r w:rsidR="000425B4">
        <w:rPr>
          <w:lang w:val="pl"/>
        </w:rPr>
        <w:t>(dec.), nr 7332/10, 20 września 2011 r.</w:t>
      </w:r>
    </w:p>
    <w:p w:rsidR="00B71A20" w:rsidRPr="000625F6" w:rsidRDefault="0093676E">
      <w:pPr>
        <w:pStyle w:val="Teksttreci0"/>
        <w:spacing w:after="0"/>
        <w:rPr>
          <w:lang w:val="pl-PL"/>
        </w:rPr>
      </w:pPr>
      <w:hyperlink r:id="rId2252" w:history="1">
        <w:r w:rsidR="000425B4">
          <w:rPr>
            <w:i/>
            <w:iCs/>
            <w:color w:val="0072BC"/>
            <w:lang w:val="pl"/>
          </w:rPr>
          <w:t>Hebat Aslan i Firas Aslan p. Turcji</w:t>
        </w:r>
        <w:r w:rsidR="000425B4">
          <w:rPr>
            <w:lang w:val="pl"/>
          </w:rPr>
          <w:t>,</w:t>
        </w:r>
      </w:hyperlink>
      <w:r w:rsidR="000425B4">
        <w:rPr>
          <w:lang w:val="pl"/>
        </w:rPr>
        <w:t xml:space="preserve"> nr 15048/09, 28 października 2014 r.</w:t>
      </w:r>
    </w:p>
    <w:p w:rsidR="00B71A20" w:rsidRPr="000625F6" w:rsidRDefault="0093676E">
      <w:pPr>
        <w:pStyle w:val="Teksttreci0"/>
        <w:spacing w:after="0"/>
        <w:rPr>
          <w:lang w:val="pl-PL"/>
        </w:rPr>
      </w:pPr>
      <w:hyperlink r:id="rId2253" w:history="1">
        <w:r w:rsidR="000425B4">
          <w:rPr>
            <w:i/>
            <w:iCs/>
            <w:color w:val="0072BC"/>
            <w:lang w:val="pl"/>
          </w:rPr>
          <w:t xml:space="preserve">Hingitaq 53 i Inni p. Danii </w:t>
        </w:r>
      </w:hyperlink>
      <w:r w:rsidR="000425B4">
        <w:rPr>
          <w:lang w:val="pl"/>
        </w:rPr>
        <w:t>(dec.), nr 18584/04, ECHR 2006-I</w:t>
      </w:r>
    </w:p>
    <w:p w:rsidR="00B71A20" w:rsidRPr="000625F6" w:rsidRDefault="0093676E">
      <w:pPr>
        <w:pStyle w:val="Teksttreci0"/>
        <w:spacing w:after="0"/>
        <w:rPr>
          <w:lang w:val="pl-PL"/>
        </w:rPr>
      </w:pPr>
      <w:hyperlink r:id="rId2254" w:history="1">
        <w:r w:rsidR="000425B4">
          <w:rPr>
            <w:i/>
            <w:iCs/>
            <w:color w:val="0072BC"/>
            <w:lang w:val="pl"/>
          </w:rPr>
          <w:t xml:space="preserve">Hirsi Jamaa i Inni p. Włochom </w:t>
        </w:r>
      </w:hyperlink>
      <w:r w:rsidR="000425B4">
        <w:rPr>
          <w:lang w:val="pl"/>
        </w:rPr>
        <w:t>[WI], nr 27765/09, ECHR 2012</w:t>
      </w:r>
    </w:p>
    <w:p w:rsidR="00B71A20" w:rsidRPr="000625F6" w:rsidRDefault="0093676E">
      <w:pPr>
        <w:pStyle w:val="Teksttreci0"/>
        <w:spacing w:after="0"/>
        <w:rPr>
          <w:lang w:val="pl-PL"/>
        </w:rPr>
      </w:pPr>
      <w:hyperlink r:id="rId2255" w:history="1">
        <w:r w:rsidR="000425B4">
          <w:rPr>
            <w:i/>
            <w:iCs/>
            <w:color w:val="0072BC"/>
            <w:lang w:val="pl"/>
          </w:rPr>
          <w:t>Hokkanen p. Finlandii</w:t>
        </w:r>
        <w:r w:rsidR="000425B4">
          <w:rPr>
            <w:lang w:val="pl"/>
          </w:rPr>
          <w:t>,</w:t>
        </w:r>
      </w:hyperlink>
      <w:r w:rsidR="000425B4">
        <w:rPr>
          <w:lang w:val="pl"/>
        </w:rPr>
        <w:t xml:space="preserve"> nr 25159/94, decyzja Komisji z dnia 15 maja 1996 r.</w:t>
      </w:r>
    </w:p>
    <w:p w:rsidR="00B71A20" w:rsidRPr="000625F6" w:rsidRDefault="0093676E">
      <w:pPr>
        <w:pStyle w:val="Teksttreci0"/>
        <w:spacing w:after="0"/>
        <w:rPr>
          <w:lang w:val="pl-PL"/>
        </w:rPr>
      </w:pPr>
      <w:hyperlink r:id="rId2256" w:history="1">
        <w:r w:rsidR="000425B4">
          <w:rPr>
            <w:i/>
            <w:iCs/>
            <w:color w:val="0072BC"/>
            <w:lang w:val="pl"/>
          </w:rPr>
          <w:t xml:space="preserve">Holland p. Szwecji </w:t>
        </w:r>
      </w:hyperlink>
      <w:r w:rsidR="000425B4">
        <w:rPr>
          <w:lang w:val="pl"/>
        </w:rPr>
        <w:t>(dec.), nr 27700/08, 9 lutego 2010 r.</w:t>
      </w:r>
    </w:p>
    <w:p w:rsidR="00B71A20" w:rsidRPr="000625F6" w:rsidRDefault="0093676E">
      <w:pPr>
        <w:pStyle w:val="Teksttreci0"/>
        <w:spacing w:after="0"/>
        <w:rPr>
          <w:lang w:val="pl-PL"/>
        </w:rPr>
      </w:pPr>
      <w:hyperlink r:id="rId2257" w:history="1">
        <w:r w:rsidR="000425B4">
          <w:rPr>
            <w:i/>
            <w:iCs/>
            <w:color w:val="0072BC"/>
            <w:lang w:val="pl"/>
          </w:rPr>
          <w:t xml:space="preserve">Holub p. Czechom </w:t>
        </w:r>
      </w:hyperlink>
      <w:r w:rsidR="000425B4">
        <w:rPr>
          <w:lang w:val="pl"/>
        </w:rPr>
        <w:t>(dec.), nr 24880/05, 14 grudnia 2010 r.</w:t>
      </w:r>
    </w:p>
    <w:p w:rsidR="00B71A20" w:rsidRPr="000625F6" w:rsidRDefault="0093676E">
      <w:pPr>
        <w:pStyle w:val="Teksttreci0"/>
        <w:spacing w:after="0"/>
        <w:rPr>
          <w:lang w:val="pl-PL"/>
        </w:rPr>
      </w:pPr>
      <w:hyperlink r:id="rId2258" w:history="1">
        <w:r w:rsidR="000425B4">
          <w:rPr>
            <w:i/>
            <w:iCs/>
            <w:color w:val="0072BC"/>
            <w:lang w:val="pl"/>
          </w:rPr>
          <w:t>Horsham p. Wielkiej Brytanii</w:t>
        </w:r>
        <w:r w:rsidR="000425B4">
          <w:rPr>
            <w:lang w:val="pl"/>
          </w:rPr>
          <w:t>,</w:t>
        </w:r>
      </w:hyperlink>
      <w:r w:rsidR="000425B4">
        <w:rPr>
          <w:lang w:val="pl"/>
        </w:rPr>
        <w:t xml:space="preserve"> nr 23390/94, Decyzja Komisji z dnia 4 września 1995 r.</w:t>
      </w:r>
    </w:p>
    <w:p w:rsidR="00B71A20" w:rsidRPr="000625F6" w:rsidRDefault="0093676E">
      <w:pPr>
        <w:pStyle w:val="Teksttreci0"/>
        <w:spacing w:after="0"/>
        <w:rPr>
          <w:lang w:val="pl-PL"/>
        </w:rPr>
      </w:pPr>
      <w:hyperlink r:id="rId2259" w:history="1">
        <w:r w:rsidR="000425B4">
          <w:rPr>
            <w:i/>
            <w:iCs/>
            <w:color w:val="0072BC"/>
            <w:lang w:val="pl"/>
          </w:rPr>
          <w:t>Horvat p. Chorwacji</w:t>
        </w:r>
        <w:r w:rsidR="000425B4">
          <w:rPr>
            <w:lang w:val="pl"/>
          </w:rPr>
          <w:t>,</w:t>
        </w:r>
      </w:hyperlink>
      <w:r w:rsidR="000425B4">
        <w:rPr>
          <w:lang w:val="pl"/>
        </w:rPr>
        <w:t xml:space="preserve"> nr 51585/99, ECHR 2001-VIII</w:t>
      </w:r>
    </w:p>
    <w:p w:rsidR="00B71A20" w:rsidRPr="000625F6" w:rsidRDefault="0093676E">
      <w:pPr>
        <w:pStyle w:val="Teksttreci0"/>
        <w:spacing w:after="0"/>
        <w:rPr>
          <w:lang w:val="pl-PL"/>
        </w:rPr>
      </w:pPr>
      <w:hyperlink r:id="rId2260" w:history="1">
        <w:r w:rsidR="000425B4">
          <w:rPr>
            <w:i/>
            <w:iCs/>
            <w:color w:val="0072BC"/>
            <w:lang w:val="pl"/>
          </w:rPr>
          <w:t>Hoti p. Chorwacji</w:t>
        </w:r>
        <w:r w:rsidR="000425B4">
          <w:rPr>
            <w:lang w:val="pl"/>
          </w:rPr>
          <w:t>,</w:t>
        </w:r>
      </w:hyperlink>
      <w:r w:rsidR="000425B4">
        <w:rPr>
          <w:lang w:val="pl"/>
        </w:rPr>
        <w:t xml:space="preserve"> nr 63311/14, 26 kwietnia 2018 r.</w:t>
      </w:r>
    </w:p>
    <w:p w:rsidR="00B71A20" w:rsidRPr="000625F6" w:rsidRDefault="0093676E">
      <w:pPr>
        <w:pStyle w:val="Teksttreci0"/>
        <w:spacing w:after="0"/>
        <w:rPr>
          <w:lang w:val="pl-PL"/>
        </w:rPr>
      </w:pPr>
      <w:hyperlink r:id="rId2261" w:history="1">
        <w:r w:rsidR="000425B4">
          <w:rPr>
            <w:i/>
            <w:iCs/>
            <w:color w:val="0072BC"/>
            <w:lang w:val="pl"/>
          </w:rPr>
          <w:t>Hristozov i Inni p. Bułgarii</w:t>
        </w:r>
        <w:r w:rsidR="000425B4">
          <w:rPr>
            <w:lang w:val="pl"/>
          </w:rPr>
          <w:t>,</w:t>
        </w:r>
      </w:hyperlink>
      <w:r w:rsidR="000425B4">
        <w:rPr>
          <w:lang w:val="pl"/>
        </w:rPr>
        <w:t xml:space="preserve"> nr 47039/11 i 358/12, ECHR 2012</w:t>
      </w:r>
    </w:p>
    <w:p w:rsidR="00B71A20" w:rsidRPr="000625F6" w:rsidRDefault="0093676E">
      <w:pPr>
        <w:pStyle w:val="Teksttreci0"/>
        <w:spacing w:after="0"/>
        <w:rPr>
          <w:lang w:val="pl-PL"/>
        </w:rPr>
      </w:pPr>
      <w:hyperlink r:id="rId2262" w:history="1">
        <w:r w:rsidR="000425B4">
          <w:rPr>
            <w:i/>
            <w:iCs/>
            <w:color w:val="0072BC"/>
            <w:lang w:val="pl"/>
          </w:rPr>
          <w:t>Hromadka i Hromadkova p. Rosji</w:t>
        </w:r>
        <w:r w:rsidR="000425B4">
          <w:rPr>
            <w:lang w:val="pl"/>
          </w:rPr>
          <w:t>,</w:t>
        </w:r>
      </w:hyperlink>
      <w:r w:rsidR="000425B4">
        <w:rPr>
          <w:lang w:val="pl"/>
        </w:rPr>
        <w:t xml:space="preserve"> nr</w:t>
      </w:r>
      <w:hyperlink r:id="rId2263" w:history="1">
        <w:r w:rsidR="000425B4">
          <w:rPr>
            <w:lang w:val="pl"/>
          </w:rPr>
          <w:t xml:space="preserve"> 22909/10,</w:t>
        </w:r>
      </w:hyperlink>
      <w:r w:rsidR="000425B4">
        <w:rPr>
          <w:lang w:val="pl"/>
        </w:rPr>
        <w:t xml:space="preserve"> 11 grudnia 2014 r.</w:t>
      </w:r>
    </w:p>
    <w:p w:rsidR="00B71A20" w:rsidRPr="000625F6" w:rsidRDefault="0093676E">
      <w:pPr>
        <w:pStyle w:val="Teksttreci0"/>
        <w:spacing w:after="0"/>
        <w:rPr>
          <w:lang w:val="pl-PL"/>
        </w:rPr>
      </w:pPr>
      <w:hyperlink r:id="rId2264" w:history="1">
        <w:r w:rsidR="000425B4">
          <w:rPr>
            <w:i/>
            <w:iCs/>
            <w:color w:val="0072BC"/>
            <w:lang w:val="pl"/>
          </w:rPr>
          <w:t xml:space="preserve">Hudecová i Inni p. Słowacji </w:t>
        </w:r>
      </w:hyperlink>
      <w:r w:rsidR="000425B4">
        <w:rPr>
          <w:lang w:val="pl"/>
        </w:rPr>
        <w:t>(dec.), nr 53807/09, 18 grudnia 2012 r.</w:t>
      </w:r>
    </w:p>
    <w:p w:rsidR="00B71A20" w:rsidRPr="000625F6" w:rsidRDefault="0093676E">
      <w:pPr>
        <w:pStyle w:val="Teksttreci0"/>
        <w:spacing w:after="0"/>
        <w:rPr>
          <w:lang w:val="pl-PL"/>
        </w:rPr>
      </w:pPr>
      <w:hyperlink r:id="rId2265" w:history="1">
        <w:r w:rsidR="000425B4">
          <w:rPr>
            <w:i/>
            <w:iCs/>
            <w:color w:val="0072BC"/>
            <w:lang w:val="pl"/>
          </w:rPr>
          <w:t xml:space="preserve">Humen p. Polsce </w:t>
        </w:r>
      </w:hyperlink>
      <w:r w:rsidR="000425B4">
        <w:rPr>
          <w:lang w:val="pl"/>
        </w:rPr>
        <w:t>[WI], nr 26614/95, 15 października 1999 r.</w:t>
      </w:r>
    </w:p>
    <w:p w:rsidR="00B71A20" w:rsidRPr="000625F6" w:rsidRDefault="0093676E">
      <w:pPr>
        <w:pStyle w:val="Teksttreci0"/>
        <w:spacing w:after="0"/>
        <w:rPr>
          <w:lang w:val="pl-PL"/>
        </w:rPr>
      </w:pPr>
      <w:hyperlink r:id="rId2266" w:history="1">
        <w:r w:rsidR="000425B4">
          <w:rPr>
            <w:i/>
            <w:iCs/>
            <w:color w:val="0072BC"/>
            <w:lang w:val="pl"/>
          </w:rPr>
          <w:t>Husayn (Abu Zubaydah) p. Polsce</w:t>
        </w:r>
        <w:r w:rsidR="000425B4">
          <w:rPr>
            <w:lang w:val="pl"/>
          </w:rPr>
          <w:t>,</w:t>
        </w:r>
      </w:hyperlink>
      <w:r w:rsidR="000425B4">
        <w:rPr>
          <w:lang w:val="pl"/>
        </w:rPr>
        <w:t xml:space="preserve"> nr 7511/13, 24 lipca 2014 r.</w:t>
      </w:r>
    </w:p>
    <w:p w:rsidR="00B71A20" w:rsidRPr="000625F6" w:rsidRDefault="0093676E">
      <w:pPr>
        <w:pStyle w:val="Teksttreci0"/>
        <w:spacing w:after="0" w:line="230" w:lineRule="auto"/>
        <w:rPr>
          <w:lang w:val="pl-PL"/>
        </w:rPr>
      </w:pPr>
      <w:hyperlink r:id="rId2267" w:history="1">
        <w:r w:rsidR="000425B4">
          <w:rPr>
            <w:i/>
            <w:iCs/>
            <w:color w:val="0072BC"/>
            <w:lang w:val="pl"/>
          </w:rPr>
          <w:t xml:space="preserve">Hussein p. Albanii i 20 innym Układającym się Państwom </w:t>
        </w:r>
      </w:hyperlink>
      <w:r w:rsidR="000425B4">
        <w:rPr>
          <w:lang w:val="pl"/>
        </w:rPr>
        <w:t>(dec.), nr 23276/04, 14 marca 2006 r.</w:t>
      </w:r>
    </w:p>
    <w:p w:rsidR="00B71A20" w:rsidRPr="000625F6" w:rsidRDefault="0093676E" w:rsidP="00071350">
      <w:pPr>
        <w:pStyle w:val="Teksttreci0"/>
        <w:spacing w:after="460"/>
        <w:rPr>
          <w:lang w:val="pl-PL"/>
        </w:rPr>
      </w:pPr>
      <w:hyperlink r:id="rId2268" w:history="1">
        <w:r w:rsidR="000425B4">
          <w:rPr>
            <w:i/>
            <w:iCs/>
            <w:color w:val="0072BC"/>
            <w:lang w:val="pl"/>
          </w:rPr>
          <w:t xml:space="preserve">Hutten-Czapska p. Polsce </w:t>
        </w:r>
      </w:hyperlink>
      <w:r w:rsidR="000425B4">
        <w:rPr>
          <w:lang w:val="pl"/>
        </w:rPr>
        <w:t>[WI], nr 35014/97, ECHR 2006-VIII</w:t>
      </w:r>
    </w:p>
    <w:p w:rsidR="00B71A20" w:rsidRPr="000625F6" w:rsidRDefault="000425B4">
      <w:pPr>
        <w:pStyle w:val="Teksttreci30"/>
        <w:spacing w:after="120"/>
        <w:rPr>
          <w:lang w:val="pl-PL"/>
        </w:rPr>
      </w:pPr>
      <w:r>
        <w:rPr>
          <w:lang w:val="pl"/>
        </w:rPr>
        <w:t>—I—</w:t>
      </w:r>
    </w:p>
    <w:p w:rsidR="00B71A20" w:rsidRPr="000625F6" w:rsidRDefault="0093676E">
      <w:pPr>
        <w:pStyle w:val="Teksttreci0"/>
        <w:spacing w:after="0"/>
        <w:rPr>
          <w:lang w:val="pl-PL"/>
        </w:rPr>
      </w:pPr>
      <w:hyperlink r:id="rId2269" w:history="1">
        <w:r w:rsidR="000425B4">
          <w:rPr>
            <w:i/>
            <w:iCs/>
            <w:color w:val="0072BC"/>
            <w:lang w:val="pl"/>
          </w:rPr>
          <w:t xml:space="preserve">I.J.L. p. Wielkiej Brytanii </w:t>
        </w:r>
      </w:hyperlink>
      <w:r w:rsidR="000425B4">
        <w:rPr>
          <w:lang w:val="pl"/>
        </w:rPr>
        <w:t>(dec.), nr 39029/97, 6 lipca 1999 r.</w:t>
      </w:r>
    </w:p>
    <w:p w:rsidR="00B71A20" w:rsidRPr="000625F6" w:rsidRDefault="0093676E">
      <w:pPr>
        <w:pStyle w:val="Teksttreci0"/>
        <w:spacing w:after="0"/>
        <w:rPr>
          <w:lang w:val="pl-PL"/>
        </w:rPr>
      </w:pPr>
      <w:hyperlink r:id="rId2270" w:history="1">
        <w:r w:rsidR="000425B4">
          <w:rPr>
            <w:i/>
            <w:iCs/>
            <w:color w:val="0072BC"/>
            <w:lang w:val="pl"/>
          </w:rPr>
          <w:t>Iambor p. Rumunii (nr 1)</w:t>
        </w:r>
        <w:r w:rsidR="000425B4">
          <w:rPr>
            <w:lang w:val="pl"/>
          </w:rPr>
          <w:t>,</w:t>
        </w:r>
      </w:hyperlink>
      <w:r w:rsidR="000425B4">
        <w:rPr>
          <w:lang w:val="pl"/>
        </w:rPr>
        <w:t xml:space="preserve"> nr 64536/01, 24 czerwca 2008 r.</w:t>
      </w:r>
    </w:p>
    <w:p w:rsidR="00B71A20" w:rsidRPr="000625F6" w:rsidRDefault="0093676E">
      <w:pPr>
        <w:pStyle w:val="Teksttreci0"/>
        <w:spacing w:after="0"/>
        <w:rPr>
          <w:lang w:val="pl-PL"/>
        </w:rPr>
      </w:pPr>
      <w:hyperlink r:id="rId2271" w:history="1">
        <w:r w:rsidR="000425B4">
          <w:rPr>
            <w:i/>
            <w:iCs/>
            <w:color w:val="0072BC"/>
            <w:lang w:val="pl"/>
          </w:rPr>
          <w:t xml:space="preserve">İçyer p. Turcji </w:t>
        </w:r>
      </w:hyperlink>
      <w:r w:rsidR="000425B4">
        <w:rPr>
          <w:lang w:val="pl"/>
        </w:rPr>
        <w:t>(dec.), nr 18888/02, ECHR 2006-I</w:t>
      </w:r>
    </w:p>
    <w:p w:rsidR="00B71A20" w:rsidRPr="000625F6" w:rsidRDefault="0093676E">
      <w:pPr>
        <w:pStyle w:val="Teksttreci0"/>
        <w:spacing w:after="0"/>
        <w:rPr>
          <w:lang w:val="pl-PL"/>
        </w:rPr>
      </w:pPr>
      <w:hyperlink r:id="rId2272" w:history="1">
        <w:r w:rsidR="000425B4">
          <w:rPr>
            <w:i/>
            <w:iCs/>
            <w:color w:val="0072BC"/>
            <w:lang w:val="pl"/>
          </w:rPr>
          <w:t xml:space="preserve">Idalov p. Rosji </w:t>
        </w:r>
      </w:hyperlink>
      <w:r w:rsidR="000425B4">
        <w:rPr>
          <w:lang w:val="pl"/>
        </w:rPr>
        <w:t>[WI], nr 5826/03, 22 maja 2012 r.</w:t>
      </w:r>
    </w:p>
    <w:p w:rsidR="00B71A20" w:rsidRPr="000625F6" w:rsidRDefault="0093676E">
      <w:pPr>
        <w:pStyle w:val="Teksttreci0"/>
        <w:spacing w:after="0"/>
        <w:rPr>
          <w:lang w:val="pl-PL"/>
        </w:rPr>
      </w:pPr>
      <w:hyperlink r:id="rId2273" w:history="1">
        <w:r w:rsidR="000425B4">
          <w:rPr>
            <w:i/>
            <w:iCs/>
            <w:color w:val="0072BC"/>
            <w:lang w:val="pl"/>
          </w:rPr>
          <w:t xml:space="preserve">Ignats p. Łotwie </w:t>
        </w:r>
      </w:hyperlink>
      <w:r w:rsidR="000425B4">
        <w:rPr>
          <w:lang w:val="pl"/>
        </w:rPr>
        <w:t>(dec.), nr 38494/05, 24 września 2013 r.</w:t>
      </w:r>
    </w:p>
    <w:p w:rsidR="00B71A20" w:rsidRPr="000625F6" w:rsidRDefault="0093676E">
      <w:pPr>
        <w:pStyle w:val="Teksttreci0"/>
        <w:spacing w:after="0"/>
        <w:rPr>
          <w:lang w:val="pl-PL"/>
        </w:rPr>
      </w:pPr>
      <w:hyperlink r:id="rId2274" w:history="1">
        <w:r w:rsidR="000425B4">
          <w:rPr>
            <w:i/>
            <w:iCs/>
            <w:color w:val="0072BC"/>
            <w:lang w:val="pl"/>
          </w:rPr>
          <w:t xml:space="preserve">İhsan Doğramacı Bilkent Üniversitesi p. Turcji </w:t>
        </w:r>
      </w:hyperlink>
      <w:r w:rsidR="000425B4">
        <w:rPr>
          <w:lang w:val="pl"/>
        </w:rPr>
        <w:t>(dec.), nr 40355/14, 28 stycznia 2020 r.</w:t>
      </w:r>
    </w:p>
    <w:p w:rsidR="00B71A20" w:rsidRPr="000625F6" w:rsidRDefault="0093676E">
      <w:pPr>
        <w:pStyle w:val="Teksttreci0"/>
        <w:spacing w:after="0"/>
        <w:rPr>
          <w:lang w:val="pl-PL"/>
        </w:rPr>
      </w:pPr>
      <w:hyperlink r:id="rId2275" w:history="1">
        <w:r w:rsidR="000425B4">
          <w:rPr>
            <w:i/>
            <w:iCs/>
            <w:color w:val="0072BC"/>
            <w:lang w:val="pl"/>
          </w:rPr>
          <w:t xml:space="preserve">Ilaşcu i Inni p. Mołdawii i Rosji </w:t>
        </w:r>
      </w:hyperlink>
      <w:r w:rsidR="000425B4">
        <w:rPr>
          <w:lang w:val="pl"/>
        </w:rPr>
        <w:t>[WI], nr 48787/99, ECHR 2004-VII</w:t>
      </w:r>
    </w:p>
    <w:p w:rsidR="00B71A20" w:rsidRPr="000625F6" w:rsidRDefault="0093676E">
      <w:pPr>
        <w:pStyle w:val="Teksttreci0"/>
        <w:spacing w:after="0"/>
        <w:rPr>
          <w:lang w:val="pl-PL"/>
        </w:rPr>
      </w:pPr>
      <w:hyperlink r:id="rId2276" w:history="1">
        <w:r w:rsidR="000425B4">
          <w:rPr>
            <w:i/>
            <w:iCs/>
            <w:color w:val="0072BC"/>
            <w:lang w:val="pl"/>
          </w:rPr>
          <w:t xml:space="preserve">İlihan p. Turcji </w:t>
        </w:r>
      </w:hyperlink>
      <w:r w:rsidR="000425B4">
        <w:rPr>
          <w:lang w:val="pl"/>
        </w:rPr>
        <w:t>[WI], nr 22277/93, ECHR 2000-VII</w:t>
      </w:r>
    </w:p>
    <w:p w:rsidR="00B71A20" w:rsidRPr="000625F6" w:rsidRDefault="0093676E">
      <w:pPr>
        <w:pStyle w:val="Teksttreci0"/>
        <w:spacing w:after="0"/>
        <w:rPr>
          <w:lang w:val="pl-PL"/>
        </w:rPr>
      </w:pPr>
      <w:hyperlink r:id="rId2277" w:history="1">
        <w:r w:rsidR="000425B4">
          <w:rPr>
            <w:i/>
            <w:iCs/>
            <w:color w:val="0072BC"/>
            <w:lang w:val="pl"/>
          </w:rPr>
          <w:t xml:space="preserve">Ilias i Ahmed p. Węgrom </w:t>
        </w:r>
      </w:hyperlink>
      <w:r w:rsidR="000425B4">
        <w:rPr>
          <w:lang w:val="pl"/>
        </w:rPr>
        <w:t>[WI], nr 47287/15, 21 listopada 2019 r.</w:t>
      </w:r>
    </w:p>
    <w:p w:rsidR="00B71A20" w:rsidRPr="000625F6" w:rsidRDefault="0093676E">
      <w:pPr>
        <w:pStyle w:val="Teksttreci0"/>
        <w:spacing w:after="0" w:line="230" w:lineRule="auto"/>
        <w:rPr>
          <w:lang w:val="pl-PL"/>
        </w:rPr>
      </w:pPr>
      <w:hyperlink r:id="rId2278" w:history="1">
        <w:r w:rsidR="000425B4">
          <w:rPr>
            <w:i/>
            <w:iCs/>
            <w:color w:val="0072BC"/>
            <w:lang w:val="pl"/>
          </w:rPr>
          <w:t xml:space="preserve">Illiu i Inni p. Belgii </w:t>
        </w:r>
      </w:hyperlink>
      <w:r w:rsidR="000425B4">
        <w:rPr>
          <w:lang w:val="pl"/>
        </w:rPr>
        <w:t>(dec.), nr 14301/08, 19 maja 2009 r.</w:t>
      </w:r>
    </w:p>
    <w:p w:rsidR="00B71A20" w:rsidRPr="000625F6" w:rsidRDefault="0093676E">
      <w:pPr>
        <w:pStyle w:val="Teksttreci0"/>
        <w:spacing w:after="0"/>
        <w:rPr>
          <w:lang w:val="pl-PL"/>
        </w:rPr>
      </w:pPr>
      <w:hyperlink r:id="rId2279" w:history="1">
        <w:r w:rsidR="000425B4">
          <w:rPr>
            <w:i/>
            <w:iCs/>
            <w:color w:val="0072BC"/>
            <w:lang w:val="pl"/>
          </w:rPr>
          <w:t>Imakayeva p. Rosji</w:t>
        </w:r>
        <w:r w:rsidR="000425B4">
          <w:rPr>
            <w:lang w:val="pl"/>
          </w:rPr>
          <w:t>,</w:t>
        </w:r>
      </w:hyperlink>
      <w:r w:rsidR="000425B4">
        <w:rPr>
          <w:lang w:val="pl"/>
        </w:rPr>
        <w:t xml:space="preserve"> nr 7615/02, ECHR 2006-XIII</w:t>
      </w:r>
    </w:p>
    <w:p w:rsidR="00B71A20" w:rsidRPr="000625F6" w:rsidRDefault="0093676E">
      <w:pPr>
        <w:pStyle w:val="Teksttreci0"/>
        <w:spacing w:after="0"/>
        <w:rPr>
          <w:lang w:val="pl-PL"/>
        </w:rPr>
      </w:pPr>
      <w:hyperlink r:id="rId2280" w:history="1">
        <w:r w:rsidR="000425B4">
          <w:rPr>
            <w:i/>
            <w:iCs/>
            <w:color w:val="0072BC"/>
            <w:lang w:val="pl"/>
          </w:rPr>
          <w:t xml:space="preserve">Ionescu p. Rumunii </w:t>
        </w:r>
      </w:hyperlink>
      <w:r w:rsidR="000425B4">
        <w:rPr>
          <w:lang w:val="pl"/>
        </w:rPr>
        <w:t>(dec.), nr 36659/04, 1 czerwca 2010 r.</w:t>
      </w:r>
    </w:p>
    <w:p w:rsidR="00B71A20" w:rsidRPr="000625F6" w:rsidRDefault="0093676E">
      <w:pPr>
        <w:pStyle w:val="Teksttreci0"/>
        <w:spacing w:after="0"/>
        <w:rPr>
          <w:lang w:val="pl-PL"/>
        </w:rPr>
      </w:pPr>
      <w:hyperlink r:id="rId2281" w:history="1">
        <w:r w:rsidR="000425B4">
          <w:rPr>
            <w:i/>
            <w:iCs/>
            <w:color w:val="0072BC"/>
            <w:lang w:val="pl"/>
          </w:rPr>
          <w:t>Iordache p. Rumunii</w:t>
        </w:r>
        <w:r w:rsidR="000425B4">
          <w:rPr>
            <w:lang w:val="pl"/>
          </w:rPr>
          <w:t>,</w:t>
        </w:r>
      </w:hyperlink>
      <w:r w:rsidR="000425B4">
        <w:rPr>
          <w:lang w:val="pl"/>
        </w:rPr>
        <w:t xml:space="preserve"> nr 6817/02, 14 października 2008 r.</w:t>
      </w:r>
    </w:p>
    <w:p w:rsidR="00B71A20" w:rsidRPr="000625F6" w:rsidRDefault="0093676E">
      <w:pPr>
        <w:pStyle w:val="Teksttreci0"/>
        <w:spacing w:after="0"/>
        <w:rPr>
          <w:lang w:val="pl-PL"/>
        </w:rPr>
      </w:pPr>
      <w:hyperlink r:id="rId2282" w:history="1">
        <w:r w:rsidR="000425B4">
          <w:rPr>
            <w:i/>
            <w:iCs/>
            <w:color w:val="0072BC"/>
            <w:lang w:val="pl"/>
          </w:rPr>
          <w:t>Iosub Caras p. Rumunii</w:t>
        </w:r>
        <w:r w:rsidR="000425B4">
          <w:rPr>
            <w:lang w:val="pl"/>
          </w:rPr>
          <w:t>,</w:t>
        </w:r>
      </w:hyperlink>
      <w:r w:rsidR="000425B4">
        <w:rPr>
          <w:lang w:val="pl"/>
        </w:rPr>
        <w:t xml:space="preserve"> nr 7198/04, 11 grudnia 2006 r.</w:t>
      </w:r>
    </w:p>
    <w:p w:rsidR="00B71A20" w:rsidRPr="000625F6" w:rsidRDefault="0093676E">
      <w:pPr>
        <w:pStyle w:val="Teksttreci0"/>
        <w:spacing w:after="0"/>
        <w:rPr>
          <w:lang w:val="pl-PL"/>
        </w:rPr>
      </w:pPr>
      <w:hyperlink r:id="rId2283" w:history="1">
        <w:r w:rsidR="000425B4">
          <w:rPr>
            <w:i/>
            <w:iCs/>
            <w:color w:val="0072BC"/>
            <w:lang w:val="pl"/>
          </w:rPr>
          <w:t xml:space="preserve">İpek p. Turcji </w:t>
        </w:r>
      </w:hyperlink>
      <w:r w:rsidR="000425B4">
        <w:rPr>
          <w:lang w:val="pl"/>
        </w:rPr>
        <w:t>(dec.), nr 39706/98, 7 listopada 2000 r.</w:t>
      </w:r>
    </w:p>
    <w:p w:rsidR="00B71A20" w:rsidRPr="000625F6" w:rsidRDefault="0093676E">
      <w:pPr>
        <w:pStyle w:val="Teksttreci0"/>
        <w:spacing w:after="0"/>
        <w:rPr>
          <w:lang w:val="pl-PL"/>
        </w:rPr>
      </w:pPr>
      <w:hyperlink r:id="rId2284" w:history="1">
        <w:r w:rsidR="000425B4">
          <w:rPr>
            <w:i/>
            <w:iCs/>
            <w:color w:val="0072BC"/>
            <w:lang w:val="pl"/>
          </w:rPr>
          <w:t>Irlandia p. Wielkiej Brytanii</w:t>
        </w:r>
        <w:r w:rsidR="000425B4">
          <w:rPr>
            <w:lang w:val="pl"/>
          </w:rPr>
          <w:t>,</w:t>
        </w:r>
      </w:hyperlink>
      <w:r w:rsidR="000425B4">
        <w:rPr>
          <w:lang w:val="pl"/>
        </w:rPr>
        <w:t xml:space="preserve"> 18 stycznia 1978 r., Seria A nr 25</w:t>
      </w:r>
    </w:p>
    <w:p w:rsidR="00B71A20" w:rsidRPr="000625F6" w:rsidRDefault="0093676E">
      <w:pPr>
        <w:pStyle w:val="Teksttreci0"/>
        <w:spacing w:after="0"/>
        <w:rPr>
          <w:lang w:val="pl-PL"/>
        </w:rPr>
      </w:pPr>
      <w:hyperlink r:id="rId2285" w:history="1">
        <w:r w:rsidR="000425B4">
          <w:rPr>
            <w:i/>
            <w:iCs/>
            <w:color w:val="0072BC"/>
            <w:lang w:val="pl"/>
          </w:rPr>
          <w:t xml:space="preserve">Isaak i Inni p. Turcji </w:t>
        </w:r>
      </w:hyperlink>
      <w:r w:rsidR="000425B4">
        <w:rPr>
          <w:lang w:val="pl"/>
        </w:rPr>
        <w:t>(dec.), nr 44587/98, 28 września 2006 r.</w:t>
      </w:r>
    </w:p>
    <w:p w:rsidR="00B71A20" w:rsidRDefault="0093676E">
      <w:pPr>
        <w:pStyle w:val="Teksttreci0"/>
        <w:spacing w:after="0"/>
      </w:pPr>
      <w:hyperlink r:id="rId2286" w:history="1">
        <w:r w:rsidR="000425B4" w:rsidRPr="000625F6">
          <w:rPr>
            <w:i/>
            <w:iCs/>
            <w:color w:val="0072BC"/>
            <w:lang w:val="en-GB"/>
          </w:rPr>
          <w:t>Islamic Republic of Iran Shipping Lines p. Turcji</w:t>
        </w:r>
        <w:r w:rsidR="000425B4" w:rsidRPr="000625F6">
          <w:rPr>
            <w:lang w:val="en-GB"/>
          </w:rPr>
          <w:t>,</w:t>
        </w:r>
      </w:hyperlink>
      <w:r w:rsidR="000425B4" w:rsidRPr="000625F6">
        <w:rPr>
          <w:lang w:val="en-GB"/>
        </w:rPr>
        <w:t xml:space="preserve"> nr 40998/98, ECHR 2007-V</w:t>
      </w:r>
    </w:p>
    <w:p w:rsidR="00B71A20" w:rsidRPr="000625F6" w:rsidRDefault="0093676E">
      <w:pPr>
        <w:pStyle w:val="Teksttreci0"/>
        <w:spacing w:after="0"/>
        <w:rPr>
          <w:lang w:val="pl-PL"/>
        </w:rPr>
      </w:pPr>
      <w:hyperlink r:id="rId2287" w:history="1">
        <w:r w:rsidR="000425B4">
          <w:rPr>
            <w:i/>
            <w:iCs/>
            <w:color w:val="0072BC"/>
            <w:lang w:val="pl"/>
          </w:rPr>
          <w:t>Issa i Inni p. Turcji</w:t>
        </w:r>
        <w:r w:rsidR="000425B4">
          <w:rPr>
            <w:lang w:val="pl"/>
          </w:rPr>
          <w:t>,</w:t>
        </w:r>
      </w:hyperlink>
      <w:r w:rsidR="000425B4">
        <w:rPr>
          <w:lang w:val="pl"/>
        </w:rPr>
        <w:t xml:space="preserve"> nr 31821/96, 16 listopada 2004 r.</w:t>
      </w:r>
    </w:p>
    <w:p w:rsidR="00B71A20" w:rsidRPr="000625F6" w:rsidRDefault="0093676E">
      <w:pPr>
        <w:pStyle w:val="Teksttreci0"/>
        <w:spacing w:after="0"/>
        <w:rPr>
          <w:lang w:val="pl-PL"/>
        </w:rPr>
      </w:pPr>
      <w:hyperlink r:id="rId2288" w:history="1">
        <w:r w:rsidR="000425B4">
          <w:rPr>
            <w:i/>
            <w:iCs/>
            <w:color w:val="0072BC"/>
            <w:lang w:val="pl"/>
          </w:rPr>
          <w:t>Ivanţoc i Inni p. Mołdawii i Rosji</w:t>
        </w:r>
        <w:r w:rsidR="000425B4">
          <w:rPr>
            <w:lang w:val="pl"/>
          </w:rPr>
          <w:t>,</w:t>
        </w:r>
      </w:hyperlink>
      <w:r w:rsidR="000425B4">
        <w:rPr>
          <w:lang w:val="pl"/>
        </w:rPr>
        <w:t xml:space="preserve"> nr 23687/05, 15 listopada 2011 r.</w:t>
      </w:r>
    </w:p>
    <w:p w:rsidR="00B71A20" w:rsidRPr="000625F6" w:rsidRDefault="0093676E" w:rsidP="00071350">
      <w:pPr>
        <w:pStyle w:val="Teksttreci0"/>
        <w:spacing w:after="460"/>
        <w:rPr>
          <w:lang w:val="pl-PL"/>
        </w:rPr>
      </w:pPr>
      <w:hyperlink r:id="rId2289" w:history="1">
        <w:r w:rsidR="000425B4">
          <w:rPr>
            <w:i/>
            <w:iCs/>
            <w:color w:val="0072BC"/>
            <w:lang w:val="pl"/>
          </w:rPr>
          <w:t>Ivko p. Rosji</w:t>
        </w:r>
        <w:r w:rsidR="000425B4">
          <w:rPr>
            <w:lang w:val="pl"/>
          </w:rPr>
          <w:t>,</w:t>
        </w:r>
      </w:hyperlink>
      <w:r w:rsidR="000425B4">
        <w:rPr>
          <w:lang w:val="pl"/>
        </w:rPr>
        <w:t xml:space="preserve"> nr 30575/08, 15 grudnia 2015 r.</w:t>
      </w:r>
    </w:p>
    <w:p w:rsidR="00B71A20" w:rsidRPr="000625F6" w:rsidRDefault="000425B4">
      <w:pPr>
        <w:pStyle w:val="Teksttreci30"/>
        <w:spacing w:after="100"/>
        <w:rPr>
          <w:lang w:val="pl-PL"/>
        </w:rPr>
      </w:pPr>
      <w:r>
        <w:rPr>
          <w:lang w:val="pl"/>
        </w:rPr>
        <w:t>—J—</w:t>
      </w:r>
    </w:p>
    <w:p w:rsidR="00B71A20" w:rsidRPr="000625F6" w:rsidRDefault="0093676E">
      <w:pPr>
        <w:pStyle w:val="Teksttreci0"/>
        <w:spacing w:after="0"/>
        <w:rPr>
          <w:lang w:val="pl-PL"/>
        </w:rPr>
      </w:pPr>
      <w:hyperlink r:id="rId2290" w:history="1">
        <w:r w:rsidR="000425B4">
          <w:rPr>
            <w:i/>
            <w:iCs/>
            <w:color w:val="0072BC"/>
            <w:lang w:val="pl"/>
          </w:rPr>
          <w:t xml:space="preserve">J.B. i Inni p. Węgrom </w:t>
        </w:r>
      </w:hyperlink>
      <w:r w:rsidR="000425B4">
        <w:rPr>
          <w:lang w:val="pl"/>
        </w:rPr>
        <w:t>(dec.), nr 45434/12 i 2 inne, 27 listopada 2018 r.</w:t>
      </w:r>
    </w:p>
    <w:p w:rsidR="00B71A20" w:rsidRPr="000625F6" w:rsidRDefault="0093676E">
      <w:pPr>
        <w:pStyle w:val="Teksttreci0"/>
        <w:spacing w:after="0"/>
        <w:rPr>
          <w:lang w:val="pl-PL"/>
        </w:rPr>
      </w:pPr>
      <w:hyperlink r:id="rId2291" w:history="1">
        <w:r w:rsidR="000425B4">
          <w:rPr>
            <w:i/>
            <w:iCs/>
            <w:color w:val="0072BC"/>
            <w:lang w:val="pl"/>
          </w:rPr>
          <w:t>J.M.B. i Inni p. Francji</w:t>
        </w:r>
        <w:r w:rsidR="000425B4">
          <w:rPr>
            <w:lang w:val="pl"/>
          </w:rPr>
          <w:t>,</w:t>
        </w:r>
      </w:hyperlink>
      <w:r w:rsidR="000425B4">
        <w:rPr>
          <w:lang w:val="pl"/>
        </w:rPr>
        <w:t xml:space="preserve"> nr 9671/15 i 31 innych, 30 stycznia 2020 r.</w:t>
      </w:r>
    </w:p>
    <w:p w:rsidR="00B71A20" w:rsidRPr="000625F6" w:rsidRDefault="0093676E">
      <w:pPr>
        <w:pStyle w:val="Teksttreci0"/>
        <w:spacing w:after="0"/>
        <w:rPr>
          <w:lang w:val="pl-PL"/>
        </w:rPr>
      </w:pPr>
      <w:hyperlink r:id="rId2292" w:history="1">
        <w:r w:rsidR="000425B4">
          <w:rPr>
            <w:i/>
            <w:iCs/>
            <w:color w:val="0072BC"/>
            <w:lang w:val="pl"/>
          </w:rPr>
          <w:t xml:space="preserve">Jakovljević p. Serbii </w:t>
        </w:r>
      </w:hyperlink>
      <w:r w:rsidR="000425B4">
        <w:rPr>
          <w:lang w:val="pl"/>
        </w:rPr>
        <w:t>(dec.), nr 5158/12, 13 października 2020 r.</w:t>
      </w:r>
    </w:p>
    <w:p w:rsidR="00B71A20" w:rsidRPr="000625F6" w:rsidRDefault="0093676E">
      <w:pPr>
        <w:pStyle w:val="Teksttreci0"/>
        <w:spacing w:after="0"/>
        <w:rPr>
          <w:lang w:val="pl-PL"/>
        </w:rPr>
      </w:pPr>
      <w:hyperlink r:id="rId2293" w:history="1">
        <w:r w:rsidR="000425B4">
          <w:rPr>
            <w:i/>
            <w:iCs/>
            <w:color w:val="0072BC"/>
            <w:lang w:val="pl"/>
          </w:rPr>
          <w:t xml:space="preserve">Jalloh p. Niemcom </w:t>
        </w:r>
      </w:hyperlink>
      <w:r w:rsidR="000425B4">
        <w:rPr>
          <w:lang w:val="pl"/>
        </w:rPr>
        <w:t>[WI], nr 54810/00, ECHR 2006-IX</w:t>
      </w:r>
    </w:p>
    <w:p w:rsidR="00B71A20" w:rsidRPr="000625F6" w:rsidRDefault="0093676E">
      <w:pPr>
        <w:pStyle w:val="Teksttreci0"/>
        <w:spacing w:after="0"/>
        <w:rPr>
          <w:lang w:val="pl-PL"/>
        </w:rPr>
      </w:pPr>
      <w:hyperlink r:id="rId2294" w:history="1">
        <w:r w:rsidR="000425B4">
          <w:rPr>
            <w:i/>
            <w:iCs/>
            <w:color w:val="0072BC"/>
            <w:lang w:val="pl"/>
          </w:rPr>
          <w:t xml:space="preserve">Jaloud p. Holandii </w:t>
        </w:r>
      </w:hyperlink>
      <w:r w:rsidR="000425B4">
        <w:rPr>
          <w:lang w:val="pl"/>
        </w:rPr>
        <w:t>[WI], nr 47708/08, ECHR 2014</w:t>
      </w:r>
    </w:p>
    <w:p w:rsidR="00B71A20" w:rsidRPr="000625F6" w:rsidRDefault="0093676E">
      <w:pPr>
        <w:pStyle w:val="Teksttreci0"/>
        <w:spacing w:after="0"/>
        <w:rPr>
          <w:lang w:val="pl-PL"/>
        </w:rPr>
      </w:pPr>
      <w:hyperlink r:id="rId2295" w:history="1">
        <w:r w:rsidR="000425B4">
          <w:rPr>
            <w:i/>
            <w:iCs/>
            <w:color w:val="0072BC"/>
            <w:lang w:val="pl"/>
          </w:rPr>
          <w:t xml:space="preserve">Jančev p. Byłej Jugosłowiańskiej Republice Macedonii </w:t>
        </w:r>
      </w:hyperlink>
      <w:r w:rsidR="000425B4">
        <w:rPr>
          <w:lang w:val="pl"/>
        </w:rPr>
        <w:t>(dec.), nr 18716/09, 4 października 2011 r.</w:t>
      </w:r>
    </w:p>
    <w:p w:rsidR="00B71A20" w:rsidRPr="000625F6" w:rsidRDefault="0093676E">
      <w:pPr>
        <w:pStyle w:val="Teksttreci0"/>
        <w:spacing w:after="0"/>
        <w:rPr>
          <w:lang w:val="pl-PL"/>
        </w:rPr>
      </w:pPr>
      <w:hyperlink r:id="rId2296" w:history="1">
        <w:r w:rsidR="000425B4">
          <w:rPr>
            <w:i/>
            <w:iCs/>
            <w:color w:val="0072BC"/>
            <w:lang w:val="pl"/>
          </w:rPr>
          <w:t>Jankovskis p. Litwie</w:t>
        </w:r>
        <w:r w:rsidR="000425B4">
          <w:rPr>
            <w:lang w:val="pl"/>
          </w:rPr>
          <w:t>,</w:t>
        </w:r>
      </w:hyperlink>
      <w:r w:rsidR="000425B4">
        <w:rPr>
          <w:lang w:val="pl"/>
        </w:rPr>
        <w:t xml:space="preserve"> nr 21575/08, 17 stycznia 2017 r.</w:t>
      </w:r>
    </w:p>
    <w:p w:rsidR="00B71A20" w:rsidRPr="000625F6" w:rsidRDefault="0093676E">
      <w:pPr>
        <w:pStyle w:val="Teksttreci0"/>
        <w:spacing w:after="0"/>
        <w:rPr>
          <w:lang w:val="pl-PL"/>
        </w:rPr>
      </w:pPr>
      <w:hyperlink r:id="rId2297" w:history="1">
        <w:r w:rsidR="000425B4">
          <w:rPr>
            <w:i/>
            <w:iCs/>
            <w:color w:val="0072BC"/>
            <w:lang w:val="pl"/>
          </w:rPr>
          <w:t xml:space="preserve">Janowiec i Inni p. Rosji </w:t>
        </w:r>
      </w:hyperlink>
      <w:r w:rsidR="000425B4">
        <w:rPr>
          <w:lang w:val="pl"/>
        </w:rPr>
        <w:t>[WI], nr 55508/07 i 29520/09, ECHR 2013</w:t>
      </w:r>
    </w:p>
    <w:p w:rsidR="00B71A20" w:rsidRPr="000625F6" w:rsidRDefault="0093676E">
      <w:pPr>
        <w:pStyle w:val="Teksttreci0"/>
        <w:spacing w:after="0"/>
        <w:rPr>
          <w:lang w:val="pl-PL"/>
        </w:rPr>
      </w:pPr>
      <w:hyperlink r:id="rId2298" w:history="1">
        <w:r w:rsidR="000425B4">
          <w:rPr>
            <w:i/>
            <w:iCs/>
            <w:color w:val="0072BC"/>
            <w:lang w:val="pl"/>
          </w:rPr>
          <w:t>Januškevičienė p. Litwie</w:t>
        </w:r>
        <w:r w:rsidR="000425B4">
          <w:rPr>
            <w:lang w:val="pl"/>
          </w:rPr>
          <w:t>,</w:t>
        </w:r>
      </w:hyperlink>
      <w:r w:rsidR="000425B4">
        <w:rPr>
          <w:lang w:val="pl"/>
        </w:rPr>
        <w:t xml:space="preserve"> nr 69717/14, 3 września 2019 r.</w:t>
      </w:r>
    </w:p>
    <w:p w:rsidR="00B71A20" w:rsidRPr="000625F6" w:rsidRDefault="0093676E">
      <w:pPr>
        <w:pStyle w:val="Teksttreci0"/>
        <w:spacing w:after="0"/>
        <w:rPr>
          <w:lang w:val="pl-PL"/>
        </w:rPr>
      </w:pPr>
      <w:hyperlink r:id="rId2299" w:history="1">
        <w:r w:rsidR="000425B4">
          <w:rPr>
            <w:i/>
            <w:iCs/>
            <w:color w:val="0072BC"/>
            <w:lang w:val="pl"/>
          </w:rPr>
          <w:t>Jasinskis p. Łotwie</w:t>
        </w:r>
        <w:r w:rsidR="000425B4">
          <w:rPr>
            <w:lang w:val="pl"/>
          </w:rPr>
          <w:t xml:space="preserve">, </w:t>
        </w:r>
      </w:hyperlink>
      <w:r w:rsidR="000425B4">
        <w:rPr>
          <w:lang w:val="pl"/>
        </w:rPr>
        <w:t>nr 45744/08, 21 grudnia 2010 r.</w:t>
      </w:r>
    </w:p>
    <w:p w:rsidR="00B71A20" w:rsidRPr="000625F6" w:rsidRDefault="0093676E">
      <w:pPr>
        <w:pStyle w:val="Teksttreci0"/>
        <w:spacing w:after="0"/>
        <w:rPr>
          <w:lang w:val="pl-PL"/>
        </w:rPr>
      </w:pPr>
      <w:hyperlink r:id="rId2300" w:history="1">
        <w:r w:rsidR="000425B4">
          <w:rPr>
            <w:i/>
            <w:iCs/>
            <w:color w:val="0072BC"/>
            <w:lang w:val="pl"/>
          </w:rPr>
          <w:t>Jelić p. Chorwacji</w:t>
        </w:r>
        <w:r w:rsidR="000425B4">
          <w:rPr>
            <w:lang w:val="pl"/>
          </w:rPr>
          <w:t>,</w:t>
        </w:r>
      </w:hyperlink>
      <w:r w:rsidR="000425B4">
        <w:rPr>
          <w:lang w:val="pl"/>
        </w:rPr>
        <w:t xml:space="preserve"> nr 57856/11, 12 czerwca 2014 r.</w:t>
      </w:r>
    </w:p>
    <w:p w:rsidR="00B71A20" w:rsidRPr="000625F6" w:rsidRDefault="0093676E">
      <w:pPr>
        <w:pStyle w:val="Teksttreci0"/>
        <w:spacing w:after="0"/>
        <w:rPr>
          <w:lang w:val="pl-PL"/>
        </w:rPr>
      </w:pPr>
      <w:hyperlink r:id="rId2301" w:history="1">
        <w:r w:rsidR="000425B4">
          <w:rPr>
            <w:i/>
            <w:iCs/>
            <w:color w:val="0072BC"/>
            <w:lang w:val="pl"/>
          </w:rPr>
          <w:t xml:space="preserve">Jeličić p. Bośni i Hercegowinie </w:t>
        </w:r>
      </w:hyperlink>
      <w:r w:rsidR="000425B4">
        <w:rPr>
          <w:lang w:val="pl"/>
        </w:rPr>
        <w:t>(dec.), nr 41183/02, ECHR 2005-XII</w:t>
      </w:r>
    </w:p>
    <w:p w:rsidR="00B71A20" w:rsidRPr="000625F6" w:rsidRDefault="0093676E">
      <w:pPr>
        <w:pStyle w:val="Teksttreci0"/>
        <w:spacing w:after="0"/>
        <w:rPr>
          <w:lang w:val="pl-PL"/>
        </w:rPr>
      </w:pPr>
      <w:hyperlink r:id="rId2302" w:history="1">
        <w:r w:rsidR="000425B4">
          <w:rPr>
            <w:i/>
            <w:iCs/>
            <w:color w:val="0072BC"/>
            <w:lang w:val="pl"/>
          </w:rPr>
          <w:t xml:space="preserve">Jensen i Rasmussen p. Danii </w:t>
        </w:r>
      </w:hyperlink>
      <w:r w:rsidR="000425B4">
        <w:rPr>
          <w:lang w:val="pl"/>
        </w:rPr>
        <w:t>(dec.), nr 52620/99, 20 marca 2003 r.</w:t>
      </w:r>
    </w:p>
    <w:p w:rsidR="00B71A20" w:rsidRPr="000625F6" w:rsidRDefault="0093676E">
      <w:pPr>
        <w:pStyle w:val="Teksttreci0"/>
        <w:spacing w:after="0"/>
        <w:rPr>
          <w:lang w:val="pl-PL"/>
        </w:rPr>
      </w:pPr>
      <w:hyperlink r:id="rId2303" w:history="1">
        <w:r w:rsidR="000425B4">
          <w:rPr>
            <w:i/>
            <w:iCs/>
            <w:color w:val="0072BC"/>
            <w:lang w:val="pl"/>
          </w:rPr>
          <w:t xml:space="preserve">Jensen p. Danii </w:t>
        </w:r>
      </w:hyperlink>
      <w:r w:rsidR="000425B4">
        <w:rPr>
          <w:lang w:val="pl"/>
        </w:rPr>
        <w:t>(dec.), nr 48470/99, ECHR 2001-X</w:t>
      </w:r>
    </w:p>
    <w:p w:rsidR="00B71A20" w:rsidRPr="000625F6" w:rsidRDefault="0093676E">
      <w:pPr>
        <w:pStyle w:val="Teksttreci0"/>
        <w:spacing w:after="0"/>
        <w:rPr>
          <w:lang w:val="pl-PL"/>
        </w:rPr>
      </w:pPr>
      <w:hyperlink r:id="rId2304" w:history="1">
        <w:r w:rsidR="000425B4">
          <w:rPr>
            <w:i/>
            <w:iCs/>
            <w:color w:val="0072BC"/>
            <w:lang w:val="pl"/>
          </w:rPr>
          <w:t xml:space="preserve">Jeronovičs p. Łotwie </w:t>
        </w:r>
      </w:hyperlink>
      <w:r w:rsidR="000425B4">
        <w:rPr>
          <w:lang w:val="pl"/>
        </w:rPr>
        <w:t>[WI], nr 44898/10, 5 lipca 2016 r.</w:t>
      </w:r>
    </w:p>
    <w:p w:rsidR="00B71A20" w:rsidRPr="000625F6" w:rsidRDefault="0093676E">
      <w:pPr>
        <w:pStyle w:val="Teksttreci0"/>
        <w:spacing w:after="0" w:line="230" w:lineRule="auto"/>
        <w:rPr>
          <w:lang w:val="pl-PL"/>
        </w:rPr>
      </w:pPr>
      <w:hyperlink r:id="rId2305" w:history="1">
        <w:r w:rsidR="000425B4">
          <w:rPr>
            <w:i/>
            <w:iCs/>
            <w:color w:val="0072BC"/>
            <w:lang w:val="pl"/>
          </w:rPr>
          <w:t xml:space="preserve">Jian p. Rumunii </w:t>
        </w:r>
      </w:hyperlink>
      <w:r w:rsidR="000425B4">
        <w:rPr>
          <w:lang w:val="pl"/>
        </w:rPr>
        <w:t>(dec.), nr 46640/99, 30 marca 2004 r.</w:t>
      </w:r>
    </w:p>
    <w:p w:rsidR="00B71A20" w:rsidRPr="000625F6" w:rsidRDefault="0093676E">
      <w:pPr>
        <w:pStyle w:val="Teksttreci0"/>
        <w:spacing w:after="0"/>
        <w:rPr>
          <w:lang w:val="pl-PL"/>
        </w:rPr>
      </w:pPr>
      <w:hyperlink r:id="rId2306" w:history="1">
        <w:r w:rsidR="000425B4">
          <w:rPr>
            <w:i/>
            <w:iCs/>
            <w:color w:val="0072BC"/>
            <w:lang w:val="pl"/>
          </w:rPr>
          <w:t xml:space="preserve">JKP Vodovod Kraljevo p. Serbii </w:t>
        </w:r>
      </w:hyperlink>
      <w:r w:rsidR="000425B4">
        <w:rPr>
          <w:lang w:val="pl"/>
        </w:rPr>
        <w:t>(dec.), nr 57691/09 i 19719/10, 16 października 2018 r.</w:t>
      </w:r>
    </w:p>
    <w:p w:rsidR="00B71A20" w:rsidRPr="000625F6" w:rsidRDefault="0093676E">
      <w:pPr>
        <w:pStyle w:val="Teksttreci0"/>
        <w:spacing w:after="0"/>
        <w:rPr>
          <w:lang w:val="pl-PL"/>
        </w:rPr>
      </w:pPr>
      <w:hyperlink r:id="rId2307" w:history="1">
        <w:r w:rsidR="000425B4">
          <w:rPr>
            <w:i/>
            <w:iCs/>
            <w:color w:val="0072BC"/>
            <w:lang w:val="pl"/>
          </w:rPr>
          <w:t>Joannou p. Turcji</w:t>
        </w:r>
        <w:r w:rsidR="000425B4">
          <w:rPr>
            <w:lang w:val="pl"/>
          </w:rPr>
          <w:t>,</w:t>
        </w:r>
      </w:hyperlink>
      <w:r w:rsidR="000425B4">
        <w:rPr>
          <w:lang w:val="pl"/>
        </w:rPr>
        <w:t xml:space="preserve"> nr 53240/14, 12 grudnia 2017 r.</w:t>
      </w:r>
    </w:p>
    <w:p w:rsidR="00B71A20" w:rsidRPr="000625F6" w:rsidRDefault="0093676E">
      <w:pPr>
        <w:pStyle w:val="Teksttreci0"/>
        <w:spacing w:after="0"/>
        <w:rPr>
          <w:lang w:val="pl-PL"/>
        </w:rPr>
      </w:pPr>
      <w:hyperlink r:id="rId2308" w:history="1">
        <w:r w:rsidR="000425B4">
          <w:rPr>
            <w:i/>
            <w:iCs/>
            <w:color w:val="0072BC"/>
            <w:lang w:val="pl"/>
          </w:rPr>
          <w:t xml:space="preserve">Johtti Sapmelaccat Ry i Inni p. Finlandii </w:t>
        </w:r>
      </w:hyperlink>
      <w:r w:rsidR="000425B4">
        <w:rPr>
          <w:lang w:val="pl"/>
        </w:rPr>
        <w:t>(dec.), nr 42969/98, 18 stycznia 2005 r.</w:t>
      </w:r>
    </w:p>
    <w:p w:rsidR="00B71A20" w:rsidRPr="000625F6" w:rsidRDefault="0093676E">
      <w:pPr>
        <w:pStyle w:val="Teksttreci0"/>
        <w:spacing w:after="0"/>
        <w:rPr>
          <w:lang w:val="pl-PL"/>
        </w:rPr>
      </w:pPr>
      <w:hyperlink r:id="rId2309" w:history="1">
        <w:r w:rsidR="000425B4">
          <w:rPr>
            <w:i/>
            <w:iCs/>
            <w:color w:val="0072BC"/>
            <w:lang w:val="pl"/>
          </w:rPr>
          <w:t>Joos p. Szwajcarii</w:t>
        </w:r>
        <w:r w:rsidR="000425B4">
          <w:rPr>
            <w:lang w:val="pl"/>
          </w:rPr>
          <w:t>,</w:t>
        </w:r>
      </w:hyperlink>
      <w:r w:rsidR="000425B4">
        <w:rPr>
          <w:lang w:val="pl"/>
        </w:rPr>
        <w:t xml:space="preserve"> nr 43245/07, 15 listopada 2012 r.</w:t>
      </w:r>
    </w:p>
    <w:p w:rsidR="00B71A20" w:rsidRPr="000625F6" w:rsidRDefault="0093676E">
      <w:pPr>
        <w:pStyle w:val="Teksttreci0"/>
        <w:spacing w:after="0"/>
        <w:rPr>
          <w:lang w:val="pl-PL"/>
        </w:rPr>
      </w:pPr>
      <w:hyperlink r:id="rId2310" w:history="1">
        <w:r w:rsidR="000425B4">
          <w:rPr>
            <w:i/>
            <w:iCs/>
            <w:color w:val="0072BC"/>
            <w:lang w:val="pl"/>
          </w:rPr>
          <w:t xml:space="preserve">Jørgensen i Inni p. Danii </w:t>
        </w:r>
      </w:hyperlink>
      <w:r w:rsidR="000425B4">
        <w:rPr>
          <w:lang w:val="pl"/>
        </w:rPr>
        <w:t>(dec.), nr 30173/12, 28 czerwca 2016 r.</w:t>
      </w:r>
    </w:p>
    <w:p w:rsidR="00B71A20" w:rsidRPr="000625F6" w:rsidRDefault="0093676E">
      <w:pPr>
        <w:pStyle w:val="Teksttreci0"/>
        <w:spacing w:after="0"/>
        <w:rPr>
          <w:lang w:val="pl-PL"/>
        </w:rPr>
      </w:pPr>
      <w:hyperlink r:id="rId2311" w:history="1">
        <w:r w:rsidR="000425B4">
          <w:rPr>
            <w:i/>
            <w:iCs/>
            <w:color w:val="0072BC"/>
            <w:lang w:val="pl"/>
          </w:rPr>
          <w:t xml:space="preserve">Jovanović p. Chorwacji </w:t>
        </w:r>
      </w:hyperlink>
      <w:r w:rsidR="000425B4">
        <w:rPr>
          <w:lang w:val="pl"/>
        </w:rPr>
        <w:t>(dec.), nr 59109/00, ECHR 2002-III</w:t>
      </w:r>
    </w:p>
    <w:p w:rsidR="00B71A20" w:rsidRPr="000625F6" w:rsidRDefault="0093676E">
      <w:pPr>
        <w:pStyle w:val="Teksttreci0"/>
        <w:spacing w:after="0"/>
        <w:rPr>
          <w:lang w:val="pl-PL"/>
        </w:rPr>
      </w:pPr>
      <w:hyperlink r:id="rId2312" w:history="1">
        <w:r w:rsidR="000425B4">
          <w:rPr>
            <w:i/>
            <w:iCs/>
            <w:color w:val="0072BC"/>
            <w:lang w:val="pl"/>
          </w:rPr>
          <w:t xml:space="preserve">Juhas Đurić p. Serbii </w:t>
        </w:r>
      </w:hyperlink>
      <w:r w:rsidR="000425B4">
        <w:rPr>
          <w:lang w:val="pl"/>
        </w:rPr>
        <w:t>(rewizja), nr 48155/06, 10 kwietnia 2012 r.</w:t>
      </w:r>
    </w:p>
    <w:p w:rsidR="00B71A20" w:rsidRPr="000625F6" w:rsidRDefault="0093676E">
      <w:pPr>
        <w:pStyle w:val="Teksttreci0"/>
        <w:spacing w:after="460"/>
        <w:rPr>
          <w:lang w:val="pl-PL"/>
        </w:rPr>
      </w:pPr>
      <w:hyperlink r:id="rId2313" w:history="1">
        <w:r w:rsidR="000425B4">
          <w:rPr>
            <w:i/>
            <w:iCs/>
            <w:color w:val="0072BC"/>
            <w:lang w:val="pl"/>
          </w:rPr>
          <w:t>Jurica p. Chorwacji</w:t>
        </w:r>
        <w:r w:rsidR="000425B4">
          <w:rPr>
            <w:lang w:val="pl"/>
          </w:rPr>
          <w:t>,</w:t>
        </w:r>
      </w:hyperlink>
      <w:r w:rsidR="000425B4">
        <w:rPr>
          <w:lang w:val="pl"/>
        </w:rPr>
        <w:t xml:space="preserve"> nr 30376/13, 2 maja 2017 r.</w:t>
      </w:r>
    </w:p>
    <w:p w:rsidR="00B71A20" w:rsidRPr="000625F6" w:rsidRDefault="000425B4">
      <w:pPr>
        <w:pStyle w:val="Teksttreci30"/>
        <w:spacing w:after="100"/>
        <w:rPr>
          <w:lang w:val="pl-PL"/>
        </w:rPr>
      </w:pPr>
      <w:r>
        <w:rPr>
          <w:lang w:val="pl"/>
        </w:rPr>
        <w:t>—K—</w:t>
      </w:r>
    </w:p>
    <w:p w:rsidR="00B71A20" w:rsidRPr="000625F6" w:rsidRDefault="0093676E">
      <w:pPr>
        <w:pStyle w:val="Teksttreci0"/>
        <w:spacing w:after="0"/>
        <w:rPr>
          <w:lang w:val="pl-PL"/>
        </w:rPr>
      </w:pPr>
      <w:hyperlink r:id="rId2314" w:history="1">
        <w:r w:rsidR="000425B4">
          <w:rPr>
            <w:i/>
            <w:iCs/>
            <w:color w:val="0072BC"/>
            <w:lang w:val="pl"/>
          </w:rPr>
          <w:t xml:space="preserve">K2 p. Wielkiej Brytanii </w:t>
        </w:r>
      </w:hyperlink>
      <w:r w:rsidR="000425B4">
        <w:rPr>
          <w:lang w:val="pl"/>
        </w:rPr>
        <w:t>(dec.), nr 42387/13, 7 lutego 2017 r.</w:t>
      </w:r>
    </w:p>
    <w:p w:rsidR="00B71A20" w:rsidRPr="000625F6" w:rsidRDefault="0093676E">
      <w:pPr>
        <w:pStyle w:val="Teksttreci0"/>
        <w:spacing w:after="0"/>
        <w:rPr>
          <w:lang w:val="pl-PL"/>
        </w:rPr>
      </w:pPr>
      <w:hyperlink r:id="rId2315" w:history="1">
        <w:r w:rsidR="000425B4">
          <w:rPr>
            <w:i/>
            <w:iCs/>
            <w:color w:val="0072BC"/>
            <w:lang w:val="pl"/>
          </w:rPr>
          <w:t>K.S. i K.S. AG p. Szwajcarii</w:t>
        </w:r>
        <w:r w:rsidR="000425B4">
          <w:rPr>
            <w:lang w:val="pl"/>
          </w:rPr>
          <w:t>,</w:t>
        </w:r>
      </w:hyperlink>
      <w:r w:rsidR="000425B4">
        <w:rPr>
          <w:lang w:val="pl"/>
        </w:rPr>
        <w:t xml:space="preserve"> nr 19117/91, decyzja Komisji z dnia 12 stycznia 1994 r., DR 76</w:t>
      </w:r>
    </w:p>
    <w:p w:rsidR="00B71A20" w:rsidRPr="000625F6" w:rsidRDefault="0093676E">
      <w:pPr>
        <w:pStyle w:val="Teksttreci0"/>
        <w:spacing w:after="0" w:line="230" w:lineRule="auto"/>
        <w:rPr>
          <w:lang w:val="pl-PL"/>
        </w:rPr>
      </w:pPr>
      <w:hyperlink r:id="rId2316" w:history="1">
        <w:r w:rsidR="000425B4">
          <w:rPr>
            <w:i/>
            <w:iCs/>
            <w:color w:val="0072BC"/>
            <w:lang w:val="pl"/>
          </w:rPr>
          <w:t xml:space="preserve">K2 p. Wielkiej Brytanii </w:t>
        </w:r>
      </w:hyperlink>
      <w:r w:rsidR="000425B4">
        <w:rPr>
          <w:lang w:val="pl"/>
        </w:rPr>
        <w:t>(dec.), nr 42387/13, 7 lutego 2017 r.</w:t>
      </w:r>
    </w:p>
    <w:p w:rsidR="00B71A20" w:rsidRPr="000625F6" w:rsidRDefault="0093676E">
      <w:pPr>
        <w:pStyle w:val="Teksttreci0"/>
        <w:spacing w:after="0"/>
        <w:rPr>
          <w:lang w:val="pl-PL"/>
        </w:rPr>
      </w:pPr>
      <w:hyperlink r:id="rId2317" w:history="1">
        <w:r w:rsidR="000425B4">
          <w:rPr>
            <w:i/>
            <w:iCs/>
            <w:color w:val="0072BC"/>
            <w:lang w:val="pl"/>
          </w:rPr>
          <w:t xml:space="preserve">Kaburov p. Bułgarii </w:t>
        </w:r>
      </w:hyperlink>
      <w:r w:rsidR="000425B4">
        <w:rPr>
          <w:lang w:val="pl"/>
        </w:rPr>
        <w:t>(dec.), nr 9035/06, 19 czerwca 2012 r.</w:t>
      </w:r>
    </w:p>
    <w:p w:rsidR="00B71A20" w:rsidRPr="000625F6" w:rsidRDefault="0093676E">
      <w:pPr>
        <w:pStyle w:val="Teksttreci0"/>
        <w:spacing w:after="0"/>
        <w:rPr>
          <w:lang w:val="pl-PL"/>
        </w:rPr>
      </w:pPr>
      <w:hyperlink r:id="rId2318" w:history="1">
        <w:r w:rsidR="000425B4">
          <w:rPr>
            <w:i/>
            <w:iCs/>
            <w:color w:val="0072BC"/>
            <w:lang w:val="pl"/>
          </w:rPr>
          <w:t xml:space="preserve">Kadiķis p. Łotwie </w:t>
        </w:r>
      </w:hyperlink>
      <w:r w:rsidR="000425B4">
        <w:rPr>
          <w:lang w:val="pl"/>
        </w:rPr>
        <w:t>(dec.), nr 47634/99, 29 czerwca 2000 r.</w:t>
      </w:r>
    </w:p>
    <w:p w:rsidR="00B71A20" w:rsidRPr="000625F6" w:rsidRDefault="0093676E">
      <w:pPr>
        <w:pStyle w:val="Teksttreci0"/>
        <w:spacing w:after="0"/>
        <w:rPr>
          <w:lang w:val="pl-PL"/>
        </w:rPr>
      </w:pPr>
      <w:hyperlink r:id="rId2319" w:history="1">
        <w:r w:rsidR="000425B4">
          <w:rPr>
            <w:i/>
            <w:iCs/>
            <w:color w:val="0072BC"/>
            <w:lang w:val="pl"/>
          </w:rPr>
          <w:t xml:space="preserve">Kafkaris p. Cyprowi </w:t>
        </w:r>
      </w:hyperlink>
      <w:r w:rsidR="000425B4">
        <w:rPr>
          <w:lang w:val="pl"/>
        </w:rPr>
        <w:t>(dec.), nr 9644/09, 21 czerwca 2011 r.</w:t>
      </w:r>
    </w:p>
    <w:p w:rsidR="00B71A20" w:rsidRPr="000625F6" w:rsidRDefault="0093676E">
      <w:pPr>
        <w:pStyle w:val="Teksttreci0"/>
        <w:spacing w:after="0"/>
        <w:rPr>
          <w:lang w:val="pl-PL"/>
        </w:rPr>
      </w:pPr>
      <w:hyperlink r:id="rId2320" w:history="1">
        <w:r w:rsidR="000425B4">
          <w:rPr>
            <w:i/>
            <w:iCs/>
            <w:color w:val="0072BC"/>
            <w:lang w:val="pl"/>
          </w:rPr>
          <w:t>Kalashnikov p. Rosji</w:t>
        </w:r>
        <w:r w:rsidR="000425B4">
          <w:rPr>
            <w:lang w:val="pl"/>
          </w:rPr>
          <w:t>,</w:t>
        </w:r>
      </w:hyperlink>
      <w:r w:rsidR="000425B4">
        <w:rPr>
          <w:lang w:val="pl"/>
        </w:rPr>
        <w:t xml:space="preserve"> nr 47095/99, ECHR 2002-VI</w:t>
      </w:r>
    </w:p>
    <w:p w:rsidR="00B71A20" w:rsidRPr="000625F6" w:rsidRDefault="0093676E">
      <w:pPr>
        <w:pStyle w:val="Teksttreci0"/>
        <w:spacing w:after="0"/>
        <w:rPr>
          <w:lang w:val="pl-PL"/>
        </w:rPr>
      </w:pPr>
      <w:hyperlink r:id="rId2321" w:history="1">
        <w:r w:rsidR="000425B4">
          <w:rPr>
            <w:i/>
            <w:iCs/>
            <w:color w:val="0072BC"/>
            <w:lang w:val="pl"/>
          </w:rPr>
          <w:t xml:space="preserve">Kalfagiannis i Pospert p. Grecji </w:t>
        </w:r>
      </w:hyperlink>
      <w:r w:rsidR="000425B4">
        <w:rPr>
          <w:lang w:val="pl"/>
        </w:rPr>
        <w:t>(dec.), nr 74435/14, 9 czerwca 2020 r.</w:t>
      </w:r>
    </w:p>
    <w:p w:rsidR="00B71A20" w:rsidRPr="000625F6" w:rsidRDefault="0093676E">
      <w:pPr>
        <w:pStyle w:val="Teksttreci0"/>
        <w:spacing w:after="0"/>
        <w:rPr>
          <w:lang w:val="pl-PL"/>
        </w:rPr>
      </w:pPr>
      <w:hyperlink r:id="rId2322" w:history="1">
        <w:r w:rsidR="000425B4">
          <w:rPr>
            <w:i/>
            <w:iCs/>
            <w:color w:val="0072BC"/>
            <w:lang w:val="pl"/>
          </w:rPr>
          <w:t>Kamaliyevy p. Rosji</w:t>
        </w:r>
        <w:r w:rsidR="000425B4">
          <w:rPr>
            <w:lang w:val="pl"/>
          </w:rPr>
          <w:t>,</w:t>
        </w:r>
      </w:hyperlink>
      <w:r w:rsidR="000425B4">
        <w:rPr>
          <w:lang w:val="pl"/>
        </w:rPr>
        <w:t xml:space="preserve"> nr 52812/07, 3 czerwca 2010 r.</w:t>
      </w:r>
    </w:p>
    <w:p w:rsidR="00B71A20" w:rsidRPr="000625F6" w:rsidRDefault="0093676E">
      <w:pPr>
        <w:pStyle w:val="Teksttreci0"/>
        <w:spacing w:after="0"/>
        <w:rPr>
          <w:lang w:val="pl-PL"/>
        </w:rPr>
      </w:pPr>
      <w:hyperlink r:id="rId2323" w:history="1">
        <w:r w:rsidR="000425B4">
          <w:rPr>
            <w:i/>
            <w:iCs/>
            <w:color w:val="0072BC"/>
            <w:lang w:val="pl"/>
          </w:rPr>
          <w:t xml:space="preserve">Karácsony i Inni p. Węgrom </w:t>
        </w:r>
      </w:hyperlink>
      <w:r w:rsidR="000425B4">
        <w:rPr>
          <w:lang w:val="pl"/>
        </w:rPr>
        <w:t>[WI], nr 42461/13 i 44357/13, 17 maja 2016 r.</w:t>
      </w:r>
    </w:p>
    <w:p w:rsidR="00B71A20" w:rsidRPr="000625F6" w:rsidRDefault="0093676E">
      <w:pPr>
        <w:pStyle w:val="Teksttreci0"/>
        <w:spacing w:after="0"/>
        <w:rPr>
          <w:lang w:val="pl-PL"/>
        </w:rPr>
      </w:pPr>
      <w:hyperlink r:id="rId2324" w:history="1">
        <w:r w:rsidR="000425B4">
          <w:rPr>
            <w:i/>
            <w:iCs/>
            <w:color w:val="0072BC"/>
            <w:lang w:val="pl"/>
          </w:rPr>
          <w:t>Karakó p. Węgrom</w:t>
        </w:r>
        <w:r w:rsidR="000425B4">
          <w:rPr>
            <w:lang w:val="pl"/>
          </w:rPr>
          <w:t>,</w:t>
        </w:r>
      </w:hyperlink>
      <w:r w:rsidR="000425B4">
        <w:rPr>
          <w:lang w:val="pl"/>
        </w:rPr>
        <w:t xml:space="preserve"> nr 39311/05, 28 kwietnia 2009 r.</w:t>
      </w:r>
    </w:p>
    <w:p w:rsidR="00B71A20" w:rsidRPr="000625F6" w:rsidRDefault="0093676E">
      <w:pPr>
        <w:pStyle w:val="Teksttreci0"/>
        <w:spacing w:after="0"/>
        <w:rPr>
          <w:lang w:val="pl-PL"/>
        </w:rPr>
      </w:pPr>
      <w:hyperlink r:id="rId2325" w:history="1">
        <w:r w:rsidR="000425B4">
          <w:rPr>
            <w:i/>
            <w:iCs/>
            <w:color w:val="0072BC"/>
            <w:lang w:val="pl"/>
          </w:rPr>
          <w:t>Karapanagiotou i Inni p. Grecji</w:t>
        </w:r>
        <w:r w:rsidR="000425B4">
          <w:rPr>
            <w:lang w:val="pl"/>
          </w:rPr>
          <w:t>,</w:t>
        </w:r>
      </w:hyperlink>
      <w:r w:rsidR="000425B4">
        <w:rPr>
          <w:lang w:val="pl"/>
        </w:rPr>
        <w:t xml:space="preserve"> nr 1571/08, 28 października 2010 r.</w:t>
      </w:r>
    </w:p>
    <w:p w:rsidR="00B71A20" w:rsidRPr="000625F6" w:rsidRDefault="0093676E">
      <w:pPr>
        <w:pStyle w:val="Teksttreci0"/>
        <w:spacing w:after="0"/>
        <w:rPr>
          <w:lang w:val="pl-PL"/>
        </w:rPr>
      </w:pPr>
      <w:hyperlink r:id="rId2326" w:history="1">
        <w:r w:rsidR="000425B4">
          <w:rPr>
            <w:i/>
            <w:iCs/>
            <w:color w:val="0072BC"/>
            <w:lang w:val="pl"/>
          </w:rPr>
          <w:t>Karastelev i Inni p. Rosji</w:t>
        </w:r>
        <w:r w:rsidR="000425B4">
          <w:rPr>
            <w:lang w:val="pl"/>
          </w:rPr>
          <w:t>,</w:t>
        </w:r>
      </w:hyperlink>
      <w:r w:rsidR="000425B4">
        <w:rPr>
          <w:lang w:val="pl"/>
        </w:rPr>
        <w:t xml:space="preserve"> nr 16435/10, 6 października 2020 r.</w:t>
      </w:r>
    </w:p>
    <w:p w:rsidR="00B71A20" w:rsidRPr="000625F6" w:rsidRDefault="0093676E">
      <w:pPr>
        <w:pStyle w:val="Teksttreci0"/>
        <w:spacing w:after="0"/>
        <w:rPr>
          <w:lang w:val="pl-PL"/>
        </w:rPr>
      </w:pPr>
      <w:hyperlink r:id="rId2327" w:history="1">
        <w:r w:rsidR="000425B4">
          <w:rPr>
            <w:i/>
            <w:iCs/>
            <w:color w:val="0072BC"/>
            <w:lang w:val="pl"/>
          </w:rPr>
          <w:t>Karelin p. Rosji</w:t>
        </w:r>
        <w:r w:rsidR="000425B4">
          <w:rPr>
            <w:lang w:val="pl"/>
          </w:rPr>
          <w:t>,</w:t>
        </w:r>
      </w:hyperlink>
      <w:r w:rsidR="000425B4">
        <w:rPr>
          <w:lang w:val="pl"/>
        </w:rPr>
        <w:t xml:space="preserve"> nr 926/08, 20 września 2016 r.</w:t>
      </w:r>
    </w:p>
    <w:p w:rsidR="00B71A20" w:rsidRDefault="0093676E">
      <w:pPr>
        <w:pStyle w:val="Teksttreci0"/>
        <w:spacing w:after="0"/>
      </w:pPr>
      <w:hyperlink r:id="rId2328" w:history="1">
        <w:r w:rsidR="000425B4" w:rsidRPr="000625F6">
          <w:rPr>
            <w:i/>
            <w:iCs/>
            <w:color w:val="0072BC"/>
            <w:lang w:val="en-GB"/>
          </w:rPr>
          <w:t>Karner p. Austrii</w:t>
        </w:r>
        <w:r w:rsidR="000425B4" w:rsidRPr="000625F6">
          <w:rPr>
            <w:lang w:val="en-GB"/>
          </w:rPr>
          <w:t>,</w:t>
        </w:r>
      </w:hyperlink>
      <w:r w:rsidR="000425B4" w:rsidRPr="000625F6">
        <w:rPr>
          <w:lang w:val="en-GB"/>
        </w:rPr>
        <w:t xml:space="preserve"> nr 40016/98, ECHR 2003-IX</w:t>
      </w:r>
    </w:p>
    <w:p w:rsidR="00B71A20" w:rsidRDefault="0093676E">
      <w:pPr>
        <w:pStyle w:val="Teksttreci0"/>
        <w:spacing w:after="0"/>
      </w:pPr>
      <w:hyperlink r:id="rId2329" w:history="1">
        <w:r w:rsidR="000425B4" w:rsidRPr="000625F6">
          <w:rPr>
            <w:i/>
            <w:iCs/>
            <w:color w:val="0072BC"/>
            <w:lang w:val="en-GB"/>
          </w:rPr>
          <w:t>Karoussiotis p. Portugalii</w:t>
        </w:r>
        <w:r w:rsidR="000425B4" w:rsidRPr="000625F6">
          <w:rPr>
            <w:lang w:val="en-GB"/>
          </w:rPr>
          <w:t>,</w:t>
        </w:r>
      </w:hyperlink>
      <w:r w:rsidR="000425B4" w:rsidRPr="000625F6">
        <w:rPr>
          <w:lang w:val="en-GB"/>
        </w:rPr>
        <w:t xml:space="preserve"> nr 23205/08, ECHR 2011</w:t>
      </w:r>
    </w:p>
    <w:p w:rsidR="00B71A20" w:rsidRPr="000625F6" w:rsidRDefault="0093676E">
      <w:pPr>
        <w:pStyle w:val="Teksttreci0"/>
        <w:spacing w:after="0"/>
        <w:rPr>
          <w:lang w:val="pl-PL"/>
        </w:rPr>
      </w:pPr>
      <w:hyperlink r:id="rId2330" w:history="1">
        <w:r w:rsidR="000425B4">
          <w:rPr>
            <w:i/>
            <w:iCs/>
            <w:color w:val="0072BC"/>
            <w:lang w:val="pl"/>
          </w:rPr>
          <w:t>Karpylenko p. Ukrainie</w:t>
        </w:r>
        <w:r w:rsidR="000425B4">
          <w:rPr>
            <w:lang w:val="pl"/>
          </w:rPr>
          <w:t>,</w:t>
        </w:r>
      </w:hyperlink>
      <w:r w:rsidR="000425B4">
        <w:rPr>
          <w:lang w:val="pl"/>
        </w:rPr>
        <w:t xml:space="preserve"> nr 15509/12, 11 lutego 2016 r.</w:t>
      </w:r>
    </w:p>
    <w:p w:rsidR="00B71A20" w:rsidRPr="000625F6" w:rsidRDefault="0093676E">
      <w:pPr>
        <w:pStyle w:val="Teksttreci0"/>
        <w:spacing w:after="0"/>
        <w:rPr>
          <w:lang w:val="pl-PL"/>
        </w:rPr>
      </w:pPr>
      <w:hyperlink r:id="rId2331" w:history="1">
        <w:r w:rsidR="000425B4">
          <w:rPr>
            <w:i/>
            <w:iCs/>
            <w:color w:val="0072BC"/>
            <w:lang w:val="pl"/>
          </w:rPr>
          <w:t xml:space="preserve">Kashlan p. Rosji </w:t>
        </w:r>
      </w:hyperlink>
      <w:r w:rsidR="000425B4">
        <w:rPr>
          <w:lang w:val="pl"/>
        </w:rPr>
        <w:t>(dec.), nr 60189/15, 19 kwietnia 2016 r.</w:t>
      </w:r>
    </w:p>
    <w:p w:rsidR="00B71A20" w:rsidRPr="000625F6" w:rsidRDefault="0093676E">
      <w:pPr>
        <w:pStyle w:val="Teksttreci0"/>
        <w:spacing w:after="0"/>
        <w:rPr>
          <w:lang w:val="pl-PL"/>
        </w:rPr>
      </w:pPr>
      <w:hyperlink r:id="rId2332" w:history="1">
        <w:r w:rsidR="000425B4">
          <w:rPr>
            <w:i/>
            <w:iCs/>
            <w:color w:val="0072BC"/>
            <w:lang w:val="pl"/>
          </w:rPr>
          <w:t xml:space="preserve">Kátai p. Węgrom </w:t>
        </w:r>
      </w:hyperlink>
      <w:r w:rsidR="000425B4">
        <w:rPr>
          <w:lang w:val="pl"/>
        </w:rPr>
        <w:t>(dec.), nr 939/12, 18 marca 2014 r.</w:t>
      </w:r>
    </w:p>
    <w:p w:rsidR="00B71A20" w:rsidRPr="000625F6" w:rsidRDefault="0093676E">
      <w:pPr>
        <w:pStyle w:val="Teksttreci0"/>
        <w:spacing w:after="0"/>
        <w:rPr>
          <w:lang w:val="pl-PL"/>
        </w:rPr>
      </w:pPr>
      <w:hyperlink r:id="rId2333" w:history="1">
        <w:r w:rsidR="000425B4">
          <w:rPr>
            <w:i/>
            <w:iCs/>
            <w:color w:val="0072BC"/>
            <w:lang w:val="pl"/>
          </w:rPr>
          <w:t>Kavala p. Turcji</w:t>
        </w:r>
        <w:r w:rsidR="000425B4">
          <w:rPr>
            <w:lang w:val="pl"/>
          </w:rPr>
          <w:t>,</w:t>
        </w:r>
      </w:hyperlink>
      <w:r w:rsidR="000425B4">
        <w:rPr>
          <w:lang w:val="pl"/>
        </w:rPr>
        <w:t xml:space="preserve"> nr 28749/18, 10 grudnia 2019 r.</w:t>
      </w:r>
    </w:p>
    <w:p w:rsidR="00B71A20" w:rsidRPr="000625F6" w:rsidRDefault="0093676E">
      <w:pPr>
        <w:pStyle w:val="Teksttreci0"/>
        <w:spacing w:after="0"/>
        <w:rPr>
          <w:lang w:val="pl-PL"/>
        </w:rPr>
      </w:pPr>
      <w:hyperlink r:id="rId2334" w:history="1">
        <w:r w:rsidR="000425B4">
          <w:rPr>
            <w:i/>
            <w:iCs/>
            <w:color w:val="0072BC"/>
            <w:lang w:val="pl"/>
          </w:rPr>
          <w:t xml:space="preserve">Kaya i Polat p. Turcji </w:t>
        </w:r>
      </w:hyperlink>
      <w:r w:rsidR="000425B4">
        <w:rPr>
          <w:lang w:val="pl"/>
        </w:rPr>
        <w:t>(dec.), nr 2794/05 i 40345/05, 21 października 2008 r.</w:t>
      </w:r>
    </w:p>
    <w:p w:rsidR="00B71A20" w:rsidRPr="000625F6" w:rsidRDefault="0093676E" w:rsidP="00381152">
      <w:pPr>
        <w:pStyle w:val="Teksttreci0"/>
        <w:spacing w:after="0"/>
        <w:rPr>
          <w:lang w:val="pl-PL"/>
        </w:rPr>
      </w:pPr>
      <w:hyperlink r:id="rId2335" w:history="1">
        <w:r w:rsidR="000425B4">
          <w:rPr>
            <w:i/>
            <w:iCs/>
            <w:color w:val="0072BC"/>
            <w:lang w:val="pl"/>
          </w:rPr>
          <w:t>Kefalas i Inni p. Grecji</w:t>
        </w:r>
        <w:r w:rsidR="000425B4">
          <w:rPr>
            <w:lang w:val="pl"/>
          </w:rPr>
          <w:t>,</w:t>
        </w:r>
      </w:hyperlink>
      <w:r w:rsidR="000425B4">
        <w:rPr>
          <w:lang w:val="pl"/>
        </w:rPr>
        <w:t xml:space="preserve"> 8 czerwca 1995, Seria A nr 318-A</w:t>
      </w:r>
    </w:p>
    <w:p w:rsidR="00B71A20" w:rsidRPr="000625F6" w:rsidRDefault="0093676E">
      <w:pPr>
        <w:pStyle w:val="Teksttreci0"/>
        <w:spacing w:after="0"/>
        <w:rPr>
          <w:lang w:val="pl-PL"/>
        </w:rPr>
      </w:pPr>
      <w:hyperlink r:id="rId2336" w:history="1">
        <w:r w:rsidR="000425B4">
          <w:rPr>
            <w:i/>
            <w:iCs/>
            <w:color w:val="0072BC"/>
            <w:lang w:val="pl"/>
          </w:rPr>
          <w:t>Kemal Çetin p. Turcji</w:t>
        </w:r>
        <w:r w:rsidR="000425B4">
          <w:rPr>
            <w:lang w:val="pl"/>
          </w:rPr>
          <w:t>,</w:t>
        </w:r>
      </w:hyperlink>
      <w:r w:rsidR="000425B4">
        <w:rPr>
          <w:lang w:val="pl"/>
        </w:rPr>
        <w:t xml:space="preserve"> nr 3704/13, 26 maja 2020 r.</w:t>
      </w:r>
    </w:p>
    <w:p w:rsidR="00B71A20" w:rsidRPr="000625F6" w:rsidRDefault="0093676E">
      <w:pPr>
        <w:pStyle w:val="Teksttreci0"/>
        <w:spacing w:after="0"/>
        <w:rPr>
          <w:lang w:val="pl-PL"/>
        </w:rPr>
      </w:pPr>
      <w:hyperlink r:id="rId2337" w:history="1">
        <w:r w:rsidR="000425B4">
          <w:rPr>
            <w:i/>
            <w:iCs/>
            <w:color w:val="0072BC"/>
            <w:lang w:val="pl"/>
          </w:rPr>
          <w:t>Kemmache p. Francji (nr 3)</w:t>
        </w:r>
        <w:r w:rsidR="000425B4">
          <w:rPr>
            <w:lang w:val="pl"/>
          </w:rPr>
          <w:t>,</w:t>
        </w:r>
      </w:hyperlink>
      <w:r w:rsidR="000425B4">
        <w:rPr>
          <w:lang w:val="pl"/>
        </w:rPr>
        <w:t xml:space="preserve"> 24 listopada 1994 r., Seria A nr 296-C</w:t>
      </w:r>
    </w:p>
    <w:p w:rsidR="00B71A20" w:rsidRPr="000625F6" w:rsidRDefault="0093676E">
      <w:pPr>
        <w:pStyle w:val="Teksttreci0"/>
        <w:spacing w:after="0"/>
        <w:rPr>
          <w:lang w:val="pl-PL"/>
        </w:rPr>
      </w:pPr>
      <w:hyperlink r:id="rId2338" w:history="1">
        <w:r w:rsidR="000425B4">
          <w:rPr>
            <w:i/>
            <w:iCs/>
            <w:color w:val="0072BC"/>
            <w:lang w:val="pl"/>
          </w:rPr>
          <w:t xml:space="preserve">Kerechashvili p. Gruzji </w:t>
        </w:r>
      </w:hyperlink>
      <w:r w:rsidR="000425B4">
        <w:rPr>
          <w:lang w:val="pl"/>
        </w:rPr>
        <w:t>(dec.), nr 5667/02, ECHR 2006-V</w:t>
      </w:r>
    </w:p>
    <w:p w:rsidR="00B71A20" w:rsidRPr="000625F6" w:rsidRDefault="0093676E">
      <w:pPr>
        <w:pStyle w:val="Teksttreci0"/>
        <w:spacing w:after="0"/>
        <w:rPr>
          <w:lang w:val="pl-PL"/>
        </w:rPr>
      </w:pPr>
      <w:hyperlink r:id="rId2339" w:history="1">
        <w:r w:rsidR="000425B4">
          <w:rPr>
            <w:i/>
            <w:iCs/>
            <w:color w:val="0072BC"/>
            <w:lang w:val="pl"/>
          </w:rPr>
          <w:t xml:space="preserve">Kerimov p. Azerbejdżanowi </w:t>
        </w:r>
      </w:hyperlink>
      <w:r w:rsidR="000425B4">
        <w:rPr>
          <w:lang w:val="pl"/>
        </w:rPr>
        <w:t>(dec.), nr 151/03, 28 września 2006 r.</w:t>
      </w:r>
    </w:p>
    <w:p w:rsidR="00B71A20" w:rsidRPr="000625F6" w:rsidRDefault="0093676E">
      <w:pPr>
        <w:pStyle w:val="Teksttreci0"/>
        <w:spacing w:after="0" w:line="230" w:lineRule="auto"/>
        <w:rPr>
          <w:lang w:val="pl-PL"/>
        </w:rPr>
      </w:pPr>
      <w:hyperlink r:id="rId2340" w:history="1">
        <w:r w:rsidR="000425B4">
          <w:rPr>
            <w:i/>
            <w:iCs/>
            <w:color w:val="0072BC"/>
            <w:lang w:val="pl"/>
          </w:rPr>
          <w:t>Kerman p. Turcji</w:t>
        </w:r>
        <w:r w:rsidR="000425B4">
          <w:rPr>
            <w:lang w:val="pl"/>
          </w:rPr>
          <w:t>,</w:t>
        </w:r>
      </w:hyperlink>
      <w:r w:rsidR="000425B4">
        <w:rPr>
          <w:lang w:val="pl"/>
        </w:rPr>
        <w:t xml:space="preserve"> nr 35132/05, 22 listopada 2016 r.</w:t>
      </w:r>
    </w:p>
    <w:p w:rsidR="00B71A20" w:rsidRPr="000625F6" w:rsidRDefault="0093676E">
      <w:pPr>
        <w:pStyle w:val="Teksttreci0"/>
        <w:spacing w:after="0"/>
        <w:rPr>
          <w:lang w:val="pl-PL"/>
        </w:rPr>
      </w:pPr>
      <w:hyperlink r:id="rId2341" w:history="1">
        <w:r w:rsidR="000425B4">
          <w:rPr>
            <w:i/>
            <w:iCs/>
            <w:color w:val="0072BC"/>
            <w:lang w:val="pl"/>
          </w:rPr>
          <w:t>Kerojärvi p. Finlandii</w:t>
        </w:r>
        <w:r w:rsidR="000425B4">
          <w:rPr>
            <w:lang w:val="pl"/>
          </w:rPr>
          <w:t>,</w:t>
        </w:r>
      </w:hyperlink>
      <w:r w:rsidR="000425B4">
        <w:rPr>
          <w:lang w:val="pl"/>
        </w:rPr>
        <w:t xml:space="preserve"> 19 lipca 1995 r., Seria A nr 322</w:t>
      </w:r>
    </w:p>
    <w:p w:rsidR="00B71A20" w:rsidRPr="000625F6" w:rsidRDefault="0093676E">
      <w:pPr>
        <w:pStyle w:val="Teksttreci0"/>
        <w:spacing w:after="0"/>
        <w:rPr>
          <w:lang w:val="pl-PL"/>
        </w:rPr>
      </w:pPr>
      <w:hyperlink r:id="rId2342" w:history="1">
        <w:r w:rsidR="000425B4">
          <w:rPr>
            <w:i/>
            <w:iCs/>
            <w:color w:val="0072BC"/>
            <w:lang w:val="pl"/>
          </w:rPr>
          <w:t xml:space="preserve">Kezer i Inni p. Turcji </w:t>
        </w:r>
      </w:hyperlink>
      <w:r w:rsidR="000425B4">
        <w:rPr>
          <w:lang w:val="pl"/>
        </w:rPr>
        <w:t>(dec.), nr 58058/00, 5 października 2004 r.</w:t>
      </w:r>
    </w:p>
    <w:p w:rsidR="00B71A20" w:rsidRPr="000625F6" w:rsidRDefault="0093676E">
      <w:pPr>
        <w:pStyle w:val="Teksttreci0"/>
        <w:spacing w:after="0"/>
        <w:rPr>
          <w:lang w:val="pl-PL"/>
        </w:rPr>
      </w:pPr>
      <w:hyperlink r:id="rId2343" w:history="1">
        <w:r w:rsidR="000425B4">
          <w:rPr>
            <w:i/>
            <w:iCs/>
            <w:color w:val="0072BC"/>
            <w:lang w:val="pl"/>
          </w:rPr>
          <w:t>Khadzhialiyev i Inni p. Rosji</w:t>
        </w:r>
        <w:r w:rsidR="000425B4">
          <w:rPr>
            <w:lang w:val="pl"/>
          </w:rPr>
          <w:t>,</w:t>
        </w:r>
      </w:hyperlink>
      <w:r w:rsidR="000425B4">
        <w:rPr>
          <w:lang w:val="pl"/>
        </w:rPr>
        <w:t xml:space="preserve"> nr 3013/04, 6 listopada 2008 r.</w:t>
      </w:r>
    </w:p>
    <w:p w:rsidR="00B71A20" w:rsidRPr="000625F6" w:rsidRDefault="0093676E">
      <w:pPr>
        <w:pStyle w:val="Teksttreci0"/>
        <w:spacing w:after="0"/>
        <w:rPr>
          <w:lang w:val="pl-PL"/>
        </w:rPr>
      </w:pPr>
      <w:hyperlink r:id="rId2344" w:history="1">
        <w:r w:rsidR="000425B4">
          <w:rPr>
            <w:i/>
            <w:iCs/>
            <w:color w:val="0072BC"/>
            <w:lang w:val="pl"/>
          </w:rPr>
          <w:t>Khadzhimuradov i Inni p. Rosji</w:t>
        </w:r>
        <w:r w:rsidR="000425B4">
          <w:rPr>
            <w:lang w:val="pl"/>
          </w:rPr>
          <w:t>,</w:t>
        </w:r>
      </w:hyperlink>
      <w:r w:rsidR="000425B4">
        <w:rPr>
          <w:lang w:val="pl"/>
        </w:rPr>
        <w:t xml:space="preserve"> nr 21194/09 i 16 innych, 10 października 2017 r.</w:t>
      </w:r>
    </w:p>
    <w:p w:rsidR="00B71A20" w:rsidRPr="000625F6" w:rsidRDefault="0093676E">
      <w:pPr>
        <w:pStyle w:val="Teksttreci0"/>
        <w:spacing w:after="0"/>
        <w:rPr>
          <w:lang w:val="pl-PL"/>
        </w:rPr>
      </w:pPr>
      <w:hyperlink r:id="rId2345" w:history="1">
        <w:r w:rsidR="000425B4">
          <w:rPr>
            <w:i/>
            <w:iCs/>
            <w:color w:val="0072BC"/>
            <w:lang w:val="pl"/>
          </w:rPr>
          <w:t>Khan p. Wielkiej Brytanii</w:t>
        </w:r>
        <w:r w:rsidR="000425B4">
          <w:rPr>
            <w:lang w:val="pl"/>
          </w:rPr>
          <w:t>,</w:t>
        </w:r>
      </w:hyperlink>
      <w:r w:rsidR="000425B4">
        <w:rPr>
          <w:lang w:val="pl"/>
        </w:rPr>
        <w:t xml:space="preserve"> nr 35394/97, ECHR 2000-V</w:t>
      </w:r>
    </w:p>
    <w:p w:rsidR="00B71A20" w:rsidRPr="000625F6" w:rsidRDefault="0093676E">
      <w:pPr>
        <w:pStyle w:val="Teksttreci0"/>
        <w:spacing w:after="0"/>
        <w:rPr>
          <w:lang w:val="pl-PL"/>
        </w:rPr>
      </w:pPr>
      <w:hyperlink r:id="rId2346" w:history="1">
        <w:r w:rsidR="000425B4">
          <w:rPr>
            <w:i/>
            <w:iCs/>
            <w:color w:val="0072BC"/>
            <w:lang w:val="pl"/>
          </w:rPr>
          <w:t>Khashiyev i Akayeva p. Rosji</w:t>
        </w:r>
        <w:r w:rsidR="000425B4">
          <w:rPr>
            <w:lang w:val="pl"/>
          </w:rPr>
          <w:t>,</w:t>
        </w:r>
      </w:hyperlink>
      <w:r w:rsidR="000425B4">
        <w:rPr>
          <w:lang w:val="pl"/>
        </w:rPr>
        <w:t xml:space="preserve"> nr 57942/00 i 57945/00, 24 lutego 2005 r.</w:t>
      </w:r>
    </w:p>
    <w:p w:rsidR="00B71A20" w:rsidRPr="000625F6" w:rsidRDefault="0093676E">
      <w:pPr>
        <w:pStyle w:val="Teksttreci0"/>
        <w:spacing w:after="0"/>
        <w:rPr>
          <w:lang w:val="pl-PL"/>
        </w:rPr>
      </w:pPr>
      <w:hyperlink r:id="rId2347" w:history="1">
        <w:r w:rsidR="000425B4">
          <w:rPr>
            <w:i/>
            <w:iCs/>
            <w:color w:val="0072BC"/>
            <w:lang w:val="pl"/>
          </w:rPr>
          <w:t>Khayrullina p. Rosji</w:t>
        </w:r>
        <w:r w:rsidR="000425B4">
          <w:rPr>
            <w:lang w:val="pl"/>
          </w:rPr>
          <w:t>,</w:t>
        </w:r>
      </w:hyperlink>
      <w:r w:rsidR="000425B4">
        <w:rPr>
          <w:lang w:val="pl"/>
        </w:rPr>
        <w:t xml:space="preserve"> nr 29729/09, 19 grudnia 2017 r.</w:t>
      </w:r>
    </w:p>
    <w:p w:rsidR="00B71A20" w:rsidRPr="000625F6" w:rsidRDefault="0093676E">
      <w:pPr>
        <w:pStyle w:val="Teksttreci0"/>
        <w:spacing w:after="0"/>
        <w:rPr>
          <w:lang w:val="pl-PL"/>
        </w:rPr>
      </w:pPr>
      <w:hyperlink r:id="rId2348" w:history="1">
        <w:r w:rsidR="000425B4">
          <w:rPr>
            <w:i/>
            <w:iCs/>
            <w:color w:val="0072BC"/>
            <w:lang w:val="pl"/>
          </w:rPr>
          <w:t xml:space="preserve">Khlaifia i Inni p. Włochom </w:t>
        </w:r>
      </w:hyperlink>
      <w:r w:rsidR="000425B4">
        <w:rPr>
          <w:lang w:val="pl"/>
        </w:rPr>
        <w:t>[WI], nr 16483/12, 15 grudnia 2016 r.</w:t>
      </w:r>
    </w:p>
    <w:p w:rsidR="00B71A20" w:rsidRPr="000625F6" w:rsidRDefault="0093676E">
      <w:pPr>
        <w:pStyle w:val="Teksttreci0"/>
        <w:spacing w:after="0"/>
        <w:rPr>
          <w:lang w:val="pl-PL"/>
        </w:rPr>
      </w:pPr>
      <w:hyperlink r:id="rId2349" w:history="1">
        <w:r w:rsidR="000425B4">
          <w:rPr>
            <w:i/>
            <w:iCs/>
            <w:color w:val="0072BC"/>
            <w:lang w:val="pl"/>
          </w:rPr>
          <w:t>Khodorkovskiy i Lebedev p. Rosji</w:t>
        </w:r>
        <w:r w:rsidR="000425B4">
          <w:rPr>
            <w:lang w:val="pl"/>
          </w:rPr>
          <w:t>,</w:t>
        </w:r>
      </w:hyperlink>
      <w:r w:rsidR="000425B4">
        <w:rPr>
          <w:lang w:val="pl"/>
        </w:rPr>
        <w:t xml:space="preserve"> nr 11082/06 i 13772/05, 25 lipca 2013 r.</w:t>
      </w:r>
    </w:p>
    <w:p w:rsidR="00B71A20" w:rsidRDefault="0093676E">
      <w:pPr>
        <w:pStyle w:val="Teksttreci0"/>
        <w:spacing w:after="0"/>
      </w:pPr>
      <w:hyperlink r:id="rId2350" w:history="1">
        <w:r w:rsidR="000425B4" w:rsidRPr="000625F6">
          <w:rPr>
            <w:i/>
            <w:iCs/>
            <w:color w:val="0072BC"/>
            <w:lang w:val="en-GB"/>
          </w:rPr>
          <w:t xml:space="preserve">Kiiskinen i Kovalainen p. Finlandii </w:t>
        </w:r>
      </w:hyperlink>
      <w:r w:rsidR="000425B4" w:rsidRPr="000625F6">
        <w:rPr>
          <w:lang w:val="en-GB"/>
        </w:rPr>
        <w:t>(dec.), nr 26323/95, ECHR 1999-V</w:t>
      </w:r>
    </w:p>
    <w:p w:rsidR="00B71A20" w:rsidRPr="000625F6" w:rsidRDefault="0093676E">
      <w:pPr>
        <w:pStyle w:val="Teksttreci0"/>
        <w:spacing w:after="0"/>
        <w:rPr>
          <w:lang w:val="pl-PL"/>
        </w:rPr>
      </w:pPr>
      <w:hyperlink r:id="rId2351" w:history="1">
        <w:r w:rsidR="000425B4">
          <w:rPr>
            <w:i/>
            <w:iCs/>
            <w:color w:val="0072BC"/>
            <w:lang w:val="pl"/>
          </w:rPr>
          <w:t xml:space="preserve">Kikots i Kikota p. Łotwie </w:t>
        </w:r>
      </w:hyperlink>
      <w:r w:rsidR="000425B4">
        <w:rPr>
          <w:lang w:val="pl"/>
        </w:rPr>
        <w:t>(dec.), nr 54715/00, 6 czerwca 2002 r.</w:t>
      </w:r>
    </w:p>
    <w:p w:rsidR="00B71A20" w:rsidRPr="000625F6" w:rsidRDefault="0093676E">
      <w:pPr>
        <w:pStyle w:val="Teksttreci0"/>
        <w:spacing w:after="0"/>
        <w:rPr>
          <w:lang w:val="pl-PL"/>
        </w:rPr>
      </w:pPr>
      <w:hyperlink r:id="rId2352" w:history="1">
        <w:r w:rsidR="000425B4">
          <w:rPr>
            <w:i/>
            <w:iCs/>
            <w:color w:val="0072BC"/>
            <w:lang w:val="pl"/>
          </w:rPr>
          <w:t xml:space="preserve">Kiousi p. Grecji </w:t>
        </w:r>
      </w:hyperlink>
      <w:r w:rsidR="000425B4">
        <w:rPr>
          <w:lang w:val="pl"/>
        </w:rPr>
        <w:t>(dec.), nr 52036/09, 20 września 2011 r.</w:t>
      </w:r>
    </w:p>
    <w:p w:rsidR="00B71A20" w:rsidRPr="000625F6" w:rsidRDefault="0093676E">
      <w:pPr>
        <w:pStyle w:val="Teksttreci0"/>
        <w:spacing w:after="0"/>
        <w:rPr>
          <w:lang w:val="pl-PL"/>
        </w:rPr>
      </w:pPr>
      <w:hyperlink r:id="rId2353" w:history="1">
        <w:r w:rsidR="000425B4">
          <w:rPr>
            <w:i/>
            <w:iCs/>
            <w:color w:val="0072BC"/>
            <w:lang w:val="pl"/>
          </w:rPr>
          <w:t>Kiril Zlatkov Nikolov p. Francji</w:t>
        </w:r>
        <w:r w:rsidR="000425B4">
          <w:rPr>
            <w:lang w:val="pl"/>
          </w:rPr>
          <w:t>,</w:t>
        </w:r>
      </w:hyperlink>
      <w:r w:rsidR="000425B4">
        <w:rPr>
          <w:lang w:val="pl"/>
        </w:rPr>
        <w:t xml:space="preserve"> nr 70474/11 i 68038/12, 10 listopada 2016 r.</w:t>
      </w:r>
    </w:p>
    <w:p w:rsidR="00B71A20" w:rsidRPr="000625F6" w:rsidRDefault="0093676E">
      <w:pPr>
        <w:pStyle w:val="Teksttreci0"/>
        <w:spacing w:after="0"/>
        <w:rPr>
          <w:lang w:val="pl-PL"/>
        </w:rPr>
      </w:pPr>
      <w:hyperlink r:id="rId2354" w:history="1">
        <w:r w:rsidR="000425B4">
          <w:rPr>
            <w:i/>
            <w:iCs/>
            <w:color w:val="0072BC"/>
            <w:lang w:val="pl"/>
          </w:rPr>
          <w:t>Klass i Inni p. Niemcom</w:t>
        </w:r>
        <w:r w:rsidR="000425B4">
          <w:rPr>
            <w:lang w:val="pl"/>
          </w:rPr>
          <w:t>,</w:t>
        </w:r>
      </w:hyperlink>
      <w:r w:rsidR="000425B4">
        <w:rPr>
          <w:lang w:val="pl"/>
        </w:rPr>
        <w:t xml:space="preserve"> 6 września 1978 r., Seria A nr 28</w:t>
      </w:r>
    </w:p>
    <w:p w:rsidR="00B71A20" w:rsidRPr="000625F6" w:rsidRDefault="0093676E">
      <w:pPr>
        <w:pStyle w:val="Teksttreci0"/>
        <w:spacing w:after="0"/>
        <w:rPr>
          <w:lang w:val="pl-PL"/>
        </w:rPr>
      </w:pPr>
      <w:hyperlink r:id="rId2355" w:history="1">
        <w:r w:rsidR="000425B4">
          <w:rPr>
            <w:i/>
            <w:iCs/>
            <w:color w:val="0072BC"/>
            <w:lang w:val="pl"/>
          </w:rPr>
          <w:t xml:space="preserve">Klausecker p. Niemcom </w:t>
        </w:r>
      </w:hyperlink>
      <w:r w:rsidR="000425B4">
        <w:rPr>
          <w:lang w:val="pl"/>
        </w:rPr>
        <w:t>(dec.), nr 415/07, 6 stycznia 2015 r.</w:t>
      </w:r>
    </w:p>
    <w:p w:rsidR="00B71A20" w:rsidRPr="000625F6" w:rsidRDefault="0093676E">
      <w:pPr>
        <w:pStyle w:val="Teksttreci0"/>
        <w:spacing w:after="0"/>
        <w:rPr>
          <w:lang w:val="pl-PL"/>
        </w:rPr>
      </w:pPr>
      <w:hyperlink r:id="rId2356" w:history="1">
        <w:r w:rsidR="000425B4">
          <w:rPr>
            <w:i/>
            <w:iCs/>
            <w:color w:val="0072BC"/>
            <w:lang w:val="pl"/>
          </w:rPr>
          <w:t>Klyakhin p. Rosji</w:t>
        </w:r>
        <w:r w:rsidR="000425B4">
          <w:rPr>
            <w:lang w:val="pl"/>
          </w:rPr>
          <w:t>,</w:t>
        </w:r>
      </w:hyperlink>
      <w:r w:rsidR="000425B4">
        <w:rPr>
          <w:lang w:val="pl"/>
        </w:rPr>
        <w:t xml:space="preserve"> nr 46082/99, 30 listopada 2004 r.</w:t>
      </w:r>
    </w:p>
    <w:p w:rsidR="00B71A20" w:rsidRPr="000625F6" w:rsidRDefault="0093676E">
      <w:pPr>
        <w:pStyle w:val="Teksttreci0"/>
        <w:spacing w:after="0"/>
        <w:rPr>
          <w:lang w:val="pl-PL"/>
        </w:rPr>
      </w:pPr>
      <w:hyperlink r:id="rId2357" w:history="1">
        <w:r w:rsidR="000425B4">
          <w:rPr>
            <w:i/>
            <w:iCs/>
            <w:color w:val="0072BC"/>
            <w:lang w:val="pl"/>
          </w:rPr>
          <w:t xml:space="preserve">Koç i Tambaş p. Turcji </w:t>
        </w:r>
      </w:hyperlink>
      <w:r w:rsidR="000425B4">
        <w:rPr>
          <w:lang w:val="pl"/>
        </w:rPr>
        <w:t>(dec.), nr 46947/99, 24 lutego 2005 r.</w:t>
      </w:r>
    </w:p>
    <w:p w:rsidR="00B71A20" w:rsidRPr="000625F6" w:rsidRDefault="0093676E">
      <w:pPr>
        <w:pStyle w:val="Teksttreci0"/>
        <w:spacing w:after="0"/>
        <w:rPr>
          <w:lang w:val="pl-PL"/>
        </w:rPr>
      </w:pPr>
      <w:hyperlink r:id="rId2358" w:history="1">
        <w:r w:rsidR="000425B4">
          <w:rPr>
            <w:i/>
            <w:iCs/>
            <w:color w:val="0072BC"/>
            <w:lang w:val="pl"/>
          </w:rPr>
          <w:t xml:space="preserve">Koç i Tosun p. Turcji </w:t>
        </w:r>
      </w:hyperlink>
      <w:r w:rsidR="000425B4">
        <w:rPr>
          <w:lang w:val="pl"/>
        </w:rPr>
        <w:t>(dec.), nr 23852/04, 13 listopada 2008 r.</w:t>
      </w:r>
    </w:p>
    <w:p w:rsidR="00B71A20" w:rsidRPr="000625F6" w:rsidRDefault="0093676E">
      <w:pPr>
        <w:pStyle w:val="Teksttreci0"/>
        <w:spacing w:after="0"/>
        <w:rPr>
          <w:lang w:val="pl-PL"/>
        </w:rPr>
      </w:pPr>
      <w:hyperlink r:id="rId2359" w:history="1">
        <w:r w:rsidR="000425B4">
          <w:rPr>
            <w:i/>
            <w:iCs/>
            <w:color w:val="0072BC"/>
            <w:lang w:val="pl"/>
          </w:rPr>
          <w:t xml:space="preserve">Koch p. Polsce </w:t>
        </w:r>
      </w:hyperlink>
      <w:r w:rsidR="000425B4">
        <w:rPr>
          <w:lang w:val="pl"/>
        </w:rPr>
        <w:t>(dec.), nr 15005/11, 7 marca 2017 r.</w:t>
      </w:r>
    </w:p>
    <w:p w:rsidR="00B71A20" w:rsidRPr="000625F6" w:rsidRDefault="0093676E">
      <w:pPr>
        <w:pStyle w:val="Teksttreci0"/>
        <w:spacing w:after="0" w:line="230" w:lineRule="auto"/>
        <w:rPr>
          <w:lang w:val="pl-PL"/>
        </w:rPr>
      </w:pPr>
      <w:hyperlink r:id="rId2360" w:history="1">
        <w:r w:rsidR="000425B4">
          <w:rPr>
            <w:i/>
            <w:iCs/>
            <w:color w:val="0072BC"/>
            <w:lang w:val="pl"/>
          </w:rPr>
          <w:t>Kohler p. Niemcom</w:t>
        </w:r>
        <w:r w:rsidR="000425B4">
          <w:rPr>
            <w:color w:val="0072BC"/>
            <w:lang w:val="pl"/>
          </w:rPr>
          <w:t xml:space="preserve"> </w:t>
        </w:r>
      </w:hyperlink>
      <w:r w:rsidR="000425B4">
        <w:rPr>
          <w:lang w:val="pl"/>
        </w:rPr>
        <w:t>(dec.), nr 3443/18, 7 września 2021 r.</w:t>
      </w:r>
    </w:p>
    <w:p w:rsidR="00B71A20" w:rsidRPr="000625F6" w:rsidRDefault="0093676E">
      <w:pPr>
        <w:pStyle w:val="Teksttreci0"/>
        <w:spacing w:after="0"/>
        <w:rPr>
          <w:lang w:val="pl-PL"/>
        </w:rPr>
      </w:pPr>
      <w:hyperlink r:id="rId2361" w:history="1">
        <w:r w:rsidR="000425B4">
          <w:rPr>
            <w:i/>
            <w:iCs/>
            <w:color w:val="0072BC"/>
            <w:lang w:val="pl"/>
          </w:rPr>
          <w:t>Kondrulin p. Rosji</w:t>
        </w:r>
        <w:r w:rsidR="000425B4">
          <w:rPr>
            <w:lang w:val="pl"/>
          </w:rPr>
          <w:t>,</w:t>
        </w:r>
      </w:hyperlink>
      <w:r w:rsidR="000425B4">
        <w:rPr>
          <w:lang w:val="pl"/>
        </w:rPr>
        <w:t xml:space="preserve"> nr 12987/15, 20 września 2016 r.</w:t>
      </w:r>
    </w:p>
    <w:p w:rsidR="00B71A20" w:rsidRPr="000625F6" w:rsidRDefault="0093676E">
      <w:pPr>
        <w:pStyle w:val="Teksttreci0"/>
        <w:spacing w:after="0"/>
        <w:rPr>
          <w:lang w:val="pl-PL"/>
        </w:rPr>
      </w:pPr>
      <w:hyperlink r:id="rId2362" w:history="1">
        <w:r w:rsidR="000425B4">
          <w:rPr>
            <w:i/>
            <w:iCs/>
            <w:color w:val="0072BC"/>
            <w:lang w:val="pl"/>
          </w:rPr>
          <w:t xml:space="preserve">Kongresna Narodna Stranka i Inni p. Bośni i Hercegowinie </w:t>
        </w:r>
      </w:hyperlink>
      <w:r w:rsidR="000425B4">
        <w:rPr>
          <w:lang w:val="pl"/>
        </w:rPr>
        <w:t>(dec.), nr 414/11, 26 kwietnia 2016 r.</w:t>
      </w:r>
    </w:p>
    <w:p w:rsidR="00B71A20" w:rsidRPr="000625F6" w:rsidRDefault="0093676E">
      <w:pPr>
        <w:pStyle w:val="Teksttreci0"/>
        <w:spacing w:after="0"/>
        <w:rPr>
          <w:lang w:val="pl-PL"/>
        </w:rPr>
      </w:pPr>
      <w:hyperlink r:id="rId2363" w:history="1">
        <w:r w:rsidR="000425B4">
          <w:rPr>
            <w:i/>
            <w:iCs/>
            <w:color w:val="0072BC"/>
            <w:lang w:val="pl"/>
          </w:rPr>
          <w:t>Konstantin Stefanov p. Bułgarii</w:t>
        </w:r>
        <w:r w:rsidR="000425B4">
          <w:rPr>
            <w:lang w:val="pl"/>
          </w:rPr>
          <w:t>,</w:t>
        </w:r>
      </w:hyperlink>
      <w:r w:rsidR="000425B4">
        <w:rPr>
          <w:lang w:val="pl"/>
        </w:rPr>
        <w:t xml:space="preserve"> nr 35399/05, 27 października 2015 r.</w:t>
      </w:r>
    </w:p>
    <w:p w:rsidR="00B71A20" w:rsidRPr="000625F6" w:rsidRDefault="0093676E">
      <w:pPr>
        <w:pStyle w:val="Teksttreci0"/>
        <w:spacing w:after="0"/>
        <w:rPr>
          <w:lang w:val="pl-PL"/>
        </w:rPr>
      </w:pPr>
      <w:hyperlink r:id="rId2364" w:history="1">
        <w:r w:rsidR="000425B4">
          <w:rPr>
            <w:i/>
            <w:iCs/>
            <w:color w:val="0072BC"/>
            <w:lang w:val="pl"/>
          </w:rPr>
          <w:t>Konstantinidis p. Grecji</w:t>
        </w:r>
        <w:r w:rsidR="000425B4">
          <w:rPr>
            <w:lang w:val="pl"/>
          </w:rPr>
          <w:t>,</w:t>
        </w:r>
      </w:hyperlink>
      <w:r w:rsidR="000425B4">
        <w:rPr>
          <w:lang w:val="pl"/>
        </w:rPr>
        <w:t xml:space="preserve"> nr 58809/09, 3 kwietnia 2014 r.</w:t>
      </w:r>
    </w:p>
    <w:p w:rsidR="00B71A20" w:rsidRPr="000625F6" w:rsidRDefault="0093676E">
      <w:pPr>
        <w:pStyle w:val="Teksttreci0"/>
        <w:spacing w:after="0"/>
        <w:rPr>
          <w:lang w:val="pl-PL"/>
        </w:rPr>
      </w:pPr>
      <w:hyperlink r:id="rId2365" w:history="1">
        <w:r w:rsidR="000425B4">
          <w:rPr>
            <w:i/>
            <w:iCs/>
            <w:color w:val="0072BC"/>
            <w:lang w:val="pl"/>
          </w:rPr>
          <w:t xml:space="preserve">Kopecký p. Słowacji </w:t>
        </w:r>
      </w:hyperlink>
      <w:r w:rsidR="000425B4">
        <w:rPr>
          <w:lang w:val="pl"/>
        </w:rPr>
        <w:t>[WI], nr 44912/98, ECHR 2004-IX</w:t>
      </w:r>
    </w:p>
    <w:p w:rsidR="00B71A20" w:rsidRPr="000625F6" w:rsidRDefault="0093676E">
      <w:pPr>
        <w:pStyle w:val="Teksttreci0"/>
        <w:spacing w:after="0"/>
        <w:rPr>
          <w:lang w:val="pl-PL"/>
        </w:rPr>
      </w:pPr>
      <w:hyperlink r:id="rId2366" w:history="1">
        <w:r w:rsidR="000425B4">
          <w:rPr>
            <w:i/>
            <w:iCs/>
            <w:color w:val="0072BC"/>
            <w:lang w:val="pl"/>
          </w:rPr>
          <w:t xml:space="preserve">Korenjak p. Słowenii </w:t>
        </w:r>
      </w:hyperlink>
      <w:r w:rsidR="000425B4">
        <w:rPr>
          <w:lang w:val="pl"/>
        </w:rPr>
        <w:t>(dec.), nr 463/03, 15 maja 2007 r.</w:t>
      </w:r>
    </w:p>
    <w:p w:rsidR="00B71A20" w:rsidRPr="000625F6" w:rsidRDefault="0093676E">
      <w:pPr>
        <w:pStyle w:val="Teksttreci0"/>
        <w:spacing w:after="0"/>
        <w:rPr>
          <w:lang w:val="pl-PL"/>
        </w:rPr>
      </w:pPr>
      <w:hyperlink r:id="rId2367" w:history="1">
        <w:r w:rsidR="000425B4">
          <w:rPr>
            <w:i/>
            <w:iCs/>
            <w:color w:val="0072BC"/>
            <w:lang w:val="pl"/>
          </w:rPr>
          <w:t xml:space="preserve">Korizno p. Łotwie </w:t>
        </w:r>
      </w:hyperlink>
      <w:r w:rsidR="000425B4">
        <w:rPr>
          <w:lang w:val="pl"/>
        </w:rPr>
        <w:t>(dec.), nr 68163/01, 28 września 2006 r.</w:t>
      </w:r>
    </w:p>
    <w:p w:rsidR="00B71A20" w:rsidRPr="000625F6" w:rsidRDefault="0093676E">
      <w:pPr>
        <w:pStyle w:val="Teksttreci0"/>
        <w:spacing w:after="0"/>
        <w:rPr>
          <w:lang w:val="pl-PL"/>
        </w:rPr>
      </w:pPr>
      <w:hyperlink r:id="rId2368" w:history="1">
        <w:r w:rsidR="000425B4">
          <w:rPr>
            <w:i/>
            <w:iCs/>
            <w:color w:val="0072BC"/>
            <w:lang w:val="pl"/>
          </w:rPr>
          <w:t>Kornakovs p. Łotwie</w:t>
        </w:r>
        <w:r w:rsidR="000425B4">
          <w:rPr>
            <w:lang w:val="pl"/>
          </w:rPr>
          <w:t>,</w:t>
        </w:r>
      </w:hyperlink>
      <w:r w:rsidR="000425B4">
        <w:rPr>
          <w:lang w:val="pl"/>
        </w:rPr>
        <w:t xml:space="preserve"> nr 61005/00, 15 czerwca 2006 r.</w:t>
      </w:r>
    </w:p>
    <w:p w:rsidR="00B71A20" w:rsidRPr="000625F6" w:rsidRDefault="0093676E">
      <w:pPr>
        <w:pStyle w:val="Teksttreci0"/>
        <w:spacing w:after="0"/>
        <w:rPr>
          <w:lang w:val="pl-PL"/>
        </w:rPr>
      </w:pPr>
      <w:hyperlink r:id="rId2369" w:history="1">
        <w:r w:rsidR="000425B4">
          <w:rPr>
            <w:i/>
            <w:iCs/>
            <w:color w:val="0072BC"/>
            <w:lang w:val="pl"/>
          </w:rPr>
          <w:t xml:space="preserve">Korolev p. Rosji </w:t>
        </w:r>
      </w:hyperlink>
      <w:r w:rsidR="000425B4">
        <w:rPr>
          <w:lang w:val="pl"/>
        </w:rPr>
        <w:t>(dec.), nr 25551/05, ECHR 2010</w:t>
      </w:r>
    </w:p>
    <w:p w:rsidR="00B71A20" w:rsidRPr="000625F6" w:rsidRDefault="0093676E">
      <w:pPr>
        <w:pStyle w:val="Teksttreci0"/>
        <w:spacing w:after="0"/>
        <w:rPr>
          <w:lang w:val="pl-PL"/>
        </w:rPr>
      </w:pPr>
      <w:hyperlink r:id="rId2370" w:history="1">
        <w:r w:rsidR="000425B4">
          <w:rPr>
            <w:i/>
            <w:iCs/>
            <w:color w:val="0072BC"/>
            <w:lang w:val="pl"/>
          </w:rPr>
          <w:t xml:space="preserve">Kósa p. Węgrom </w:t>
        </w:r>
      </w:hyperlink>
      <w:r w:rsidR="000425B4">
        <w:rPr>
          <w:lang w:val="pl"/>
        </w:rPr>
        <w:t>(dec.), nr 53461/15, 21 listopada 2017 r.</w:t>
      </w:r>
    </w:p>
    <w:p w:rsidR="00B71A20" w:rsidRPr="000625F6" w:rsidRDefault="0093676E">
      <w:pPr>
        <w:pStyle w:val="Teksttreci0"/>
        <w:spacing w:after="0"/>
        <w:rPr>
          <w:lang w:val="pl-PL"/>
        </w:rPr>
      </w:pPr>
      <w:hyperlink r:id="rId2371" w:history="1">
        <w:r w:rsidR="000425B4">
          <w:rPr>
            <w:i/>
            <w:iCs/>
            <w:color w:val="0072BC"/>
            <w:lang w:val="pl"/>
          </w:rPr>
          <w:t>Kotilainen i Inni p. Finlandii</w:t>
        </w:r>
        <w:r w:rsidR="000425B4">
          <w:rPr>
            <w:lang w:val="pl"/>
          </w:rPr>
          <w:t>,</w:t>
        </w:r>
      </w:hyperlink>
      <w:r w:rsidR="000425B4">
        <w:rPr>
          <w:lang w:val="pl"/>
        </w:rPr>
        <w:t xml:space="preserve"> nr 62439/12, 17 września 2020 r.</w:t>
      </w:r>
    </w:p>
    <w:p w:rsidR="00B71A20" w:rsidRPr="000625F6" w:rsidRDefault="0093676E">
      <w:pPr>
        <w:pStyle w:val="Teksttreci0"/>
        <w:spacing w:after="0"/>
        <w:rPr>
          <w:lang w:val="pl-PL"/>
        </w:rPr>
      </w:pPr>
      <w:hyperlink r:id="rId2372" w:history="1">
        <w:r w:rsidR="000425B4">
          <w:rPr>
            <w:i/>
            <w:iCs/>
            <w:color w:val="0072BC"/>
            <w:lang w:val="pl"/>
          </w:rPr>
          <w:t xml:space="preserve">Kotov p. Rosji </w:t>
        </w:r>
      </w:hyperlink>
      <w:r w:rsidR="000425B4">
        <w:rPr>
          <w:lang w:val="pl"/>
        </w:rPr>
        <w:t>[WI], nr 54522/00, 3 kwietnia 2012 r.</w:t>
      </w:r>
    </w:p>
    <w:p w:rsidR="00B71A20" w:rsidRPr="000625F6" w:rsidRDefault="0093676E">
      <w:pPr>
        <w:pStyle w:val="Teksttreci0"/>
        <w:spacing w:after="0"/>
        <w:rPr>
          <w:lang w:val="pl-PL"/>
        </w:rPr>
      </w:pPr>
      <w:hyperlink r:id="rId2373" w:history="1">
        <w:r w:rsidR="000425B4">
          <w:rPr>
            <w:i/>
            <w:iCs/>
            <w:color w:val="0072BC"/>
            <w:lang w:val="pl"/>
          </w:rPr>
          <w:t xml:space="preserve">Koumoutsea i Inni p. Grecji </w:t>
        </w:r>
      </w:hyperlink>
      <w:r w:rsidR="000425B4">
        <w:rPr>
          <w:lang w:val="pl"/>
        </w:rPr>
        <w:t>(dec.), nr 56625/00, 13 grudnia 2001 r.</w:t>
      </w:r>
    </w:p>
    <w:p w:rsidR="00B71A20" w:rsidRPr="000625F6" w:rsidRDefault="0093676E">
      <w:pPr>
        <w:pStyle w:val="Teksttreci0"/>
        <w:spacing w:after="0"/>
        <w:rPr>
          <w:lang w:val="pl-PL"/>
        </w:rPr>
      </w:pPr>
      <w:hyperlink r:id="rId2374" w:history="1">
        <w:r w:rsidR="000425B4">
          <w:rPr>
            <w:i/>
            <w:iCs/>
            <w:color w:val="0072BC"/>
            <w:lang w:val="pl"/>
          </w:rPr>
          <w:t xml:space="preserve">Kozacıoğlu p. Turcji </w:t>
        </w:r>
      </w:hyperlink>
      <w:r w:rsidR="000425B4">
        <w:rPr>
          <w:lang w:val="pl"/>
        </w:rPr>
        <w:t>[WI], nr 2334/03, 19 lutego 2009 r.</w:t>
      </w:r>
    </w:p>
    <w:p w:rsidR="00B71A20" w:rsidRPr="000625F6" w:rsidRDefault="0093676E">
      <w:pPr>
        <w:pStyle w:val="Teksttreci0"/>
        <w:spacing w:after="0"/>
        <w:rPr>
          <w:lang w:val="pl-PL"/>
        </w:rPr>
      </w:pPr>
      <w:hyperlink r:id="rId2375" w:history="1">
        <w:r w:rsidR="000425B4">
          <w:rPr>
            <w:i/>
            <w:iCs/>
            <w:color w:val="0072BC"/>
            <w:lang w:val="pl"/>
          </w:rPr>
          <w:t xml:space="preserve">Kozlova i Smirnova p. Łotwie </w:t>
        </w:r>
      </w:hyperlink>
      <w:r w:rsidR="000425B4">
        <w:rPr>
          <w:lang w:val="pl"/>
        </w:rPr>
        <w:t>(dec.), nr 57381/00, ECHR 2001-XI</w:t>
      </w:r>
    </w:p>
    <w:p w:rsidR="00B71A20" w:rsidRPr="000625F6" w:rsidRDefault="0093676E">
      <w:pPr>
        <w:pStyle w:val="Teksttreci0"/>
        <w:spacing w:after="0"/>
        <w:rPr>
          <w:lang w:val="pl-PL"/>
        </w:rPr>
      </w:pPr>
      <w:hyperlink r:id="rId2376" w:history="1">
        <w:r w:rsidR="000425B4">
          <w:rPr>
            <w:i/>
            <w:iCs/>
            <w:color w:val="0072BC"/>
            <w:lang w:val="pl"/>
          </w:rPr>
          <w:t>Krstić p. Serbii</w:t>
        </w:r>
        <w:r w:rsidR="000425B4">
          <w:rPr>
            <w:lang w:val="pl"/>
          </w:rPr>
          <w:t>,</w:t>
        </w:r>
      </w:hyperlink>
      <w:r w:rsidR="000425B4">
        <w:rPr>
          <w:lang w:val="pl"/>
        </w:rPr>
        <w:t xml:space="preserve"> nr 45394/06, 10 grudnia 2013 r.</w:t>
      </w:r>
    </w:p>
    <w:p w:rsidR="00B71A20" w:rsidRPr="000625F6" w:rsidRDefault="0093676E">
      <w:pPr>
        <w:pStyle w:val="Teksttreci0"/>
        <w:spacing w:after="0"/>
        <w:rPr>
          <w:lang w:val="pl-PL"/>
        </w:rPr>
      </w:pPr>
      <w:hyperlink r:id="rId2377" w:history="1">
        <w:r w:rsidR="000425B4">
          <w:rPr>
            <w:i/>
            <w:iCs/>
            <w:color w:val="0072BC"/>
            <w:lang w:val="pl"/>
          </w:rPr>
          <w:t xml:space="preserve">Kudła p. Polsce </w:t>
        </w:r>
      </w:hyperlink>
      <w:r w:rsidR="000425B4">
        <w:rPr>
          <w:lang w:val="pl"/>
        </w:rPr>
        <w:t>[WI], nr 30210/96, ECHR 2000-XI</w:t>
      </w:r>
    </w:p>
    <w:p w:rsidR="00B71A20" w:rsidRPr="000625F6" w:rsidRDefault="0093676E">
      <w:pPr>
        <w:pStyle w:val="Teksttreci0"/>
        <w:spacing w:after="0"/>
        <w:rPr>
          <w:lang w:val="pl-PL"/>
        </w:rPr>
      </w:pPr>
      <w:hyperlink r:id="rId2378" w:history="1">
        <w:r w:rsidR="000425B4">
          <w:rPr>
            <w:i/>
            <w:iCs/>
            <w:color w:val="0072BC"/>
            <w:lang w:val="pl"/>
          </w:rPr>
          <w:t xml:space="preserve">Kurić i Inni p. Słowenii </w:t>
        </w:r>
      </w:hyperlink>
      <w:r w:rsidR="000425B4">
        <w:rPr>
          <w:lang w:val="pl"/>
        </w:rPr>
        <w:t>[WI], nr 26828/06, ECHR 2012</w:t>
      </w:r>
    </w:p>
    <w:p w:rsidR="00B71A20" w:rsidRPr="000625F6" w:rsidRDefault="0093676E">
      <w:pPr>
        <w:pStyle w:val="Teksttreci0"/>
        <w:spacing w:after="0"/>
        <w:rPr>
          <w:lang w:val="pl-PL"/>
        </w:rPr>
      </w:pPr>
      <w:hyperlink r:id="rId2379" w:history="1">
        <w:r w:rsidR="000425B4">
          <w:rPr>
            <w:i/>
            <w:iCs/>
            <w:color w:val="0072BC"/>
            <w:lang w:val="pl"/>
          </w:rPr>
          <w:t>Kurşun p. Turcji</w:t>
        </w:r>
        <w:r w:rsidR="000425B4">
          <w:rPr>
            <w:lang w:val="pl"/>
          </w:rPr>
          <w:t>,</w:t>
        </w:r>
      </w:hyperlink>
      <w:r w:rsidR="000425B4">
        <w:rPr>
          <w:lang w:val="pl"/>
        </w:rPr>
        <w:t xml:space="preserve"> nr 22677/10, 30 października 2018 r.</w:t>
      </w:r>
    </w:p>
    <w:p w:rsidR="00B71A20" w:rsidRPr="000625F6" w:rsidRDefault="0093676E">
      <w:pPr>
        <w:pStyle w:val="Teksttreci0"/>
        <w:spacing w:after="0" w:line="230" w:lineRule="auto"/>
        <w:rPr>
          <w:lang w:val="pl-PL"/>
        </w:rPr>
      </w:pPr>
      <w:hyperlink r:id="rId2380" w:history="1">
        <w:r w:rsidR="000425B4">
          <w:rPr>
            <w:i/>
            <w:iCs/>
            <w:color w:val="0072BC"/>
            <w:lang w:val="pl"/>
          </w:rPr>
          <w:t>Kurt p. Turcji</w:t>
        </w:r>
        <w:r w:rsidR="000425B4">
          <w:rPr>
            <w:lang w:val="pl"/>
          </w:rPr>
          <w:t>,</w:t>
        </w:r>
      </w:hyperlink>
      <w:r w:rsidR="000425B4">
        <w:rPr>
          <w:lang w:val="pl"/>
        </w:rPr>
        <w:t xml:space="preserve"> 25 maja 1998 r., </w:t>
      </w:r>
      <w:r w:rsidR="000425B4">
        <w:rPr>
          <w:i/>
          <w:iCs/>
          <w:lang w:val="pl"/>
        </w:rPr>
        <w:t>Raporty</w:t>
      </w:r>
      <w:r w:rsidR="000425B4">
        <w:rPr>
          <w:lang w:val="pl"/>
        </w:rPr>
        <w:t xml:space="preserve"> 1998-III</w:t>
      </w:r>
    </w:p>
    <w:p w:rsidR="00B71A20" w:rsidRPr="000625F6" w:rsidRDefault="0093676E">
      <w:pPr>
        <w:pStyle w:val="Teksttreci0"/>
        <w:spacing w:after="0"/>
        <w:rPr>
          <w:lang w:val="pl-PL"/>
        </w:rPr>
      </w:pPr>
      <w:hyperlink r:id="rId2381" w:history="1">
        <w:r w:rsidR="000425B4">
          <w:rPr>
            <w:i/>
            <w:iCs/>
            <w:color w:val="0072BC"/>
            <w:lang w:val="pl"/>
          </w:rPr>
          <w:t xml:space="preserve">Kušić i Inni p. Chorwacji </w:t>
        </w:r>
      </w:hyperlink>
      <w:r w:rsidR="000425B4">
        <w:rPr>
          <w:lang w:val="pl"/>
        </w:rPr>
        <w:t>(dec.), nr 71667/17, 10 grudnia 2019 r.</w:t>
      </w:r>
    </w:p>
    <w:p w:rsidR="00B71A20" w:rsidRPr="000625F6" w:rsidRDefault="0093676E">
      <w:pPr>
        <w:pStyle w:val="Teksttreci0"/>
        <w:spacing w:after="460"/>
        <w:rPr>
          <w:lang w:val="pl-PL"/>
        </w:rPr>
      </w:pPr>
      <w:hyperlink r:id="rId2382" w:history="1">
        <w:r w:rsidR="000425B4">
          <w:rPr>
            <w:i/>
            <w:iCs/>
            <w:color w:val="0072BC"/>
            <w:lang w:val="pl"/>
          </w:rPr>
          <w:t>Kuzhelev i Inni p. Rosji</w:t>
        </w:r>
        <w:r w:rsidR="000425B4">
          <w:rPr>
            <w:lang w:val="pl"/>
          </w:rPr>
          <w:t>,</w:t>
        </w:r>
      </w:hyperlink>
      <w:r w:rsidR="000425B4">
        <w:rPr>
          <w:lang w:val="pl"/>
        </w:rPr>
        <w:t xml:space="preserve"> nr 64098/09 i 6 innych, 15 października 2019 r.</w:t>
      </w:r>
    </w:p>
    <w:p w:rsidR="00B71A20" w:rsidRPr="000625F6" w:rsidRDefault="000425B4">
      <w:pPr>
        <w:pStyle w:val="Teksttreci30"/>
        <w:spacing w:after="120"/>
        <w:rPr>
          <w:lang w:val="pl-PL"/>
        </w:rPr>
      </w:pPr>
      <w:r>
        <w:rPr>
          <w:lang w:val="pl"/>
        </w:rPr>
        <w:t>—L—</w:t>
      </w:r>
    </w:p>
    <w:p w:rsidR="00B71A20" w:rsidRPr="000625F6" w:rsidRDefault="0093676E" w:rsidP="00381152">
      <w:pPr>
        <w:pStyle w:val="Teksttreci0"/>
        <w:spacing w:after="0"/>
        <w:rPr>
          <w:lang w:val="pl-PL"/>
        </w:rPr>
      </w:pPr>
      <w:hyperlink r:id="rId2383" w:history="1">
        <w:r w:rsidR="000425B4">
          <w:rPr>
            <w:i/>
            <w:iCs/>
            <w:color w:val="0072BC"/>
            <w:lang w:val="pl"/>
          </w:rPr>
          <w:t>L.R. p. Macedonii Północnej</w:t>
        </w:r>
        <w:r w:rsidR="000425B4">
          <w:rPr>
            <w:lang w:val="pl"/>
          </w:rPr>
          <w:t>,</w:t>
        </w:r>
      </w:hyperlink>
      <w:r w:rsidR="000425B4">
        <w:rPr>
          <w:lang w:val="pl"/>
        </w:rPr>
        <w:t xml:space="preserve"> nr 38067/15, 23 stycznia 2020 r.</w:t>
      </w:r>
    </w:p>
    <w:p w:rsidR="00B71A20" w:rsidRPr="000625F6" w:rsidRDefault="0093676E">
      <w:pPr>
        <w:pStyle w:val="Teksttreci0"/>
        <w:spacing w:after="0"/>
        <w:rPr>
          <w:lang w:val="pl-PL"/>
        </w:rPr>
      </w:pPr>
      <w:hyperlink r:id="rId2384" w:history="1">
        <w:r w:rsidR="000425B4">
          <w:rPr>
            <w:i/>
            <w:iCs/>
            <w:color w:val="0072BC"/>
            <w:lang w:val="pl"/>
          </w:rPr>
          <w:t>Labsi p. Słowacji</w:t>
        </w:r>
        <w:r w:rsidR="000425B4">
          <w:rPr>
            <w:lang w:val="pl"/>
          </w:rPr>
          <w:t>,</w:t>
        </w:r>
      </w:hyperlink>
      <w:r w:rsidR="000425B4">
        <w:rPr>
          <w:lang w:val="pl"/>
        </w:rPr>
        <w:t xml:space="preserve"> nr 33809/08, 15 maja 2012 r.</w:t>
      </w:r>
    </w:p>
    <w:p w:rsidR="00B71A20" w:rsidRPr="000625F6" w:rsidRDefault="0093676E">
      <w:pPr>
        <w:pStyle w:val="Teksttreci0"/>
        <w:spacing w:after="0"/>
        <w:rPr>
          <w:lang w:val="pl-PL"/>
        </w:rPr>
      </w:pPr>
      <w:hyperlink r:id="rId2385" w:history="1">
        <w:r w:rsidR="000425B4">
          <w:rPr>
            <w:i/>
            <w:iCs/>
            <w:color w:val="0072BC"/>
            <w:lang w:val="pl"/>
          </w:rPr>
          <w:t xml:space="preserve">Ladygin p. Rosji </w:t>
        </w:r>
      </w:hyperlink>
      <w:r w:rsidR="000425B4">
        <w:rPr>
          <w:lang w:val="pl"/>
        </w:rPr>
        <w:t>(dec.), nr 35365/05, 30 sierpnia 2011 r.</w:t>
      </w:r>
    </w:p>
    <w:p w:rsidR="00B71A20" w:rsidRPr="000625F6" w:rsidRDefault="0093676E">
      <w:pPr>
        <w:pStyle w:val="Teksttreci0"/>
        <w:spacing w:after="0"/>
        <w:rPr>
          <w:lang w:val="pl-PL"/>
        </w:rPr>
      </w:pPr>
      <w:hyperlink r:id="rId2386" w:history="1">
        <w:r w:rsidR="000425B4">
          <w:rPr>
            <w:i/>
            <w:iCs/>
            <w:color w:val="0072BC"/>
            <w:lang w:val="pl"/>
          </w:rPr>
          <w:t>Lagutin i Inni p. Rosji</w:t>
        </w:r>
        <w:r w:rsidR="000425B4">
          <w:rPr>
            <w:lang w:val="pl"/>
          </w:rPr>
          <w:t>,</w:t>
        </w:r>
      </w:hyperlink>
      <w:r w:rsidR="000425B4">
        <w:rPr>
          <w:lang w:val="pl"/>
        </w:rPr>
        <w:t xml:space="preserve"> nr 6228/09 i 4 inne, 24 kwietnia 2014 r.</w:t>
      </w:r>
    </w:p>
    <w:p w:rsidR="00B71A20" w:rsidRPr="000625F6" w:rsidRDefault="0093676E">
      <w:pPr>
        <w:pStyle w:val="Teksttreci0"/>
        <w:spacing w:after="0"/>
        <w:rPr>
          <w:lang w:val="pl-PL"/>
        </w:rPr>
      </w:pPr>
      <w:hyperlink r:id="rId2387" w:history="1">
        <w:r w:rsidR="000425B4">
          <w:rPr>
            <w:i/>
            <w:iCs/>
            <w:color w:val="0072BC"/>
            <w:lang w:val="pl"/>
          </w:rPr>
          <w:t xml:space="preserve">Lambert i Inni p. Francji </w:t>
        </w:r>
      </w:hyperlink>
      <w:r w:rsidR="000425B4">
        <w:rPr>
          <w:lang w:val="pl"/>
        </w:rPr>
        <w:t>[WI], nr 46043/14, ECHR 2015</w:t>
      </w:r>
    </w:p>
    <w:p w:rsidR="00B71A20" w:rsidRPr="000625F6" w:rsidRDefault="0093676E">
      <w:pPr>
        <w:pStyle w:val="Teksttreci0"/>
        <w:spacing w:after="0" w:line="230" w:lineRule="auto"/>
        <w:rPr>
          <w:lang w:val="pl-PL"/>
        </w:rPr>
      </w:pPr>
      <w:hyperlink r:id="rId2388" w:history="1">
        <w:r w:rsidR="000425B4">
          <w:rPr>
            <w:i/>
            <w:iCs/>
            <w:color w:val="0072BC"/>
            <w:lang w:val="pl"/>
          </w:rPr>
          <w:t>Laska i Lika p. Albanii</w:t>
        </w:r>
        <w:r w:rsidR="000425B4">
          <w:rPr>
            <w:lang w:val="pl"/>
          </w:rPr>
          <w:t>,</w:t>
        </w:r>
      </w:hyperlink>
      <w:r w:rsidR="000425B4">
        <w:rPr>
          <w:lang w:val="pl"/>
        </w:rPr>
        <w:t xml:space="preserve"> nr 12315/04 i 17605/04, 20 kwietnia 2010 r.</w:t>
      </w:r>
    </w:p>
    <w:p w:rsidR="00B71A20" w:rsidRPr="000625F6" w:rsidRDefault="0093676E">
      <w:pPr>
        <w:pStyle w:val="Teksttreci0"/>
        <w:spacing w:after="0"/>
        <w:rPr>
          <w:lang w:val="pl-PL"/>
        </w:rPr>
      </w:pPr>
      <w:hyperlink r:id="rId2389" w:history="1">
        <w:r w:rsidR="000425B4">
          <w:rPr>
            <w:i/>
            <w:iCs/>
            <w:color w:val="0072BC"/>
            <w:lang w:val="pl"/>
          </w:rPr>
          <w:t xml:space="preserve">Łatak p. Polsce </w:t>
        </w:r>
      </w:hyperlink>
      <w:r w:rsidR="000425B4">
        <w:rPr>
          <w:lang w:val="pl"/>
        </w:rPr>
        <w:t>(dec.), nr 52070/08, 12 października 2010 r.</w:t>
      </w:r>
    </w:p>
    <w:p w:rsidR="00B71A20" w:rsidRPr="000625F6" w:rsidRDefault="0093676E">
      <w:pPr>
        <w:pStyle w:val="Teksttreci0"/>
        <w:spacing w:after="0"/>
        <w:rPr>
          <w:lang w:val="pl-PL"/>
        </w:rPr>
      </w:pPr>
      <w:hyperlink r:id="rId2390" w:history="1">
        <w:r w:rsidR="000425B4">
          <w:rPr>
            <w:i/>
            <w:iCs/>
            <w:color w:val="0072BC"/>
            <w:lang w:val="pl"/>
          </w:rPr>
          <w:t xml:space="preserve">Laurus Invest Hungary KFT i Inni p. Węgrom </w:t>
        </w:r>
      </w:hyperlink>
      <w:r w:rsidR="000425B4">
        <w:rPr>
          <w:lang w:val="pl"/>
        </w:rPr>
        <w:t>(dec.), nr 23265/13 i 5 innych, ECHR 2015</w:t>
      </w:r>
    </w:p>
    <w:p w:rsidR="00B71A20" w:rsidRPr="000625F6" w:rsidRDefault="0093676E">
      <w:pPr>
        <w:pStyle w:val="Teksttreci0"/>
        <w:spacing w:after="0"/>
        <w:rPr>
          <w:lang w:val="pl-PL"/>
        </w:rPr>
      </w:pPr>
      <w:hyperlink r:id="rId2391" w:history="1">
        <w:r w:rsidR="000425B4">
          <w:rPr>
            <w:i/>
            <w:iCs/>
            <w:color w:val="0072BC"/>
            <w:lang w:val="pl"/>
          </w:rPr>
          <w:t>Leandro Da Silva p. Luksemburgowi</w:t>
        </w:r>
        <w:r w:rsidR="000425B4">
          <w:rPr>
            <w:lang w:val="pl"/>
          </w:rPr>
          <w:t>,</w:t>
        </w:r>
      </w:hyperlink>
      <w:r w:rsidR="000425B4">
        <w:rPr>
          <w:lang w:val="pl"/>
        </w:rPr>
        <w:t xml:space="preserve"> nr 30273/07, 11 lutego 2010 r.</w:t>
      </w:r>
    </w:p>
    <w:p w:rsidR="00B71A20" w:rsidRPr="000625F6" w:rsidRDefault="0093676E">
      <w:pPr>
        <w:pStyle w:val="Teksttreci0"/>
        <w:spacing w:after="0"/>
        <w:rPr>
          <w:lang w:val="pl-PL"/>
        </w:rPr>
      </w:pPr>
      <w:hyperlink r:id="rId2392" w:history="1">
        <w:r w:rsidR="000425B4">
          <w:rPr>
            <w:i/>
            <w:iCs/>
            <w:color w:val="0072BC"/>
            <w:lang w:val="pl"/>
          </w:rPr>
          <w:t>Lechesne p. Francji</w:t>
        </w:r>
        <w:r w:rsidR="000425B4">
          <w:rPr>
            <w:lang w:val="pl"/>
          </w:rPr>
          <w:t>,</w:t>
        </w:r>
      </w:hyperlink>
      <w:r w:rsidR="000425B4">
        <w:rPr>
          <w:lang w:val="pl"/>
        </w:rPr>
        <w:t xml:space="preserve"> nr 20264/92, raport Komisji z dnia 21 maja 1997 r.</w:t>
      </w:r>
    </w:p>
    <w:p w:rsidR="00B71A20" w:rsidRPr="000625F6" w:rsidRDefault="0093676E">
      <w:pPr>
        <w:pStyle w:val="Teksttreci0"/>
        <w:spacing w:after="0"/>
        <w:rPr>
          <w:lang w:val="pl-PL"/>
        </w:rPr>
      </w:pPr>
      <w:hyperlink r:id="rId2393" w:history="1">
        <w:r w:rsidR="000425B4">
          <w:rPr>
            <w:i/>
            <w:iCs/>
            <w:color w:val="0072BC"/>
            <w:lang w:val="pl"/>
          </w:rPr>
          <w:t xml:space="preserve">Léger p. Francji </w:t>
        </w:r>
      </w:hyperlink>
      <w:r w:rsidR="000425B4">
        <w:rPr>
          <w:lang w:val="pl"/>
        </w:rPr>
        <w:t>(skreślenie) [WI], nr 19324/02, 30 marca 2009 r.</w:t>
      </w:r>
    </w:p>
    <w:p w:rsidR="00B71A20" w:rsidRDefault="0093676E">
      <w:pPr>
        <w:pStyle w:val="Teksttreci0"/>
        <w:spacing w:after="0"/>
      </w:pPr>
      <w:hyperlink r:id="rId2394" w:history="1">
        <w:r w:rsidR="000425B4" w:rsidRPr="000625F6">
          <w:rPr>
            <w:i/>
            <w:iCs/>
            <w:color w:val="0072BC"/>
            <w:lang w:val="en-GB"/>
          </w:rPr>
          <w:t xml:space="preserve">Lehtinen p. Finlandii </w:t>
        </w:r>
      </w:hyperlink>
      <w:r w:rsidR="000425B4" w:rsidRPr="000625F6">
        <w:rPr>
          <w:lang w:val="en-GB"/>
        </w:rPr>
        <w:t>(dec.), nr 39076/97, ECHR 1999-VII</w:t>
      </w:r>
    </w:p>
    <w:p w:rsidR="00B71A20" w:rsidRPr="000625F6" w:rsidRDefault="0093676E">
      <w:pPr>
        <w:pStyle w:val="Teksttreci0"/>
        <w:spacing w:after="0"/>
        <w:rPr>
          <w:lang w:val="pl-PL"/>
        </w:rPr>
      </w:pPr>
      <w:hyperlink r:id="rId2395" w:history="1">
        <w:r w:rsidR="000425B4">
          <w:rPr>
            <w:i/>
            <w:iCs/>
            <w:color w:val="0072BC"/>
            <w:lang w:val="pl"/>
          </w:rPr>
          <w:t xml:space="preserve">Lekić p. Słowenii </w:t>
        </w:r>
      </w:hyperlink>
      <w:r w:rsidR="000425B4">
        <w:rPr>
          <w:lang w:val="pl"/>
        </w:rPr>
        <w:t>[WI], nr 36480/07, 11 grudnia 2018 r.</w:t>
      </w:r>
    </w:p>
    <w:p w:rsidR="00B71A20" w:rsidRPr="000625F6" w:rsidRDefault="0093676E">
      <w:pPr>
        <w:pStyle w:val="Teksttreci0"/>
        <w:spacing w:after="0"/>
        <w:rPr>
          <w:lang w:val="pl-PL"/>
        </w:rPr>
      </w:pPr>
      <w:hyperlink r:id="rId2396" w:history="1">
        <w:r w:rsidR="000425B4">
          <w:rPr>
            <w:i/>
            <w:iCs/>
            <w:color w:val="0072BC"/>
            <w:lang w:val="pl"/>
          </w:rPr>
          <w:t>Lenzing AG p. Niemcom</w:t>
        </w:r>
        <w:r w:rsidR="000425B4">
          <w:rPr>
            <w:lang w:val="pl"/>
          </w:rPr>
          <w:t>,</w:t>
        </w:r>
      </w:hyperlink>
      <w:r w:rsidR="000425B4">
        <w:rPr>
          <w:lang w:val="pl"/>
        </w:rPr>
        <w:t xml:space="preserve"> nr 39025/97, decyzja Komisji z dnia 9 września 1998 r.</w:t>
      </w:r>
    </w:p>
    <w:p w:rsidR="00B71A20" w:rsidRPr="000625F6" w:rsidRDefault="0093676E">
      <w:pPr>
        <w:pStyle w:val="Teksttreci0"/>
        <w:spacing w:after="0"/>
        <w:rPr>
          <w:lang w:val="pl-PL"/>
        </w:rPr>
      </w:pPr>
      <w:hyperlink r:id="rId2397" w:history="1">
        <w:r w:rsidR="000425B4">
          <w:rPr>
            <w:i/>
            <w:iCs/>
            <w:color w:val="0072BC"/>
            <w:lang w:val="pl"/>
          </w:rPr>
          <w:t>Leon Madrid p. Hiszpanii</w:t>
        </w:r>
        <w:r w:rsidR="000425B4">
          <w:rPr>
            <w:lang w:val="pl"/>
          </w:rPr>
          <w:t>,</w:t>
        </w:r>
      </w:hyperlink>
      <w:r w:rsidR="000425B4">
        <w:rPr>
          <w:lang w:val="pl"/>
        </w:rPr>
        <w:t xml:space="preserve"> nr 30306/13, 26 października 2021 r.</w:t>
      </w:r>
    </w:p>
    <w:p w:rsidR="00B71A20" w:rsidRPr="000625F6" w:rsidRDefault="0093676E">
      <w:pPr>
        <w:pStyle w:val="Teksttreci0"/>
        <w:spacing w:after="0"/>
        <w:rPr>
          <w:lang w:val="pl-PL"/>
        </w:rPr>
      </w:pPr>
      <w:hyperlink r:id="rId2398" w:history="1">
        <w:r w:rsidR="000425B4">
          <w:rPr>
            <w:i/>
            <w:iCs/>
            <w:color w:val="0072BC"/>
            <w:lang w:val="pl"/>
          </w:rPr>
          <w:t>Lepojić p. Serbii</w:t>
        </w:r>
        <w:r w:rsidR="000425B4">
          <w:rPr>
            <w:lang w:val="pl"/>
          </w:rPr>
          <w:t>,</w:t>
        </w:r>
      </w:hyperlink>
      <w:r w:rsidR="000425B4">
        <w:rPr>
          <w:lang w:val="pl"/>
        </w:rPr>
        <w:t xml:space="preserve"> nr 13909/05, 6 listopada 2007 r.</w:t>
      </w:r>
    </w:p>
    <w:p w:rsidR="00B71A20" w:rsidRPr="000625F6" w:rsidRDefault="0093676E">
      <w:pPr>
        <w:pStyle w:val="Teksttreci0"/>
        <w:spacing w:after="0"/>
        <w:rPr>
          <w:lang w:val="pl-PL"/>
        </w:rPr>
      </w:pPr>
      <w:hyperlink r:id="rId2399" w:history="1">
        <w:r w:rsidR="000425B4">
          <w:rPr>
            <w:i/>
            <w:iCs/>
            <w:color w:val="0072BC"/>
            <w:lang w:val="pl"/>
          </w:rPr>
          <w:t>Lewit p. Austrii</w:t>
        </w:r>
        <w:r w:rsidR="000425B4">
          <w:rPr>
            <w:lang w:val="pl"/>
          </w:rPr>
          <w:t>,</w:t>
        </w:r>
      </w:hyperlink>
      <w:r w:rsidR="000425B4">
        <w:rPr>
          <w:lang w:val="pl"/>
        </w:rPr>
        <w:t xml:space="preserve"> nr 4782/18, 10 października 2019 r.</w:t>
      </w:r>
    </w:p>
    <w:p w:rsidR="00B71A20" w:rsidRPr="000625F6" w:rsidRDefault="0093676E">
      <w:pPr>
        <w:pStyle w:val="Teksttreci0"/>
        <w:spacing w:after="0"/>
        <w:rPr>
          <w:lang w:val="pl-PL"/>
        </w:rPr>
      </w:pPr>
      <w:hyperlink r:id="rId2400" w:history="1">
        <w:r w:rsidR="000425B4">
          <w:rPr>
            <w:i/>
            <w:iCs/>
            <w:color w:val="0072BC"/>
            <w:lang w:val="pl"/>
          </w:rPr>
          <w:t>Liblik i Inni p. Estonii</w:t>
        </w:r>
        <w:r w:rsidR="000425B4">
          <w:rPr>
            <w:lang w:val="pl"/>
          </w:rPr>
          <w:t>,</w:t>
        </w:r>
      </w:hyperlink>
      <w:r w:rsidR="000425B4">
        <w:rPr>
          <w:lang w:val="pl"/>
        </w:rPr>
        <w:t xml:space="preserve"> nr 173/15 i 5 innych, 28 maja 2019 r.</w:t>
      </w:r>
    </w:p>
    <w:p w:rsidR="00B71A20" w:rsidRPr="000625F6" w:rsidRDefault="0093676E">
      <w:pPr>
        <w:pStyle w:val="Teksttreci0"/>
        <w:spacing w:after="0"/>
        <w:rPr>
          <w:lang w:val="pl-PL"/>
        </w:rPr>
      </w:pPr>
      <w:hyperlink r:id="rId2401" w:history="1">
        <w:r w:rsidR="000425B4">
          <w:rPr>
            <w:i/>
            <w:iCs/>
            <w:color w:val="0072BC"/>
            <w:lang w:val="pl"/>
          </w:rPr>
          <w:t xml:space="preserve">Lienhardt p. Francji </w:t>
        </w:r>
      </w:hyperlink>
      <w:r w:rsidR="000425B4">
        <w:rPr>
          <w:lang w:val="pl"/>
        </w:rPr>
        <w:t>(dec.), nr 12139/10, 13 września 2011 r.</w:t>
      </w:r>
    </w:p>
    <w:p w:rsidR="00B71A20" w:rsidRPr="000625F6" w:rsidRDefault="0093676E">
      <w:pPr>
        <w:pStyle w:val="Teksttreci0"/>
        <w:spacing w:after="0"/>
        <w:rPr>
          <w:lang w:val="pl-PL"/>
        </w:rPr>
      </w:pPr>
      <w:hyperlink r:id="rId2402" w:history="1">
        <w:r w:rsidR="000425B4">
          <w:rPr>
            <w:i/>
            <w:iCs/>
            <w:color w:val="0072BC"/>
            <w:lang w:val="pl"/>
          </w:rPr>
          <w:t xml:space="preserve">Liepājnieks p. Łotwie </w:t>
        </w:r>
      </w:hyperlink>
      <w:r w:rsidR="000425B4">
        <w:rPr>
          <w:lang w:val="pl"/>
        </w:rPr>
        <w:t>(dec.), nr 37586/06, 2 listopada 2010 r.</w:t>
      </w:r>
    </w:p>
    <w:p w:rsidR="00B71A20" w:rsidRPr="000625F6" w:rsidRDefault="0093676E">
      <w:pPr>
        <w:pStyle w:val="Teksttreci0"/>
        <w:spacing w:after="0"/>
        <w:rPr>
          <w:lang w:val="pl-PL"/>
        </w:rPr>
      </w:pPr>
      <w:hyperlink r:id="rId2403" w:history="1">
        <w:r w:rsidR="000425B4">
          <w:rPr>
            <w:i/>
            <w:iCs/>
            <w:color w:val="0072BC"/>
            <w:lang w:val="pl"/>
          </w:rPr>
          <w:t xml:space="preserve">Liga Portuguesa de Futebol Profissional p. Portugalii </w:t>
        </w:r>
      </w:hyperlink>
      <w:r w:rsidR="000425B4">
        <w:rPr>
          <w:lang w:val="pl"/>
        </w:rPr>
        <w:t>(dec.), nr 49639/09, 3 kwietnia 2012 r.</w:t>
      </w:r>
    </w:p>
    <w:p w:rsidR="00B71A20" w:rsidRPr="000625F6" w:rsidRDefault="0093676E">
      <w:pPr>
        <w:pStyle w:val="Teksttreci0"/>
        <w:spacing w:after="0"/>
        <w:rPr>
          <w:lang w:val="pl-PL"/>
        </w:rPr>
      </w:pPr>
      <w:hyperlink r:id="rId2404" w:history="1">
        <w:r w:rsidR="000425B4">
          <w:rPr>
            <w:i/>
            <w:iCs/>
            <w:color w:val="0072BC"/>
            <w:lang w:val="pl"/>
          </w:rPr>
          <w:t xml:space="preserve">Loizidou p. Turcji </w:t>
        </w:r>
      </w:hyperlink>
      <w:r w:rsidR="000425B4">
        <w:rPr>
          <w:lang w:val="pl"/>
        </w:rPr>
        <w:t xml:space="preserve">(przedmiot skargi), 18 grudnia 1996 r., </w:t>
      </w:r>
      <w:r w:rsidR="000425B4">
        <w:rPr>
          <w:i/>
          <w:iCs/>
          <w:lang w:val="pl"/>
        </w:rPr>
        <w:t>Raporty</w:t>
      </w:r>
      <w:r w:rsidR="000425B4">
        <w:rPr>
          <w:lang w:val="pl"/>
        </w:rPr>
        <w:t xml:space="preserve"> 1996-VI</w:t>
      </w:r>
    </w:p>
    <w:p w:rsidR="00B71A20" w:rsidRPr="000625F6" w:rsidRDefault="0093676E">
      <w:pPr>
        <w:pStyle w:val="Teksttreci0"/>
        <w:spacing w:after="0"/>
        <w:rPr>
          <w:lang w:val="pl-PL"/>
        </w:rPr>
      </w:pPr>
      <w:hyperlink r:id="rId2405" w:history="1">
        <w:r w:rsidR="000425B4">
          <w:rPr>
            <w:i/>
            <w:iCs/>
            <w:color w:val="0072BC"/>
            <w:lang w:val="pl"/>
          </w:rPr>
          <w:t xml:space="preserve">Loizidou p. Turcji </w:t>
        </w:r>
      </w:hyperlink>
      <w:r w:rsidR="000425B4">
        <w:rPr>
          <w:lang w:val="pl"/>
        </w:rPr>
        <w:t>(zastrzeżenia wstępne), 23 marca 1995 r., Seria A nr 310</w:t>
      </w:r>
    </w:p>
    <w:p w:rsidR="00B71A20" w:rsidRPr="000625F6" w:rsidRDefault="0093676E">
      <w:pPr>
        <w:pStyle w:val="Teksttreci0"/>
        <w:spacing w:after="0"/>
        <w:rPr>
          <w:lang w:val="pl-PL"/>
        </w:rPr>
      </w:pPr>
      <w:hyperlink r:id="rId2406" w:history="1">
        <w:r w:rsidR="000425B4">
          <w:rPr>
            <w:i/>
            <w:iCs/>
            <w:color w:val="0072BC"/>
            <w:lang w:val="pl"/>
          </w:rPr>
          <w:t>Lopata p. Rosji</w:t>
        </w:r>
        <w:r w:rsidR="000425B4">
          <w:rPr>
            <w:lang w:val="pl"/>
          </w:rPr>
          <w:t>,</w:t>
        </w:r>
      </w:hyperlink>
      <w:r w:rsidR="000425B4">
        <w:rPr>
          <w:lang w:val="pl"/>
        </w:rPr>
        <w:t xml:space="preserve"> nr 72250/01, 13 lipca 2010 r.</w:t>
      </w:r>
    </w:p>
    <w:p w:rsidR="00B71A20" w:rsidRDefault="0093676E">
      <w:pPr>
        <w:pStyle w:val="Teksttreci0"/>
        <w:spacing w:after="0"/>
      </w:pPr>
      <w:hyperlink r:id="rId2407" w:history="1">
        <w:r w:rsidR="000425B4" w:rsidRPr="000625F6">
          <w:rPr>
            <w:i/>
            <w:iCs/>
            <w:color w:val="0072BC"/>
            <w:lang w:val="en-GB"/>
          </w:rPr>
          <w:t xml:space="preserve">Lopes de Sousa Fernandes p. Portugalii </w:t>
        </w:r>
      </w:hyperlink>
      <w:r w:rsidR="000425B4" w:rsidRPr="000625F6">
        <w:rPr>
          <w:lang w:val="en-GB"/>
        </w:rPr>
        <w:t>[WI], nr 56080/13, 19 grudnia 2017 r.</w:t>
      </w:r>
    </w:p>
    <w:p w:rsidR="00B71A20" w:rsidRPr="000625F6" w:rsidRDefault="0093676E">
      <w:pPr>
        <w:pStyle w:val="Teksttreci0"/>
        <w:spacing w:after="0" w:line="230" w:lineRule="auto"/>
        <w:rPr>
          <w:lang w:val="pl-PL"/>
        </w:rPr>
      </w:pPr>
      <w:hyperlink r:id="rId2408" w:history="1">
        <w:r w:rsidR="000425B4">
          <w:rPr>
            <w:i/>
            <w:iCs/>
            <w:color w:val="0072BC"/>
            <w:lang w:val="pl"/>
          </w:rPr>
          <w:t xml:space="preserve">Lopez Cifuentes p. Hiszpanii </w:t>
        </w:r>
      </w:hyperlink>
      <w:r w:rsidR="000425B4">
        <w:rPr>
          <w:lang w:val="pl"/>
        </w:rPr>
        <w:t>(dec.), nr 18754/06, 7 lipca 2009 r.</w:t>
      </w:r>
    </w:p>
    <w:p w:rsidR="00B71A20" w:rsidRPr="000625F6" w:rsidRDefault="0093676E">
      <w:pPr>
        <w:pStyle w:val="Teksttreci0"/>
        <w:spacing w:after="0"/>
        <w:rPr>
          <w:lang w:val="pl-PL"/>
        </w:rPr>
      </w:pPr>
      <w:hyperlink r:id="rId2409" w:history="1">
        <w:r w:rsidR="000425B4">
          <w:rPr>
            <w:i/>
            <w:iCs/>
            <w:color w:val="0072BC"/>
            <w:lang w:val="pl"/>
          </w:rPr>
          <w:t xml:space="preserve">Lowe p. Wielkiej Brytanii </w:t>
        </w:r>
      </w:hyperlink>
      <w:r w:rsidR="000425B4">
        <w:rPr>
          <w:lang w:val="pl"/>
        </w:rPr>
        <w:t>(dec.), nr 12486/07, 8 września 2009 r.</w:t>
      </w:r>
    </w:p>
    <w:p w:rsidR="00B71A20" w:rsidRPr="000625F6" w:rsidRDefault="0093676E">
      <w:pPr>
        <w:pStyle w:val="Teksttreci0"/>
        <w:spacing w:after="0"/>
        <w:rPr>
          <w:lang w:val="pl-PL"/>
        </w:rPr>
      </w:pPr>
      <w:hyperlink r:id="rId2410" w:history="1">
        <w:r w:rsidR="000425B4">
          <w:rPr>
            <w:i/>
            <w:iCs/>
            <w:color w:val="0072BC"/>
            <w:lang w:val="pl"/>
          </w:rPr>
          <w:t>Luchaninova p. Ukrainie</w:t>
        </w:r>
        <w:r w:rsidR="000425B4">
          <w:rPr>
            <w:lang w:val="pl"/>
          </w:rPr>
          <w:t xml:space="preserve">, </w:t>
        </w:r>
      </w:hyperlink>
      <w:r w:rsidR="000425B4">
        <w:rPr>
          <w:lang w:val="pl"/>
        </w:rPr>
        <w:t>nr 16347/02, 9 czerwca 2011 r.</w:t>
      </w:r>
    </w:p>
    <w:p w:rsidR="00B71A20" w:rsidRPr="000625F6" w:rsidRDefault="0093676E">
      <w:pPr>
        <w:pStyle w:val="Teksttreci0"/>
        <w:spacing w:after="0"/>
        <w:rPr>
          <w:lang w:val="pl-PL"/>
        </w:rPr>
      </w:pPr>
      <w:hyperlink r:id="rId2411" w:history="1">
        <w:r w:rsidR="000425B4">
          <w:rPr>
            <w:i/>
            <w:iCs/>
            <w:color w:val="0072BC"/>
            <w:lang w:val="pl"/>
          </w:rPr>
          <w:t>Lukenda p. Słowenii</w:t>
        </w:r>
        <w:r w:rsidR="000425B4">
          <w:rPr>
            <w:lang w:val="pl"/>
          </w:rPr>
          <w:t>,</w:t>
        </w:r>
      </w:hyperlink>
      <w:r w:rsidR="000425B4">
        <w:rPr>
          <w:lang w:val="pl"/>
        </w:rPr>
        <w:t xml:space="preserve"> nr 23032/02, ECHR 2005-X</w:t>
      </w:r>
    </w:p>
    <w:p w:rsidR="00B71A20" w:rsidRPr="000625F6" w:rsidRDefault="0093676E">
      <w:pPr>
        <w:pStyle w:val="Teksttreci0"/>
        <w:spacing w:after="460"/>
        <w:rPr>
          <w:lang w:val="pl-PL"/>
        </w:rPr>
      </w:pPr>
      <w:hyperlink r:id="rId2412" w:history="1">
        <w:r w:rsidR="000425B4">
          <w:rPr>
            <w:i/>
            <w:iCs/>
            <w:color w:val="0072BC"/>
            <w:lang w:val="pl"/>
          </w:rPr>
          <w:t xml:space="preserve">Lyons i Inni p. Wielkiej Brytanii </w:t>
        </w:r>
      </w:hyperlink>
      <w:r w:rsidR="000425B4">
        <w:rPr>
          <w:lang w:val="pl"/>
        </w:rPr>
        <w:t>(dec.), nr 15227/03, ECHR 2003-IX</w:t>
      </w:r>
    </w:p>
    <w:p w:rsidR="00B71A20" w:rsidRPr="000625F6" w:rsidRDefault="000425B4">
      <w:pPr>
        <w:pStyle w:val="Teksttreci30"/>
        <w:spacing w:after="120"/>
        <w:rPr>
          <w:lang w:val="pl-PL"/>
        </w:rPr>
      </w:pPr>
      <w:r>
        <w:rPr>
          <w:lang w:val="pl"/>
        </w:rPr>
        <w:t>—M—</w:t>
      </w:r>
    </w:p>
    <w:p w:rsidR="00B71A20" w:rsidRPr="000625F6" w:rsidRDefault="0093676E">
      <w:pPr>
        <w:pStyle w:val="Teksttreci0"/>
        <w:spacing w:after="0"/>
        <w:rPr>
          <w:lang w:val="pl-PL"/>
        </w:rPr>
      </w:pPr>
      <w:hyperlink r:id="rId2413" w:history="1">
        <w:r w:rsidR="000425B4">
          <w:rPr>
            <w:i/>
            <w:iCs/>
            <w:color w:val="0072BC"/>
            <w:lang w:val="pl"/>
          </w:rPr>
          <w:t>M. p. Danii</w:t>
        </w:r>
        <w:r w:rsidR="000425B4">
          <w:rPr>
            <w:lang w:val="pl"/>
          </w:rPr>
          <w:t>,</w:t>
        </w:r>
      </w:hyperlink>
      <w:r w:rsidR="000425B4">
        <w:rPr>
          <w:lang w:val="pl"/>
        </w:rPr>
        <w:t xml:space="preserve"> nr 17392/90, decyzja Komisji z dnia 14 października 1992 r., DR 73</w:t>
      </w:r>
    </w:p>
    <w:p w:rsidR="00B71A20" w:rsidRPr="000625F6" w:rsidRDefault="0093676E">
      <w:pPr>
        <w:pStyle w:val="Teksttreci0"/>
        <w:spacing w:after="0"/>
        <w:rPr>
          <w:lang w:val="pl-PL"/>
        </w:rPr>
      </w:pPr>
      <w:hyperlink r:id="rId2414" w:history="1">
        <w:r w:rsidR="000425B4">
          <w:rPr>
            <w:i/>
            <w:iCs/>
            <w:color w:val="0072BC"/>
            <w:lang w:val="pl"/>
          </w:rPr>
          <w:t>M. p. Wielkiej Brytanii</w:t>
        </w:r>
        <w:r w:rsidR="000425B4">
          <w:rPr>
            <w:lang w:val="pl"/>
          </w:rPr>
          <w:t>,</w:t>
        </w:r>
      </w:hyperlink>
      <w:r w:rsidR="000425B4">
        <w:rPr>
          <w:lang w:val="pl"/>
        </w:rPr>
        <w:t xml:space="preserve"> nr 13284/87, decyzja Komisji z dnia 15 października 1987 r., DR 54</w:t>
      </w:r>
    </w:p>
    <w:p w:rsidR="00B71A20" w:rsidRPr="000625F6" w:rsidRDefault="0093676E">
      <w:pPr>
        <w:pStyle w:val="Teksttreci0"/>
        <w:spacing w:after="0"/>
        <w:rPr>
          <w:lang w:val="pl-PL"/>
        </w:rPr>
      </w:pPr>
      <w:hyperlink r:id="rId2415" w:history="1">
        <w:r w:rsidR="000425B4">
          <w:rPr>
            <w:i/>
            <w:iCs/>
            <w:color w:val="0072BC"/>
            <w:lang w:val="pl"/>
          </w:rPr>
          <w:t>M.A. i Inni p. Litwie</w:t>
        </w:r>
        <w:r w:rsidR="000425B4">
          <w:rPr>
            <w:lang w:val="pl"/>
          </w:rPr>
          <w:t>,</w:t>
        </w:r>
      </w:hyperlink>
      <w:r w:rsidR="000425B4">
        <w:rPr>
          <w:lang w:val="pl"/>
        </w:rPr>
        <w:t xml:space="preserve"> nr 59793/17, 11 grudnia 2018 r.</w:t>
      </w:r>
    </w:p>
    <w:p w:rsidR="00B71A20" w:rsidRPr="000625F6" w:rsidRDefault="0093676E">
      <w:pPr>
        <w:pStyle w:val="Teksttreci0"/>
        <w:spacing w:after="0"/>
        <w:rPr>
          <w:lang w:val="pl-PL"/>
        </w:rPr>
      </w:pPr>
      <w:hyperlink r:id="rId2416" w:history="1">
        <w:r w:rsidR="000425B4">
          <w:rPr>
            <w:i/>
            <w:iCs/>
            <w:color w:val="0072BC"/>
            <w:lang w:val="pl"/>
          </w:rPr>
          <w:t>M.A. p. Francji</w:t>
        </w:r>
        <w:r w:rsidR="000425B4">
          <w:rPr>
            <w:lang w:val="pl"/>
          </w:rPr>
          <w:t>,</w:t>
        </w:r>
      </w:hyperlink>
      <w:r w:rsidR="000425B4">
        <w:rPr>
          <w:lang w:val="pl"/>
        </w:rPr>
        <w:t xml:space="preserve"> nr 9373/15, 1 lutego 2018 r.</w:t>
      </w:r>
    </w:p>
    <w:p w:rsidR="00B71A20" w:rsidRPr="000625F6" w:rsidRDefault="0093676E">
      <w:pPr>
        <w:pStyle w:val="Teksttreci0"/>
        <w:spacing w:after="0"/>
        <w:rPr>
          <w:lang w:val="pl-PL"/>
        </w:rPr>
      </w:pPr>
      <w:hyperlink r:id="rId2417" w:history="1">
        <w:r w:rsidR="000425B4">
          <w:rPr>
            <w:i/>
            <w:iCs/>
            <w:color w:val="0072BC"/>
            <w:lang w:val="pl"/>
          </w:rPr>
          <w:t>M.H. i Inni p. Chorwacji</w:t>
        </w:r>
        <w:r w:rsidR="000425B4">
          <w:rPr>
            <w:lang w:val="pl"/>
          </w:rPr>
          <w:t>,</w:t>
        </w:r>
      </w:hyperlink>
      <w:r w:rsidR="000425B4">
        <w:rPr>
          <w:lang w:val="pl"/>
        </w:rPr>
        <w:t xml:space="preserve"> nr 15670/18 i 43115/18, 18 listopada 2021 r.</w:t>
      </w:r>
    </w:p>
    <w:p w:rsidR="00B71A20" w:rsidRPr="000625F6" w:rsidRDefault="0093676E">
      <w:pPr>
        <w:pStyle w:val="Teksttreci0"/>
        <w:spacing w:after="0"/>
        <w:rPr>
          <w:lang w:val="pl-PL"/>
        </w:rPr>
      </w:pPr>
      <w:hyperlink r:id="rId2418" w:history="1">
        <w:r w:rsidR="000425B4">
          <w:rPr>
            <w:i/>
            <w:iCs/>
            <w:color w:val="0072BC"/>
            <w:lang w:val="pl"/>
          </w:rPr>
          <w:t>M.K. i Inni p. Polsce</w:t>
        </w:r>
        <w:r w:rsidR="000425B4">
          <w:rPr>
            <w:lang w:val="pl"/>
          </w:rPr>
          <w:t>,</w:t>
        </w:r>
      </w:hyperlink>
      <w:r w:rsidR="000425B4">
        <w:rPr>
          <w:lang w:val="pl"/>
        </w:rPr>
        <w:t xml:space="preserve"> nr 40503/17 i 2 inne, 23 lipca 2020 r.</w:t>
      </w:r>
    </w:p>
    <w:p w:rsidR="00B71A20" w:rsidRPr="000625F6" w:rsidRDefault="0093676E">
      <w:pPr>
        <w:pStyle w:val="Teksttreci0"/>
        <w:spacing w:after="0" w:line="230" w:lineRule="auto"/>
        <w:rPr>
          <w:lang w:val="pl-PL"/>
        </w:rPr>
      </w:pPr>
      <w:hyperlink r:id="rId2419" w:history="1">
        <w:r w:rsidR="000425B4">
          <w:rPr>
            <w:i/>
            <w:iCs/>
            <w:color w:val="0072BC"/>
            <w:lang w:val="pl"/>
          </w:rPr>
          <w:t xml:space="preserve">M. N. i Inni p. Belgii </w:t>
        </w:r>
      </w:hyperlink>
      <w:r w:rsidR="000425B4">
        <w:rPr>
          <w:lang w:val="pl"/>
        </w:rPr>
        <w:t>(dec.) [WI], nr 3599/18, 5 maja 2020 r.</w:t>
      </w:r>
    </w:p>
    <w:p w:rsidR="00B71A20" w:rsidRPr="000625F6" w:rsidRDefault="0093676E">
      <w:pPr>
        <w:pStyle w:val="Teksttreci0"/>
        <w:spacing w:after="0"/>
        <w:rPr>
          <w:lang w:val="pl-PL"/>
        </w:rPr>
      </w:pPr>
      <w:hyperlink r:id="rId2420" w:history="1">
        <w:r w:rsidR="000425B4">
          <w:rPr>
            <w:i/>
            <w:iCs/>
            <w:color w:val="0072BC"/>
            <w:lang w:val="pl"/>
          </w:rPr>
          <w:t>M.N. i Inni p. San Marino</w:t>
        </w:r>
        <w:r w:rsidR="000425B4">
          <w:rPr>
            <w:lang w:val="pl"/>
          </w:rPr>
          <w:t>,</w:t>
        </w:r>
      </w:hyperlink>
      <w:r w:rsidR="000425B4">
        <w:rPr>
          <w:lang w:val="pl"/>
        </w:rPr>
        <w:t xml:space="preserve"> nr 28005/12, 7 lipca 2015 r.</w:t>
      </w:r>
    </w:p>
    <w:p w:rsidR="00B71A20" w:rsidRPr="000625F6" w:rsidRDefault="0093676E">
      <w:pPr>
        <w:pStyle w:val="Teksttreci0"/>
        <w:spacing w:after="0"/>
        <w:rPr>
          <w:lang w:val="pl-PL"/>
        </w:rPr>
      </w:pPr>
      <w:hyperlink r:id="rId2421" w:history="1">
        <w:r w:rsidR="000425B4">
          <w:rPr>
            <w:i/>
            <w:iCs/>
            <w:color w:val="0072BC"/>
            <w:lang w:val="pl"/>
          </w:rPr>
          <w:t>M.S. p. Chorwacji (nr 2)</w:t>
        </w:r>
        <w:r w:rsidR="000425B4">
          <w:rPr>
            <w:lang w:val="pl"/>
          </w:rPr>
          <w:t>,</w:t>
        </w:r>
      </w:hyperlink>
      <w:r w:rsidR="000425B4">
        <w:rPr>
          <w:lang w:val="pl"/>
        </w:rPr>
        <w:t xml:space="preserve"> nr 75450/12, 19 lutego 2015 r.</w:t>
      </w:r>
    </w:p>
    <w:p w:rsidR="00B71A20" w:rsidRPr="000625F6" w:rsidRDefault="0093676E">
      <w:pPr>
        <w:pStyle w:val="Teksttreci0"/>
        <w:spacing w:after="0"/>
        <w:rPr>
          <w:lang w:val="pl-PL"/>
        </w:rPr>
      </w:pPr>
      <w:hyperlink r:id="rId2422" w:history="1">
        <w:r w:rsidR="000425B4">
          <w:rPr>
            <w:i/>
            <w:iCs/>
            <w:color w:val="0072BC"/>
            <w:lang w:val="pl"/>
          </w:rPr>
          <w:t xml:space="preserve">M.S.S. p. Belgii i Grecji </w:t>
        </w:r>
      </w:hyperlink>
      <w:r w:rsidR="000425B4">
        <w:rPr>
          <w:lang w:val="pl"/>
        </w:rPr>
        <w:t>[WI], nr 30696/09, ECHR 2011</w:t>
      </w:r>
    </w:p>
    <w:p w:rsidR="00B71A20" w:rsidRPr="000625F6" w:rsidRDefault="0093676E">
      <w:pPr>
        <w:pStyle w:val="Teksttreci0"/>
        <w:spacing w:after="0"/>
        <w:rPr>
          <w:lang w:val="pl-PL"/>
        </w:rPr>
      </w:pPr>
      <w:hyperlink r:id="rId2423" w:history="1">
        <w:r w:rsidR="000425B4">
          <w:rPr>
            <w:i/>
            <w:iCs/>
            <w:color w:val="0072BC"/>
            <w:lang w:val="pl"/>
          </w:rPr>
          <w:t>Magnitskiy i Inni p. Rosji</w:t>
        </w:r>
        <w:r w:rsidR="000425B4">
          <w:rPr>
            <w:lang w:val="pl"/>
          </w:rPr>
          <w:t>,</w:t>
        </w:r>
      </w:hyperlink>
      <w:r w:rsidR="000425B4">
        <w:rPr>
          <w:lang w:val="pl"/>
        </w:rPr>
        <w:t xml:space="preserve"> nr 32631/09 i 53799/12, 27 sierpnia 2019 r.</w:t>
      </w:r>
    </w:p>
    <w:p w:rsidR="00B71A20" w:rsidRPr="000625F6" w:rsidRDefault="0093676E">
      <w:pPr>
        <w:pStyle w:val="Teksttreci0"/>
        <w:spacing w:after="0"/>
        <w:rPr>
          <w:lang w:val="pl-PL"/>
        </w:rPr>
      </w:pPr>
      <w:hyperlink r:id="rId2424" w:history="1">
        <w:r w:rsidR="000425B4">
          <w:rPr>
            <w:i/>
            <w:iCs/>
            <w:color w:val="0072BC"/>
            <w:lang w:val="pl"/>
          </w:rPr>
          <w:t>Magomedov i Inni p. Rosji</w:t>
        </w:r>
        <w:r w:rsidR="000425B4">
          <w:rPr>
            <w:lang w:val="pl"/>
          </w:rPr>
          <w:t>,</w:t>
        </w:r>
      </w:hyperlink>
      <w:r w:rsidR="000425B4">
        <w:rPr>
          <w:lang w:val="pl"/>
        </w:rPr>
        <w:t xml:space="preserve"> nr 33636/09 i 9 innych, 28 marca 2017 r.</w:t>
      </w:r>
    </w:p>
    <w:p w:rsidR="00B71A20" w:rsidRPr="000625F6" w:rsidRDefault="0093676E" w:rsidP="00071350">
      <w:pPr>
        <w:pStyle w:val="Teksttreci0"/>
        <w:spacing w:after="0"/>
        <w:rPr>
          <w:lang w:val="pl-PL"/>
        </w:rPr>
      </w:pPr>
      <w:hyperlink r:id="rId2425" w:history="1">
        <w:r w:rsidR="000425B4">
          <w:rPr>
            <w:i/>
            <w:iCs/>
            <w:color w:val="0072BC"/>
            <w:lang w:val="pl"/>
          </w:rPr>
          <w:t>Magyar Keresztény Mennonita Egyház i Inni p. Węgrom</w:t>
        </w:r>
        <w:r w:rsidR="000425B4">
          <w:rPr>
            <w:lang w:val="pl"/>
          </w:rPr>
          <w:t>,</w:t>
        </w:r>
      </w:hyperlink>
      <w:r w:rsidR="000425B4">
        <w:rPr>
          <w:lang w:val="pl"/>
        </w:rPr>
        <w:t xml:space="preserve"> nr 70945/11 i 8 innych, ECHR</w:t>
      </w:r>
      <w:r w:rsidR="00071350">
        <w:rPr>
          <w:lang w:val="pl"/>
        </w:rPr>
        <w:t xml:space="preserve"> </w:t>
      </w:r>
      <w:r w:rsidR="000425B4">
        <w:rPr>
          <w:lang w:val="pl"/>
        </w:rPr>
        <w:t>2014</w:t>
      </w:r>
    </w:p>
    <w:p w:rsidR="00B71A20" w:rsidRPr="000625F6" w:rsidRDefault="0093676E">
      <w:pPr>
        <w:pStyle w:val="Teksttreci0"/>
        <w:spacing w:after="0"/>
        <w:rPr>
          <w:lang w:val="pl-PL"/>
        </w:rPr>
      </w:pPr>
      <w:hyperlink r:id="rId2426" w:history="1">
        <w:r w:rsidR="000425B4">
          <w:rPr>
            <w:i/>
            <w:iCs/>
            <w:color w:val="0072BC"/>
            <w:lang w:val="pl"/>
          </w:rPr>
          <w:t xml:space="preserve">Magyar Kétfarkú Kutya Párt p. Węgrom </w:t>
        </w:r>
      </w:hyperlink>
      <w:r w:rsidR="000425B4">
        <w:rPr>
          <w:lang w:val="pl"/>
        </w:rPr>
        <w:t>[WI], nr 201/17, 20 stycznia 2020 r.</w:t>
      </w:r>
    </w:p>
    <w:p w:rsidR="00B71A20" w:rsidRPr="000625F6" w:rsidRDefault="0093676E">
      <w:pPr>
        <w:pStyle w:val="Teksttreci0"/>
        <w:spacing w:after="0"/>
        <w:rPr>
          <w:lang w:val="pl-PL"/>
        </w:rPr>
      </w:pPr>
      <w:hyperlink r:id="rId2427" w:history="1">
        <w:r w:rsidR="000425B4">
          <w:rPr>
            <w:i/>
            <w:iCs/>
            <w:color w:val="0072BC"/>
            <w:lang w:val="pl"/>
          </w:rPr>
          <w:t>Makharadze i Sikharulidze p. Gruzji</w:t>
        </w:r>
        <w:r w:rsidR="000425B4">
          <w:rPr>
            <w:lang w:val="pl"/>
          </w:rPr>
          <w:t>,</w:t>
        </w:r>
      </w:hyperlink>
      <w:r w:rsidR="000425B4">
        <w:rPr>
          <w:lang w:val="pl"/>
        </w:rPr>
        <w:t xml:space="preserve"> nr 35254/07, 22 listopada 2011 r.</w:t>
      </w:r>
    </w:p>
    <w:p w:rsidR="00B71A20" w:rsidRPr="000625F6" w:rsidRDefault="0093676E">
      <w:pPr>
        <w:pStyle w:val="Teksttreci0"/>
        <w:spacing w:after="0"/>
        <w:rPr>
          <w:lang w:val="pl-PL"/>
        </w:rPr>
      </w:pPr>
      <w:hyperlink r:id="rId2428" w:history="1">
        <w:r w:rsidR="000425B4">
          <w:rPr>
            <w:i/>
            <w:iCs/>
            <w:color w:val="0072BC"/>
            <w:lang w:val="pl"/>
          </w:rPr>
          <w:t>Makuchyan i Minasyan p. Azerbejdżanowi i Węgrom</w:t>
        </w:r>
        <w:r w:rsidR="000425B4">
          <w:rPr>
            <w:lang w:val="pl"/>
          </w:rPr>
          <w:t>,</w:t>
        </w:r>
      </w:hyperlink>
      <w:r w:rsidR="000425B4">
        <w:rPr>
          <w:lang w:val="pl"/>
        </w:rPr>
        <w:t xml:space="preserve"> nr 17247/13, 26 maja 2020 r.</w:t>
      </w:r>
    </w:p>
    <w:p w:rsidR="00B71A20" w:rsidRPr="000625F6" w:rsidRDefault="0093676E">
      <w:pPr>
        <w:pStyle w:val="Teksttreci0"/>
        <w:spacing w:after="0"/>
        <w:rPr>
          <w:lang w:val="pl-PL"/>
        </w:rPr>
      </w:pPr>
      <w:hyperlink r:id="rId2429" w:history="1">
        <w:r w:rsidR="000425B4">
          <w:rPr>
            <w:i/>
            <w:iCs/>
            <w:color w:val="0072BC"/>
            <w:lang w:val="pl"/>
          </w:rPr>
          <w:t xml:space="preserve">Malhous p. Czechom </w:t>
        </w:r>
      </w:hyperlink>
      <w:r w:rsidR="000425B4">
        <w:rPr>
          <w:lang w:val="pl"/>
        </w:rPr>
        <w:t>(dec.) [WI], nr 33071/96, ECHR 2000-XII</w:t>
      </w:r>
    </w:p>
    <w:p w:rsidR="00B71A20" w:rsidRPr="000625F6" w:rsidRDefault="0093676E" w:rsidP="00381152">
      <w:pPr>
        <w:pStyle w:val="Teksttreci0"/>
        <w:spacing w:after="0"/>
        <w:rPr>
          <w:lang w:val="pl-PL"/>
        </w:rPr>
      </w:pPr>
      <w:hyperlink r:id="rId2430" w:history="1">
        <w:r w:rsidR="000425B4">
          <w:rPr>
            <w:i/>
            <w:iCs/>
            <w:color w:val="0072BC"/>
            <w:lang w:val="pl"/>
          </w:rPr>
          <w:t>Malkov p. Estonii</w:t>
        </w:r>
        <w:r w:rsidR="000425B4">
          <w:rPr>
            <w:lang w:val="pl"/>
          </w:rPr>
          <w:t>,</w:t>
        </w:r>
      </w:hyperlink>
      <w:r w:rsidR="000425B4">
        <w:rPr>
          <w:lang w:val="pl"/>
        </w:rPr>
        <w:t xml:space="preserve"> nr 31407/07, 4 lutego 2010 r.</w:t>
      </w:r>
    </w:p>
    <w:p w:rsidR="00B71A20" w:rsidRPr="000625F6" w:rsidRDefault="0093676E">
      <w:pPr>
        <w:pStyle w:val="Teksttreci0"/>
        <w:spacing w:after="0"/>
        <w:rPr>
          <w:lang w:val="pl-PL"/>
        </w:rPr>
      </w:pPr>
      <w:hyperlink r:id="rId2431" w:history="1">
        <w:r w:rsidR="000425B4">
          <w:rPr>
            <w:i/>
            <w:iCs/>
            <w:color w:val="0072BC"/>
            <w:lang w:val="pl"/>
          </w:rPr>
          <w:t xml:space="preserve">Malysh i Ivanin p. Ukrainie </w:t>
        </w:r>
      </w:hyperlink>
      <w:r w:rsidR="000425B4">
        <w:rPr>
          <w:lang w:val="pl"/>
        </w:rPr>
        <w:t>(dec.), nr 40139/14 i 41418/14, 9 września 2014 r.</w:t>
      </w:r>
    </w:p>
    <w:p w:rsidR="00B71A20" w:rsidRPr="000625F6" w:rsidRDefault="0093676E">
      <w:pPr>
        <w:pStyle w:val="Teksttreci0"/>
        <w:spacing w:after="0"/>
        <w:rPr>
          <w:lang w:val="pl-PL"/>
        </w:rPr>
      </w:pPr>
      <w:hyperlink r:id="rId2432" w:history="1">
        <w:r w:rsidR="000425B4">
          <w:rPr>
            <w:i/>
            <w:iCs/>
            <w:color w:val="0072BC"/>
            <w:lang w:val="pl"/>
          </w:rPr>
          <w:t xml:space="preserve">Mamatkulov i Askarov p. Turcji </w:t>
        </w:r>
      </w:hyperlink>
      <w:r w:rsidR="000425B4">
        <w:rPr>
          <w:lang w:val="pl"/>
        </w:rPr>
        <w:t>[WI], nr 46827/99 i 46951/99, ECHR 2005-I</w:t>
      </w:r>
    </w:p>
    <w:p w:rsidR="00B71A20" w:rsidRPr="000625F6" w:rsidRDefault="0093676E">
      <w:pPr>
        <w:pStyle w:val="Teksttreci0"/>
        <w:spacing w:after="0"/>
        <w:rPr>
          <w:lang w:val="pl-PL"/>
        </w:rPr>
      </w:pPr>
      <w:hyperlink r:id="rId2433" w:history="1">
        <w:r w:rsidR="000425B4">
          <w:rPr>
            <w:i/>
            <w:iCs/>
            <w:color w:val="0072BC"/>
            <w:lang w:val="pl"/>
          </w:rPr>
          <w:t xml:space="preserve">Mann p. Wielkiej Brytanii i Portugalii </w:t>
        </w:r>
      </w:hyperlink>
      <w:r w:rsidR="000425B4">
        <w:rPr>
          <w:lang w:val="pl"/>
        </w:rPr>
        <w:t>(dec.), nr 360/10, 1 lutego 2011 r.</w:t>
      </w:r>
    </w:p>
    <w:p w:rsidR="00B71A20" w:rsidRPr="000625F6" w:rsidRDefault="0093676E">
      <w:pPr>
        <w:pStyle w:val="Teksttreci0"/>
        <w:spacing w:after="0"/>
        <w:rPr>
          <w:lang w:val="pl-PL"/>
        </w:rPr>
      </w:pPr>
      <w:hyperlink r:id="rId2434" w:history="1">
        <w:r w:rsidR="000425B4">
          <w:rPr>
            <w:i/>
            <w:iCs/>
            <w:color w:val="0072BC"/>
            <w:lang w:val="pl"/>
          </w:rPr>
          <w:t>Mannai p. Włochom</w:t>
        </w:r>
        <w:r w:rsidR="000425B4">
          <w:rPr>
            <w:lang w:val="pl"/>
          </w:rPr>
          <w:t>,</w:t>
        </w:r>
      </w:hyperlink>
      <w:r w:rsidR="000425B4">
        <w:rPr>
          <w:lang w:val="pl"/>
        </w:rPr>
        <w:t xml:space="preserve"> nr 9961/10, 27 marca 2012 r.</w:t>
      </w:r>
    </w:p>
    <w:p w:rsidR="00B71A20" w:rsidRPr="000625F6" w:rsidRDefault="0093676E">
      <w:pPr>
        <w:pStyle w:val="Teksttreci0"/>
        <w:spacing w:after="0" w:line="230" w:lineRule="auto"/>
        <w:rPr>
          <w:lang w:val="pl-PL"/>
        </w:rPr>
      </w:pPr>
      <w:hyperlink r:id="rId2435" w:history="1">
        <w:r w:rsidR="000425B4">
          <w:rPr>
            <w:i/>
            <w:iCs/>
            <w:color w:val="0072BC"/>
            <w:lang w:val="pl"/>
          </w:rPr>
          <w:t xml:space="preserve">Manoilescu i Dobrescu p. Rumunii i Rosji </w:t>
        </w:r>
      </w:hyperlink>
      <w:r w:rsidR="000425B4">
        <w:rPr>
          <w:lang w:val="pl"/>
        </w:rPr>
        <w:t>(dec.), nr 60861/00, ECHR 2005-VI</w:t>
      </w:r>
    </w:p>
    <w:p w:rsidR="00B71A20" w:rsidRPr="000625F6" w:rsidRDefault="0093676E">
      <w:pPr>
        <w:pStyle w:val="Teksttreci0"/>
        <w:spacing w:after="0"/>
        <w:rPr>
          <w:lang w:val="pl-PL"/>
        </w:rPr>
      </w:pPr>
      <w:hyperlink r:id="rId2436" w:history="1">
        <w:r w:rsidR="000425B4">
          <w:rPr>
            <w:i/>
            <w:iCs/>
            <w:color w:val="0072BC"/>
            <w:lang w:val="pl"/>
          </w:rPr>
          <w:t xml:space="preserve">Manuel p. Portugalii </w:t>
        </w:r>
      </w:hyperlink>
      <w:r w:rsidR="000425B4">
        <w:rPr>
          <w:lang w:val="pl"/>
        </w:rPr>
        <w:t>(dec.), nr 62341/00, 31 stycznia 2002 r.</w:t>
      </w:r>
    </w:p>
    <w:p w:rsidR="00B71A20" w:rsidRPr="000625F6" w:rsidRDefault="0093676E">
      <w:pPr>
        <w:pStyle w:val="Teksttreci0"/>
        <w:spacing w:after="0"/>
        <w:rPr>
          <w:lang w:val="pl-PL"/>
        </w:rPr>
      </w:pPr>
      <w:hyperlink r:id="rId2437" w:history="1">
        <w:r w:rsidR="000425B4">
          <w:rPr>
            <w:i/>
            <w:iCs/>
            <w:color w:val="0072BC"/>
            <w:lang w:val="pl"/>
          </w:rPr>
          <w:t>Maravić Markeš p. Chorwacji</w:t>
        </w:r>
        <w:r w:rsidR="000425B4">
          <w:rPr>
            <w:lang w:val="pl"/>
          </w:rPr>
          <w:t>,</w:t>
        </w:r>
      </w:hyperlink>
      <w:r w:rsidR="000425B4">
        <w:rPr>
          <w:lang w:val="pl"/>
        </w:rPr>
        <w:t xml:space="preserve"> nr 70923/11, 9 stycznia 2014 r.</w:t>
      </w:r>
    </w:p>
    <w:p w:rsidR="00B71A20" w:rsidRPr="000625F6" w:rsidRDefault="0093676E">
      <w:pPr>
        <w:pStyle w:val="Teksttreci0"/>
        <w:spacing w:after="0"/>
        <w:rPr>
          <w:lang w:val="pl-PL"/>
        </w:rPr>
      </w:pPr>
      <w:hyperlink r:id="rId2438" w:history="1">
        <w:r w:rsidR="000425B4">
          <w:rPr>
            <w:i/>
            <w:iCs/>
            <w:color w:val="0072BC"/>
            <w:lang w:val="pl"/>
          </w:rPr>
          <w:t>Margaretić p. Chorwacji</w:t>
        </w:r>
        <w:r w:rsidR="000425B4">
          <w:rPr>
            <w:lang w:val="pl"/>
          </w:rPr>
          <w:t>,</w:t>
        </w:r>
      </w:hyperlink>
      <w:r w:rsidR="000425B4">
        <w:rPr>
          <w:lang w:val="pl"/>
        </w:rPr>
        <w:t xml:space="preserve"> nr 16115/13, 5 czerwca 2014 r.</w:t>
      </w:r>
    </w:p>
    <w:p w:rsidR="00B71A20" w:rsidRPr="000625F6" w:rsidRDefault="0093676E">
      <w:pPr>
        <w:pStyle w:val="Teksttreci0"/>
        <w:spacing w:after="0"/>
        <w:rPr>
          <w:lang w:val="pl-PL"/>
        </w:rPr>
      </w:pPr>
      <w:hyperlink r:id="rId2439" w:history="1">
        <w:r w:rsidR="000425B4">
          <w:rPr>
            <w:i/>
            <w:iCs/>
            <w:color w:val="0072BC"/>
            <w:lang w:val="pl"/>
          </w:rPr>
          <w:t>Margulev p. Rosji</w:t>
        </w:r>
        <w:r w:rsidR="000425B4">
          <w:rPr>
            <w:lang w:val="pl"/>
          </w:rPr>
          <w:t>,</w:t>
        </w:r>
      </w:hyperlink>
      <w:r w:rsidR="000425B4">
        <w:rPr>
          <w:lang w:val="pl"/>
        </w:rPr>
        <w:t xml:space="preserve"> nr 15449/09, 8 października 2019 r.</w:t>
      </w:r>
    </w:p>
    <w:p w:rsidR="00B71A20" w:rsidRPr="000625F6" w:rsidRDefault="0093676E">
      <w:pPr>
        <w:pStyle w:val="Teksttreci0"/>
        <w:spacing w:after="0"/>
        <w:rPr>
          <w:lang w:val="pl-PL"/>
        </w:rPr>
      </w:pPr>
      <w:hyperlink r:id="rId2440" w:history="1">
        <w:r w:rsidR="000425B4">
          <w:rPr>
            <w:i/>
            <w:iCs/>
            <w:color w:val="0072BC"/>
            <w:lang w:val="pl"/>
          </w:rPr>
          <w:t xml:space="preserve">Marguš p. Chorwacji </w:t>
        </w:r>
      </w:hyperlink>
      <w:r w:rsidR="000425B4">
        <w:rPr>
          <w:lang w:val="pl"/>
        </w:rPr>
        <w:t>[WI], nr 4455/10, ECHR 2014 r.</w:t>
      </w:r>
    </w:p>
    <w:p w:rsidR="00B71A20" w:rsidRPr="000625F6" w:rsidRDefault="0093676E">
      <w:pPr>
        <w:pStyle w:val="Teksttreci0"/>
        <w:spacing w:after="0"/>
        <w:rPr>
          <w:lang w:val="pl-PL"/>
        </w:rPr>
      </w:pPr>
      <w:hyperlink r:id="rId2441" w:history="1">
        <w:r w:rsidR="000425B4">
          <w:rPr>
            <w:i/>
            <w:iCs/>
            <w:color w:val="0072BC"/>
            <w:lang w:val="pl"/>
          </w:rPr>
          <w:t>Marić p. Chorwacji</w:t>
        </w:r>
        <w:r w:rsidR="000425B4">
          <w:rPr>
            <w:lang w:val="pl"/>
          </w:rPr>
          <w:t>,</w:t>
        </w:r>
      </w:hyperlink>
      <w:r w:rsidR="000425B4">
        <w:rPr>
          <w:lang w:val="pl"/>
        </w:rPr>
        <w:t xml:space="preserve"> nr 50132/12, 12 czerwca 2014 r.</w:t>
      </w:r>
    </w:p>
    <w:p w:rsidR="00B71A20" w:rsidRPr="000625F6" w:rsidRDefault="0093676E">
      <w:pPr>
        <w:pStyle w:val="Teksttreci0"/>
        <w:spacing w:after="0"/>
        <w:rPr>
          <w:lang w:val="pl-PL"/>
        </w:rPr>
      </w:pPr>
      <w:hyperlink r:id="rId2442" w:history="1">
        <w:r w:rsidR="000425B4">
          <w:rPr>
            <w:i/>
            <w:iCs/>
            <w:color w:val="0072BC"/>
            <w:lang w:val="pl"/>
          </w:rPr>
          <w:t>Marion p. Francji</w:t>
        </w:r>
        <w:r w:rsidR="000425B4">
          <w:rPr>
            <w:lang w:val="pl"/>
          </w:rPr>
          <w:t>,</w:t>
        </w:r>
      </w:hyperlink>
      <w:r w:rsidR="000425B4">
        <w:rPr>
          <w:lang w:val="pl"/>
        </w:rPr>
        <w:t xml:space="preserve"> nr 30408/02, 20 grudnia 2005 r.</w:t>
      </w:r>
    </w:p>
    <w:p w:rsidR="00B71A20" w:rsidRPr="000625F6" w:rsidRDefault="0093676E">
      <w:pPr>
        <w:pStyle w:val="Teksttreci0"/>
        <w:spacing w:after="0"/>
        <w:rPr>
          <w:lang w:val="pl-PL"/>
        </w:rPr>
      </w:pPr>
      <w:hyperlink r:id="rId2443" w:history="1">
        <w:r w:rsidR="000425B4">
          <w:rPr>
            <w:i/>
            <w:iCs/>
            <w:color w:val="0072BC"/>
            <w:lang w:val="pl"/>
          </w:rPr>
          <w:t xml:space="preserve">Markovic i Inni p. Włochom </w:t>
        </w:r>
      </w:hyperlink>
      <w:r w:rsidR="000425B4">
        <w:rPr>
          <w:lang w:val="pl"/>
        </w:rPr>
        <w:t>[WI], nr 1398/03, ECHR 2006-XIV</w:t>
      </w:r>
    </w:p>
    <w:p w:rsidR="00B71A20" w:rsidRPr="000625F6" w:rsidRDefault="0093676E">
      <w:pPr>
        <w:pStyle w:val="Teksttreci0"/>
        <w:spacing w:after="0"/>
        <w:rPr>
          <w:lang w:val="pl-PL"/>
        </w:rPr>
      </w:pPr>
      <w:hyperlink r:id="rId2444" w:history="1">
        <w:r w:rsidR="000425B4">
          <w:rPr>
            <w:i/>
            <w:iCs/>
            <w:color w:val="0072BC"/>
            <w:lang w:val="pl"/>
          </w:rPr>
          <w:t>Marshall i Inni p. Malcie</w:t>
        </w:r>
        <w:r w:rsidR="000425B4">
          <w:rPr>
            <w:lang w:val="pl"/>
          </w:rPr>
          <w:t>,</w:t>
        </w:r>
      </w:hyperlink>
      <w:r w:rsidR="000425B4">
        <w:rPr>
          <w:lang w:val="pl"/>
        </w:rPr>
        <w:t xml:space="preserve"> nr 79177/16, 11 lutego 2020 r.</w:t>
      </w:r>
    </w:p>
    <w:p w:rsidR="00B71A20" w:rsidRPr="000625F6" w:rsidRDefault="0093676E">
      <w:pPr>
        <w:pStyle w:val="Teksttreci0"/>
        <w:spacing w:after="0"/>
        <w:rPr>
          <w:lang w:val="pl-PL"/>
        </w:rPr>
      </w:pPr>
      <w:hyperlink r:id="rId2445" w:history="1">
        <w:r w:rsidR="000425B4">
          <w:rPr>
            <w:i/>
            <w:iCs/>
            <w:color w:val="0072BC"/>
            <w:lang w:val="pl"/>
          </w:rPr>
          <w:t xml:space="preserve">Martins Alves p. Portugalii </w:t>
        </w:r>
      </w:hyperlink>
      <w:r w:rsidR="000425B4">
        <w:rPr>
          <w:lang w:val="pl"/>
        </w:rPr>
        <w:t>(dec.), nr 56297/11, 21 stycznia 2014 r.</w:t>
      </w:r>
    </w:p>
    <w:p w:rsidR="00B71A20" w:rsidRPr="000625F6" w:rsidRDefault="0093676E">
      <w:pPr>
        <w:pStyle w:val="Teksttreci0"/>
        <w:spacing w:after="0"/>
        <w:rPr>
          <w:lang w:val="pl-PL"/>
        </w:rPr>
      </w:pPr>
      <w:hyperlink r:id="rId2446" w:history="1">
        <w:r w:rsidR="000425B4">
          <w:rPr>
            <w:i/>
            <w:iCs/>
            <w:color w:val="0072BC"/>
            <w:lang w:val="pl"/>
          </w:rPr>
          <w:t>Maslova i Nalbandov p. Rosji</w:t>
        </w:r>
        <w:r w:rsidR="000425B4">
          <w:rPr>
            <w:lang w:val="pl"/>
          </w:rPr>
          <w:t>,</w:t>
        </w:r>
      </w:hyperlink>
      <w:r w:rsidR="000425B4">
        <w:rPr>
          <w:lang w:val="pl"/>
        </w:rPr>
        <w:t xml:space="preserve"> nr 839/02, 24 stycznia 2008 r.</w:t>
      </w:r>
    </w:p>
    <w:p w:rsidR="00B71A20" w:rsidRPr="000625F6" w:rsidRDefault="0093676E">
      <w:pPr>
        <w:pStyle w:val="Teksttreci0"/>
        <w:spacing w:after="0"/>
        <w:rPr>
          <w:lang w:val="pl-PL"/>
        </w:rPr>
      </w:pPr>
      <w:hyperlink r:id="rId2447" w:history="1">
        <w:r w:rsidR="00381152">
          <w:rPr>
            <w:i/>
            <w:iCs/>
            <w:color w:val="0072BC"/>
            <w:lang w:val="pl"/>
          </w:rPr>
          <w:t>Mastilović</w:t>
        </w:r>
        <w:r w:rsidR="000425B4">
          <w:rPr>
            <w:i/>
            <w:iCs/>
            <w:color w:val="0072BC"/>
            <w:lang w:val="pl"/>
          </w:rPr>
          <w:t xml:space="preserve"> i Inni p. Czarnogórze</w:t>
        </w:r>
      </w:hyperlink>
      <w:r w:rsidR="000425B4">
        <w:rPr>
          <w:lang w:val="pl"/>
        </w:rPr>
        <w:t>, nr 28754/10, 24 lutego 2022 r.</w:t>
      </w:r>
    </w:p>
    <w:p w:rsidR="00B71A20" w:rsidRPr="000625F6" w:rsidRDefault="0093676E">
      <w:pPr>
        <w:pStyle w:val="Teksttreci0"/>
        <w:spacing w:after="0"/>
        <w:rPr>
          <w:lang w:val="pl-PL"/>
        </w:rPr>
      </w:pPr>
      <w:hyperlink r:id="rId2448" w:history="1">
        <w:r w:rsidR="000425B4">
          <w:rPr>
            <w:i/>
            <w:iCs/>
            <w:color w:val="0072BC"/>
            <w:lang w:val="pl"/>
          </w:rPr>
          <w:t xml:space="preserve">Mătăsaru p. Republice Mołdawii </w:t>
        </w:r>
      </w:hyperlink>
      <w:r w:rsidR="000425B4">
        <w:rPr>
          <w:lang w:val="pl"/>
        </w:rPr>
        <w:t>(dec.), nr 44743/08, 21 stycznia 2020 r.</w:t>
      </w:r>
    </w:p>
    <w:p w:rsidR="00B71A20" w:rsidRPr="000625F6" w:rsidRDefault="0093676E">
      <w:pPr>
        <w:pStyle w:val="Teksttreci0"/>
        <w:spacing w:after="0"/>
        <w:rPr>
          <w:lang w:val="pl-PL"/>
        </w:rPr>
      </w:pPr>
      <w:hyperlink r:id="rId2449" w:history="1">
        <w:r w:rsidR="000425B4">
          <w:rPr>
            <w:i/>
            <w:iCs/>
            <w:color w:val="0072BC"/>
            <w:lang w:val="pl"/>
          </w:rPr>
          <w:t>Mateuț p. Rumunii</w:t>
        </w:r>
        <w:r w:rsidR="000425B4">
          <w:rPr>
            <w:color w:val="0072BC"/>
            <w:lang w:val="pl"/>
          </w:rPr>
          <w:t xml:space="preserve"> </w:t>
        </w:r>
      </w:hyperlink>
      <w:r w:rsidR="000425B4">
        <w:rPr>
          <w:lang w:val="pl"/>
        </w:rPr>
        <w:t>(dec.), nr 35959/15, 1 marca 2022 r.</w:t>
      </w:r>
    </w:p>
    <w:p w:rsidR="00B71A20" w:rsidRPr="000625F6" w:rsidRDefault="0093676E">
      <w:pPr>
        <w:pStyle w:val="Teksttreci0"/>
        <w:spacing w:after="0"/>
        <w:rPr>
          <w:lang w:val="pl-PL"/>
        </w:rPr>
      </w:pPr>
      <w:hyperlink r:id="rId2450" w:history="1">
        <w:r w:rsidR="000425B4">
          <w:rPr>
            <w:i/>
            <w:iCs/>
            <w:color w:val="0072BC"/>
            <w:lang w:val="pl"/>
          </w:rPr>
          <w:t xml:space="preserve">Matoušek p. Czechom </w:t>
        </w:r>
      </w:hyperlink>
      <w:r w:rsidR="000425B4">
        <w:rPr>
          <w:lang w:val="pl"/>
        </w:rPr>
        <w:t>(dec.), nr 9965/08, 29 marca 2011 r.</w:t>
      </w:r>
    </w:p>
    <w:p w:rsidR="00B71A20" w:rsidRPr="000625F6" w:rsidRDefault="0093676E">
      <w:pPr>
        <w:pStyle w:val="Teksttreci0"/>
        <w:spacing w:after="0"/>
        <w:rPr>
          <w:lang w:val="pl-PL"/>
        </w:rPr>
      </w:pPr>
      <w:hyperlink r:id="rId2451" w:history="1">
        <w:r w:rsidR="000425B4">
          <w:rPr>
            <w:i/>
            <w:iCs/>
            <w:color w:val="0072BC"/>
            <w:lang w:val="pl"/>
          </w:rPr>
          <w:t xml:space="preserve">Matthews p. Wielkiej Brytanii </w:t>
        </w:r>
      </w:hyperlink>
      <w:r w:rsidR="000425B4">
        <w:rPr>
          <w:lang w:val="pl"/>
        </w:rPr>
        <w:t>[WI], nr 24833/94, ECHR 1999-I</w:t>
      </w:r>
    </w:p>
    <w:p w:rsidR="00B71A20" w:rsidRPr="000625F6" w:rsidRDefault="0093676E">
      <w:pPr>
        <w:pStyle w:val="Teksttreci0"/>
        <w:spacing w:after="0"/>
        <w:rPr>
          <w:lang w:val="pl-PL"/>
        </w:rPr>
      </w:pPr>
      <w:hyperlink r:id="rId2452" w:history="1">
        <w:r w:rsidR="000425B4">
          <w:rPr>
            <w:i/>
            <w:iCs/>
            <w:color w:val="0072BC"/>
            <w:lang w:val="pl"/>
          </w:rPr>
          <w:t>Matveyev p. Rosji</w:t>
        </w:r>
        <w:r w:rsidR="000425B4">
          <w:rPr>
            <w:lang w:val="pl"/>
          </w:rPr>
          <w:t>,</w:t>
        </w:r>
      </w:hyperlink>
      <w:r w:rsidR="000425B4">
        <w:rPr>
          <w:lang w:val="pl"/>
        </w:rPr>
        <w:t xml:space="preserve"> nr 26601/02, 3 lipca 2008 r.</w:t>
      </w:r>
    </w:p>
    <w:p w:rsidR="00B71A20" w:rsidRPr="000625F6" w:rsidRDefault="0093676E">
      <w:pPr>
        <w:pStyle w:val="Teksttreci0"/>
        <w:spacing w:after="0"/>
        <w:rPr>
          <w:lang w:val="pl-PL"/>
        </w:rPr>
      </w:pPr>
      <w:hyperlink r:id="rId2453" w:history="1">
        <w:r w:rsidR="000425B4">
          <w:rPr>
            <w:i/>
            <w:iCs/>
            <w:color w:val="0072BC"/>
            <w:lang w:val="pl"/>
          </w:rPr>
          <w:t>McCann i Inni p. Wielkiej Brytanii</w:t>
        </w:r>
        <w:r w:rsidR="000425B4">
          <w:rPr>
            <w:lang w:val="pl"/>
          </w:rPr>
          <w:t>,</w:t>
        </w:r>
      </w:hyperlink>
      <w:r w:rsidR="000425B4">
        <w:rPr>
          <w:lang w:val="pl"/>
        </w:rPr>
        <w:t xml:space="preserve"> 27 września 1995 r., Seria A nr 324</w:t>
      </w:r>
    </w:p>
    <w:p w:rsidR="00B71A20" w:rsidRPr="000625F6" w:rsidRDefault="0093676E">
      <w:pPr>
        <w:pStyle w:val="Teksttreci0"/>
        <w:spacing w:after="0"/>
        <w:rPr>
          <w:lang w:val="pl-PL"/>
        </w:rPr>
      </w:pPr>
      <w:hyperlink r:id="rId2454" w:history="1">
        <w:r w:rsidR="000425B4">
          <w:rPr>
            <w:i/>
            <w:iCs/>
            <w:color w:val="0072BC"/>
            <w:lang w:val="pl"/>
          </w:rPr>
          <w:t xml:space="preserve">McElhinney p. Irlandii i Wielkiej Brytanii </w:t>
        </w:r>
      </w:hyperlink>
      <w:r w:rsidR="000425B4">
        <w:rPr>
          <w:lang w:val="pl"/>
        </w:rPr>
        <w:t>(dec.) [WI], nr 31253/96, 9 lutego 2000 r.</w:t>
      </w:r>
    </w:p>
    <w:p w:rsidR="00B71A20" w:rsidRPr="000625F6" w:rsidRDefault="0093676E">
      <w:pPr>
        <w:pStyle w:val="Teksttreci0"/>
        <w:spacing w:after="0" w:line="230" w:lineRule="auto"/>
        <w:rPr>
          <w:lang w:val="pl-PL"/>
        </w:rPr>
      </w:pPr>
      <w:hyperlink r:id="rId2455" w:history="1">
        <w:r w:rsidR="000425B4">
          <w:rPr>
            <w:i/>
            <w:iCs/>
            <w:color w:val="0072BC"/>
            <w:lang w:val="pl"/>
          </w:rPr>
          <w:t xml:space="preserve">McFarlane p. Irlandii </w:t>
        </w:r>
      </w:hyperlink>
      <w:r w:rsidR="000425B4">
        <w:rPr>
          <w:lang w:val="pl"/>
        </w:rPr>
        <w:t>[WI], nr 31333/06, 10 września 2010 r.</w:t>
      </w:r>
    </w:p>
    <w:p w:rsidR="00B71A20" w:rsidRPr="000625F6" w:rsidRDefault="0093676E" w:rsidP="00071350">
      <w:pPr>
        <w:pStyle w:val="Teksttreci0"/>
        <w:spacing w:after="0"/>
        <w:rPr>
          <w:lang w:val="pl-PL"/>
        </w:rPr>
      </w:pPr>
      <w:hyperlink r:id="rId2456" w:history="1">
        <w:r w:rsidR="000425B4">
          <w:rPr>
            <w:i/>
            <w:iCs/>
            <w:color w:val="0072BC"/>
            <w:lang w:val="pl"/>
          </w:rPr>
          <w:t>McFeeley i Inni p. Wielkiej Brytanii</w:t>
        </w:r>
        <w:r w:rsidR="000425B4">
          <w:rPr>
            <w:lang w:val="pl"/>
          </w:rPr>
          <w:t>,</w:t>
        </w:r>
      </w:hyperlink>
      <w:r w:rsidR="000425B4">
        <w:rPr>
          <w:lang w:val="pl"/>
        </w:rPr>
        <w:t xml:space="preserve"> nr 8317/78, decyzja Komisji z dnia 15 maja 1980 r.,</w:t>
      </w:r>
      <w:r w:rsidR="00071350">
        <w:rPr>
          <w:lang w:val="pl"/>
        </w:rPr>
        <w:t xml:space="preserve"> </w:t>
      </w:r>
      <w:r w:rsidR="000425B4">
        <w:rPr>
          <w:lang w:val="pl"/>
        </w:rPr>
        <w:t>DR 20</w:t>
      </w:r>
    </w:p>
    <w:p w:rsidR="00B71A20" w:rsidRPr="000625F6" w:rsidRDefault="0093676E">
      <w:pPr>
        <w:pStyle w:val="Teksttreci0"/>
        <w:spacing w:after="0"/>
        <w:rPr>
          <w:lang w:val="pl-PL"/>
        </w:rPr>
      </w:pPr>
      <w:hyperlink r:id="rId2457" w:history="1">
        <w:r w:rsidR="000425B4">
          <w:rPr>
            <w:i/>
            <w:iCs/>
            <w:color w:val="0072BC"/>
            <w:lang w:val="pl"/>
          </w:rPr>
          <w:t>McKerr p. Wielkiej Brytanii</w:t>
        </w:r>
        <w:r w:rsidR="000425B4">
          <w:rPr>
            <w:lang w:val="pl"/>
          </w:rPr>
          <w:t>,</w:t>
        </w:r>
      </w:hyperlink>
      <w:r w:rsidR="000425B4">
        <w:rPr>
          <w:lang w:val="pl"/>
        </w:rPr>
        <w:t xml:space="preserve"> nr 28883/95, ECHR 2001-III</w:t>
      </w:r>
    </w:p>
    <w:p w:rsidR="00B71A20" w:rsidRPr="000625F6" w:rsidRDefault="0093676E">
      <w:pPr>
        <w:pStyle w:val="Teksttreci0"/>
        <w:spacing w:after="0"/>
        <w:rPr>
          <w:lang w:val="pl-PL"/>
        </w:rPr>
      </w:pPr>
      <w:hyperlink r:id="rId2458" w:history="1">
        <w:r w:rsidR="000425B4">
          <w:rPr>
            <w:i/>
            <w:iCs/>
            <w:color w:val="0072BC"/>
            <w:lang w:val="pl"/>
          </w:rPr>
          <w:t>McShane p. Wielkiej Brytanii</w:t>
        </w:r>
        <w:r w:rsidR="000425B4">
          <w:rPr>
            <w:lang w:val="pl"/>
          </w:rPr>
          <w:t>,</w:t>
        </w:r>
      </w:hyperlink>
      <w:r w:rsidR="000425B4">
        <w:rPr>
          <w:lang w:val="pl"/>
        </w:rPr>
        <w:t xml:space="preserve"> nr 43290/98, 28 maja 2002 r.</w:t>
      </w:r>
    </w:p>
    <w:p w:rsidR="00B71A20" w:rsidRPr="000625F6" w:rsidRDefault="0093676E">
      <w:pPr>
        <w:pStyle w:val="Teksttreci0"/>
        <w:spacing w:after="0"/>
        <w:rPr>
          <w:lang w:val="pl-PL"/>
        </w:rPr>
      </w:pPr>
      <w:hyperlink r:id="rId2459" w:history="1">
        <w:r w:rsidR="000425B4">
          <w:rPr>
            <w:i/>
            <w:iCs/>
            <w:color w:val="0072BC"/>
            <w:lang w:val="pl"/>
          </w:rPr>
          <w:t xml:space="preserve">Medvedyev i Inni p. Francji </w:t>
        </w:r>
      </w:hyperlink>
      <w:r w:rsidR="000425B4">
        <w:rPr>
          <w:lang w:val="pl"/>
        </w:rPr>
        <w:t>[WI], nr 3394/03, ECHR 2010</w:t>
      </w:r>
    </w:p>
    <w:p w:rsidR="00B71A20" w:rsidRPr="000625F6" w:rsidRDefault="0093676E">
      <w:pPr>
        <w:pStyle w:val="Teksttreci0"/>
        <w:spacing w:after="0"/>
        <w:rPr>
          <w:lang w:val="pl-PL"/>
        </w:rPr>
      </w:pPr>
      <w:hyperlink r:id="rId2460" w:history="1">
        <w:r w:rsidR="000425B4">
          <w:rPr>
            <w:i/>
            <w:iCs/>
            <w:color w:val="0072BC"/>
            <w:lang w:val="pl"/>
          </w:rPr>
          <w:t>Mehmet Ali Ayhan i Inni p. Turcji</w:t>
        </w:r>
        <w:r w:rsidR="000425B4">
          <w:rPr>
            <w:lang w:val="pl"/>
          </w:rPr>
          <w:t>,</w:t>
        </w:r>
      </w:hyperlink>
      <w:r w:rsidR="000425B4">
        <w:rPr>
          <w:lang w:val="pl"/>
        </w:rPr>
        <w:t xml:space="preserve"> nr 4536/06 i 53282/07, 4 czerwca 2019 r.</w:t>
      </w:r>
    </w:p>
    <w:p w:rsidR="00B71A20" w:rsidRPr="000625F6" w:rsidRDefault="0093676E">
      <w:pPr>
        <w:pStyle w:val="Teksttreci0"/>
        <w:spacing w:after="0"/>
        <w:rPr>
          <w:lang w:val="pl-PL"/>
        </w:rPr>
      </w:pPr>
      <w:hyperlink r:id="rId2461" w:history="1">
        <w:r w:rsidR="000425B4">
          <w:rPr>
            <w:i/>
            <w:iCs/>
            <w:color w:val="0072BC"/>
            <w:lang w:val="pl"/>
          </w:rPr>
          <w:t>Mehmet Ali Eser p. Turcji</w:t>
        </w:r>
        <w:r w:rsidR="000425B4">
          <w:rPr>
            <w:lang w:val="pl"/>
          </w:rPr>
          <w:t>,</w:t>
        </w:r>
      </w:hyperlink>
      <w:r w:rsidR="000425B4">
        <w:rPr>
          <w:lang w:val="pl"/>
        </w:rPr>
        <w:t xml:space="preserve"> nr 1399/07, 15 października 2019 r.</w:t>
      </w:r>
    </w:p>
    <w:p w:rsidR="00B71A20" w:rsidRPr="000625F6" w:rsidRDefault="0093676E">
      <w:pPr>
        <w:pStyle w:val="Teksttreci0"/>
        <w:spacing w:after="0"/>
        <w:rPr>
          <w:lang w:val="pl-PL"/>
        </w:rPr>
      </w:pPr>
      <w:hyperlink r:id="rId2462" w:history="1">
        <w:r w:rsidR="000425B4">
          <w:rPr>
            <w:i/>
            <w:iCs/>
            <w:color w:val="0072BC"/>
            <w:lang w:val="pl"/>
          </w:rPr>
          <w:t>Melnichuk i Inni p. Rumunii</w:t>
        </w:r>
        <w:r w:rsidR="000425B4">
          <w:rPr>
            <w:lang w:val="pl"/>
          </w:rPr>
          <w:t>,</w:t>
        </w:r>
      </w:hyperlink>
      <w:r w:rsidR="000425B4">
        <w:rPr>
          <w:lang w:val="pl"/>
        </w:rPr>
        <w:t xml:space="preserve"> nr 35279/10 i 34782/10, 5 maja 2015 r.</w:t>
      </w:r>
    </w:p>
    <w:p w:rsidR="00B71A20" w:rsidRPr="000625F6" w:rsidRDefault="0093676E">
      <w:pPr>
        <w:pStyle w:val="Teksttreci0"/>
        <w:spacing w:after="0"/>
        <w:rPr>
          <w:lang w:val="pl-PL"/>
        </w:rPr>
      </w:pPr>
      <w:hyperlink r:id="rId2463" w:history="1">
        <w:r w:rsidR="000425B4">
          <w:rPr>
            <w:i/>
            <w:iCs/>
            <w:color w:val="0072BC"/>
            <w:lang w:val="pl"/>
          </w:rPr>
          <w:t>Melnik p. Ukrainie</w:t>
        </w:r>
        <w:r w:rsidR="000425B4">
          <w:rPr>
            <w:lang w:val="pl"/>
          </w:rPr>
          <w:t>,</w:t>
        </w:r>
      </w:hyperlink>
      <w:r w:rsidR="000425B4">
        <w:rPr>
          <w:lang w:val="pl"/>
        </w:rPr>
        <w:t xml:space="preserve"> nr 72286/01, 28 marca 2006 r.</w:t>
      </w:r>
    </w:p>
    <w:p w:rsidR="00B71A20" w:rsidRPr="000625F6" w:rsidRDefault="0093676E">
      <w:pPr>
        <w:pStyle w:val="Teksttreci0"/>
        <w:spacing w:after="0"/>
        <w:rPr>
          <w:lang w:val="pl-PL"/>
        </w:rPr>
      </w:pPr>
      <w:hyperlink r:id="rId2464" w:history="1">
        <w:r w:rsidR="000425B4">
          <w:rPr>
            <w:i/>
            <w:iCs/>
            <w:color w:val="0072BC"/>
            <w:lang w:val="pl"/>
          </w:rPr>
          <w:t xml:space="preserve">Meltex Ltd p. Armenii </w:t>
        </w:r>
      </w:hyperlink>
      <w:r w:rsidR="000425B4">
        <w:rPr>
          <w:lang w:val="pl"/>
        </w:rPr>
        <w:t>(dec.), nr 37780/02, 27 maja 2008 r.</w:t>
      </w:r>
    </w:p>
    <w:p w:rsidR="00B71A20" w:rsidRPr="006221DF" w:rsidRDefault="0093676E">
      <w:pPr>
        <w:pStyle w:val="Teksttreci0"/>
        <w:spacing w:after="0"/>
        <w:rPr>
          <w:lang w:val="pl-PL"/>
        </w:rPr>
      </w:pPr>
      <w:hyperlink r:id="rId2465" w:history="1">
        <w:r w:rsidR="000425B4">
          <w:rPr>
            <w:i/>
            <w:iCs/>
            <w:color w:val="0072BC"/>
            <w:lang w:val="pl"/>
          </w:rPr>
          <w:t xml:space="preserve">Mentzen p. Łotwie </w:t>
        </w:r>
      </w:hyperlink>
      <w:r w:rsidR="000425B4">
        <w:rPr>
          <w:lang w:val="pl"/>
        </w:rPr>
        <w:t>(dec.), nr 71074/01, ECHR 2004-XII</w:t>
      </w:r>
    </w:p>
    <w:p w:rsidR="00B71A20" w:rsidRPr="000625F6" w:rsidRDefault="0093676E">
      <w:pPr>
        <w:pStyle w:val="Teksttreci0"/>
        <w:spacing w:after="0"/>
        <w:rPr>
          <w:lang w:val="pl-PL"/>
        </w:rPr>
      </w:pPr>
      <w:hyperlink r:id="rId2466" w:history="1">
        <w:r w:rsidR="000425B4">
          <w:rPr>
            <w:i/>
            <w:iCs/>
            <w:color w:val="0072BC"/>
            <w:lang w:val="pl"/>
          </w:rPr>
          <w:t xml:space="preserve">Merabishvili p. Gruzji </w:t>
        </w:r>
      </w:hyperlink>
      <w:r w:rsidR="000425B4">
        <w:rPr>
          <w:lang w:val="pl"/>
        </w:rPr>
        <w:t>[WI], nr 72508/13, 28 listopada 2017 r.</w:t>
      </w:r>
    </w:p>
    <w:p w:rsidR="00B71A20" w:rsidRDefault="0093676E">
      <w:pPr>
        <w:pStyle w:val="Teksttreci0"/>
        <w:spacing w:after="0"/>
      </w:pPr>
      <w:hyperlink r:id="rId2467" w:history="1">
        <w:r w:rsidR="000425B4" w:rsidRPr="000625F6">
          <w:rPr>
            <w:i/>
            <w:iCs/>
            <w:color w:val="0072BC"/>
            <w:lang w:val="en-GB"/>
          </w:rPr>
          <w:t xml:space="preserve">Merger i Cros p. Francji </w:t>
        </w:r>
      </w:hyperlink>
      <w:r w:rsidR="000425B4" w:rsidRPr="000625F6">
        <w:rPr>
          <w:lang w:val="en-GB"/>
        </w:rPr>
        <w:t>(dec.), nr 68864/01, 11 marca 2004 r.</w:t>
      </w:r>
    </w:p>
    <w:p w:rsidR="00B71A20" w:rsidRDefault="0093676E">
      <w:pPr>
        <w:pStyle w:val="Teksttreci0"/>
        <w:spacing w:after="0"/>
      </w:pPr>
      <w:hyperlink r:id="rId2468" w:history="1">
        <w:r w:rsidR="000425B4" w:rsidRPr="000625F6">
          <w:rPr>
            <w:i/>
            <w:iCs/>
            <w:color w:val="0072BC"/>
            <w:lang w:val="en-GB"/>
          </w:rPr>
          <w:t>Merit p. Ukrainie</w:t>
        </w:r>
        <w:r w:rsidR="000425B4" w:rsidRPr="000625F6">
          <w:rPr>
            <w:lang w:val="en-GB"/>
          </w:rPr>
          <w:t>,</w:t>
        </w:r>
      </w:hyperlink>
      <w:r w:rsidR="000425B4" w:rsidRPr="000625F6">
        <w:rPr>
          <w:lang w:val="en-GB"/>
        </w:rPr>
        <w:t xml:space="preserve"> nr 66561/01, 30 marca 2004 r.</w:t>
      </w:r>
    </w:p>
    <w:p w:rsidR="00B71A20" w:rsidRDefault="0093676E">
      <w:pPr>
        <w:pStyle w:val="Teksttreci0"/>
        <w:spacing w:after="0"/>
      </w:pPr>
      <w:hyperlink r:id="rId2469" w:history="1">
        <w:r w:rsidR="000425B4" w:rsidRPr="000625F6">
          <w:rPr>
            <w:i/>
            <w:iCs/>
            <w:color w:val="0072BC"/>
            <w:lang w:val="en-GB"/>
          </w:rPr>
          <w:t xml:space="preserve">Micallef p. Malcie </w:t>
        </w:r>
      </w:hyperlink>
      <w:r w:rsidR="000425B4" w:rsidRPr="000625F6">
        <w:rPr>
          <w:lang w:val="en-GB"/>
        </w:rPr>
        <w:t>[WI], nr 17056/06, ECHR 2009 r.</w:t>
      </w:r>
    </w:p>
    <w:p w:rsidR="00B71A20" w:rsidRPr="000625F6" w:rsidRDefault="0093676E">
      <w:pPr>
        <w:pStyle w:val="Teksttreci0"/>
        <w:spacing w:after="0"/>
        <w:rPr>
          <w:lang w:val="pl-PL"/>
        </w:rPr>
      </w:pPr>
      <w:hyperlink r:id="rId2470" w:history="1">
        <w:r w:rsidR="000425B4">
          <w:rPr>
            <w:i/>
            <w:iCs/>
            <w:color w:val="0072BC"/>
            <w:lang w:val="pl"/>
          </w:rPr>
          <w:t xml:space="preserve">Michalak p. Polsce </w:t>
        </w:r>
      </w:hyperlink>
      <w:r w:rsidR="000425B4">
        <w:rPr>
          <w:lang w:val="pl"/>
        </w:rPr>
        <w:t>(dec.), nr 24549/03, 1 marca 2005 r.</w:t>
      </w:r>
    </w:p>
    <w:p w:rsidR="00B71A20" w:rsidRPr="000625F6" w:rsidRDefault="0093676E">
      <w:pPr>
        <w:pStyle w:val="Teksttreci0"/>
        <w:spacing w:after="0"/>
        <w:rPr>
          <w:lang w:val="pl-PL"/>
        </w:rPr>
      </w:pPr>
      <w:hyperlink r:id="rId2471" w:history="1">
        <w:r w:rsidR="000425B4">
          <w:rPr>
            <w:i/>
            <w:iCs/>
            <w:color w:val="0072BC"/>
            <w:lang w:val="pl"/>
          </w:rPr>
          <w:t>Michaud p. Francji</w:t>
        </w:r>
        <w:r w:rsidR="000425B4">
          <w:rPr>
            <w:lang w:val="pl"/>
          </w:rPr>
          <w:t>,</w:t>
        </w:r>
      </w:hyperlink>
      <w:r w:rsidR="000425B4">
        <w:rPr>
          <w:lang w:val="pl"/>
        </w:rPr>
        <w:t xml:space="preserve"> nr 12323/11, ECHR 2012</w:t>
      </w:r>
    </w:p>
    <w:p w:rsidR="00B71A20" w:rsidRPr="000625F6" w:rsidRDefault="0093676E">
      <w:pPr>
        <w:pStyle w:val="Teksttreci0"/>
        <w:spacing w:after="0"/>
        <w:rPr>
          <w:lang w:val="pl-PL"/>
        </w:rPr>
      </w:pPr>
      <w:hyperlink r:id="rId2472" w:history="1">
        <w:r w:rsidR="000425B4">
          <w:rPr>
            <w:i/>
            <w:iCs/>
            <w:color w:val="0072BC"/>
            <w:lang w:val="pl"/>
          </w:rPr>
          <w:t xml:space="preserve">Migliore i Inni p. Włochom </w:t>
        </w:r>
      </w:hyperlink>
      <w:r w:rsidR="000425B4">
        <w:rPr>
          <w:lang w:val="pl"/>
        </w:rPr>
        <w:t>(dec.), nr 58511/13 i 2 inne, 12 listopada 2013 r.</w:t>
      </w:r>
    </w:p>
    <w:p w:rsidR="00B71A20" w:rsidRPr="000625F6" w:rsidRDefault="0093676E">
      <w:pPr>
        <w:pStyle w:val="Teksttreci0"/>
        <w:spacing w:after="0"/>
        <w:rPr>
          <w:lang w:val="pl-PL"/>
        </w:rPr>
      </w:pPr>
      <w:hyperlink r:id="rId2473" w:history="1">
        <w:r w:rsidR="000425B4">
          <w:rPr>
            <w:i/>
            <w:iCs/>
            <w:color w:val="0072BC"/>
            <w:lang w:val="pl"/>
          </w:rPr>
          <w:t>Mikolajová p. Słowacji</w:t>
        </w:r>
        <w:r w:rsidR="000425B4">
          <w:rPr>
            <w:lang w:val="pl"/>
          </w:rPr>
          <w:t>,</w:t>
        </w:r>
      </w:hyperlink>
      <w:r w:rsidR="000425B4">
        <w:rPr>
          <w:lang w:val="pl"/>
        </w:rPr>
        <w:t xml:space="preserve"> nr 4479/03, 18 stycznia 2011 r.</w:t>
      </w:r>
    </w:p>
    <w:p w:rsidR="00B71A20" w:rsidRPr="000625F6" w:rsidRDefault="0093676E">
      <w:pPr>
        <w:pStyle w:val="Teksttreci0"/>
        <w:spacing w:after="0" w:line="230" w:lineRule="auto"/>
        <w:rPr>
          <w:lang w:val="pl-PL"/>
        </w:rPr>
      </w:pPr>
      <w:hyperlink r:id="rId2474" w:history="1">
        <w:r w:rsidR="000425B4">
          <w:rPr>
            <w:i/>
            <w:iCs/>
            <w:color w:val="0072BC"/>
            <w:lang w:val="pl"/>
          </w:rPr>
          <w:t>Mile Novaković p. Chorwacji</w:t>
        </w:r>
        <w:r w:rsidR="000425B4">
          <w:rPr>
            <w:lang w:val="pl"/>
          </w:rPr>
          <w:t>,</w:t>
        </w:r>
      </w:hyperlink>
      <w:r w:rsidR="000425B4">
        <w:rPr>
          <w:lang w:val="pl"/>
        </w:rPr>
        <w:t xml:space="preserve"> nr 73544/14, 17 grudnia 2020 r.</w:t>
      </w:r>
    </w:p>
    <w:p w:rsidR="00B71A20" w:rsidRPr="000625F6" w:rsidRDefault="0093676E">
      <w:pPr>
        <w:pStyle w:val="Teksttreci0"/>
        <w:spacing w:after="0"/>
        <w:rPr>
          <w:lang w:val="pl-PL"/>
        </w:rPr>
      </w:pPr>
      <w:hyperlink r:id="rId2475" w:history="1">
        <w:r w:rsidR="000425B4">
          <w:rPr>
            <w:i/>
            <w:iCs/>
            <w:color w:val="0072BC"/>
            <w:lang w:val="pl"/>
          </w:rPr>
          <w:t xml:space="preserve">Milošević p. Holandii </w:t>
        </w:r>
      </w:hyperlink>
      <w:r w:rsidR="000425B4">
        <w:rPr>
          <w:lang w:val="pl"/>
        </w:rPr>
        <w:t>(dec.), nr 77631/01, 19 marca 2002 r.</w:t>
      </w:r>
    </w:p>
    <w:p w:rsidR="00B71A20" w:rsidRPr="000625F6" w:rsidRDefault="0093676E">
      <w:pPr>
        <w:pStyle w:val="Teksttreci0"/>
        <w:spacing w:after="0"/>
        <w:rPr>
          <w:lang w:val="pl-PL"/>
        </w:rPr>
      </w:pPr>
      <w:hyperlink r:id="rId2476" w:history="1">
        <w:r w:rsidR="000425B4">
          <w:rPr>
            <w:i/>
            <w:iCs/>
            <w:color w:val="0072BC"/>
            <w:lang w:val="pl"/>
          </w:rPr>
          <w:t>Milovanović p. Serbii</w:t>
        </w:r>
        <w:r w:rsidR="000425B4">
          <w:rPr>
            <w:lang w:val="pl"/>
          </w:rPr>
          <w:t>,</w:t>
        </w:r>
      </w:hyperlink>
      <w:r w:rsidR="000425B4">
        <w:rPr>
          <w:lang w:val="pl"/>
        </w:rPr>
        <w:t xml:space="preserve"> nr 56065/10, §..., 8 października 2019 r.</w:t>
      </w:r>
    </w:p>
    <w:p w:rsidR="00B71A20" w:rsidRPr="000625F6" w:rsidRDefault="0093676E">
      <w:pPr>
        <w:pStyle w:val="Teksttreci0"/>
        <w:spacing w:after="0"/>
        <w:rPr>
          <w:lang w:val="pl-PL"/>
        </w:rPr>
      </w:pPr>
      <w:hyperlink r:id="rId2477" w:history="1">
        <w:r w:rsidR="000425B4">
          <w:rPr>
            <w:i/>
            <w:iCs/>
            <w:color w:val="0072BC"/>
            <w:lang w:val="pl"/>
          </w:rPr>
          <w:t>Mirolubovs i Inni p. Łotwie</w:t>
        </w:r>
        <w:r w:rsidR="000425B4">
          <w:rPr>
            <w:lang w:val="pl"/>
          </w:rPr>
          <w:t>,</w:t>
        </w:r>
      </w:hyperlink>
      <w:r w:rsidR="000425B4">
        <w:rPr>
          <w:lang w:val="pl"/>
        </w:rPr>
        <w:t xml:space="preserve"> nr 798/05, 15 września 2009 r.</w:t>
      </w:r>
    </w:p>
    <w:p w:rsidR="00B71A20" w:rsidRPr="000625F6" w:rsidRDefault="0093676E">
      <w:pPr>
        <w:pStyle w:val="Teksttreci0"/>
        <w:spacing w:after="0"/>
        <w:rPr>
          <w:lang w:val="pl-PL"/>
        </w:rPr>
      </w:pPr>
      <w:hyperlink r:id="rId2478" w:history="1">
        <w:r w:rsidR="000425B4">
          <w:rPr>
            <w:i/>
            <w:iCs/>
            <w:color w:val="0072BC"/>
            <w:lang w:val="pl"/>
          </w:rPr>
          <w:t xml:space="preserve">Miszczyński p. Polsce </w:t>
        </w:r>
      </w:hyperlink>
      <w:r w:rsidR="000425B4">
        <w:rPr>
          <w:lang w:val="pl"/>
        </w:rPr>
        <w:t>(dec.), nr 23672/07, 8 lutego 2011 r.</w:t>
      </w:r>
    </w:p>
    <w:p w:rsidR="00B71A20" w:rsidRDefault="0093676E">
      <w:pPr>
        <w:pStyle w:val="Teksttreci0"/>
        <w:spacing w:after="0"/>
      </w:pPr>
      <w:hyperlink r:id="rId2479" w:history="1">
        <w:r w:rsidR="000425B4" w:rsidRPr="000625F6">
          <w:rPr>
            <w:i/>
            <w:iCs/>
            <w:color w:val="0072BC"/>
            <w:lang w:val="en-GB"/>
          </w:rPr>
          <w:t>Mitrović p. Serbii</w:t>
        </w:r>
        <w:r w:rsidR="000425B4" w:rsidRPr="000625F6">
          <w:rPr>
            <w:lang w:val="en-GB"/>
          </w:rPr>
          <w:t>,</w:t>
        </w:r>
      </w:hyperlink>
      <w:r w:rsidR="000425B4" w:rsidRPr="000625F6">
        <w:rPr>
          <w:lang w:val="en-GB"/>
        </w:rPr>
        <w:t xml:space="preserve"> nr 52142/12, 21 marca 2017 r.</w:t>
      </w:r>
    </w:p>
    <w:p w:rsidR="00B71A20" w:rsidRPr="000625F6" w:rsidRDefault="0093676E">
      <w:pPr>
        <w:pStyle w:val="Teksttreci0"/>
        <w:spacing w:after="0"/>
        <w:rPr>
          <w:lang w:val="pl-PL"/>
        </w:rPr>
      </w:pPr>
      <w:hyperlink r:id="rId2480" w:history="1">
        <w:r w:rsidR="000425B4">
          <w:rPr>
            <w:i/>
            <w:iCs/>
            <w:color w:val="0072BC"/>
            <w:lang w:val="pl"/>
          </w:rPr>
          <w:t xml:space="preserve">Mocanu i Inni p. Rumunii </w:t>
        </w:r>
      </w:hyperlink>
      <w:r w:rsidR="000425B4">
        <w:rPr>
          <w:lang w:val="pl"/>
        </w:rPr>
        <w:t>[WI], nr 10865/09 i 2 inne, ECHR 2014</w:t>
      </w:r>
    </w:p>
    <w:p w:rsidR="00B71A20" w:rsidRPr="000625F6" w:rsidRDefault="0093676E">
      <w:pPr>
        <w:pStyle w:val="Teksttreci0"/>
        <w:spacing w:after="0"/>
        <w:rPr>
          <w:lang w:val="pl-PL"/>
        </w:rPr>
      </w:pPr>
      <w:hyperlink r:id="rId2481" w:history="1">
        <w:r w:rsidR="000425B4">
          <w:rPr>
            <w:i/>
            <w:iCs/>
            <w:color w:val="0072BC"/>
            <w:lang w:val="pl"/>
          </w:rPr>
          <w:t xml:space="preserve">Moldovan i Inni p. Rumunii </w:t>
        </w:r>
      </w:hyperlink>
      <w:r w:rsidR="000425B4">
        <w:rPr>
          <w:lang w:val="pl"/>
        </w:rPr>
        <w:t>(dec.), nr 8229/04 i 29 innych, 15 lutego 2011 r.</w:t>
      </w:r>
    </w:p>
    <w:p w:rsidR="00B71A20" w:rsidRPr="000625F6" w:rsidRDefault="0093676E">
      <w:pPr>
        <w:pStyle w:val="Teksttreci0"/>
        <w:spacing w:after="0"/>
        <w:rPr>
          <w:lang w:val="pl-PL"/>
        </w:rPr>
      </w:pPr>
      <w:hyperlink r:id="rId2482" w:history="1">
        <w:r w:rsidR="000425B4">
          <w:rPr>
            <w:i/>
            <w:iCs/>
            <w:color w:val="0072BC"/>
            <w:lang w:val="pl"/>
          </w:rPr>
          <w:t>Monnat p. Szwajcarii</w:t>
        </w:r>
        <w:r w:rsidR="000425B4">
          <w:rPr>
            <w:lang w:val="pl"/>
          </w:rPr>
          <w:t>,</w:t>
        </w:r>
      </w:hyperlink>
      <w:r w:rsidR="000425B4">
        <w:rPr>
          <w:lang w:val="pl"/>
        </w:rPr>
        <w:t xml:space="preserve"> nr 73604/01, ECHR 2006-X</w:t>
      </w:r>
    </w:p>
    <w:p w:rsidR="00B71A20" w:rsidRPr="000625F6" w:rsidRDefault="0093676E">
      <w:pPr>
        <w:pStyle w:val="Teksttreci0"/>
        <w:spacing w:after="0"/>
        <w:rPr>
          <w:lang w:val="pl-PL"/>
        </w:rPr>
      </w:pPr>
      <w:hyperlink r:id="rId2483" w:history="1">
        <w:r w:rsidR="000425B4">
          <w:rPr>
            <w:i/>
            <w:iCs/>
            <w:color w:val="0072BC"/>
            <w:lang w:val="pl"/>
          </w:rPr>
          <w:t>Moon p. Francji</w:t>
        </w:r>
        <w:r w:rsidR="000425B4">
          <w:rPr>
            <w:lang w:val="pl"/>
          </w:rPr>
          <w:t>,</w:t>
        </w:r>
      </w:hyperlink>
      <w:r w:rsidR="000425B4">
        <w:rPr>
          <w:lang w:val="pl"/>
        </w:rPr>
        <w:t xml:space="preserve"> nr 39973/03, 9 lipca 2009 r.</w:t>
      </w:r>
    </w:p>
    <w:p w:rsidR="00B71A20" w:rsidRPr="000625F6" w:rsidRDefault="0093676E">
      <w:pPr>
        <w:pStyle w:val="Teksttreci0"/>
        <w:spacing w:after="0"/>
        <w:rPr>
          <w:lang w:val="pl-PL"/>
        </w:rPr>
      </w:pPr>
      <w:hyperlink r:id="rId2484" w:history="1">
        <w:r w:rsidR="000425B4">
          <w:rPr>
            <w:i/>
            <w:iCs/>
            <w:color w:val="0072BC"/>
            <w:lang w:val="pl"/>
          </w:rPr>
          <w:t xml:space="preserve">Mooren p. Niemcom </w:t>
        </w:r>
      </w:hyperlink>
      <w:r w:rsidR="000425B4">
        <w:rPr>
          <w:lang w:val="pl"/>
        </w:rPr>
        <w:t>[WI], nr 11364/03, 9 lipca 2009 r.</w:t>
      </w:r>
    </w:p>
    <w:p w:rsidR="00B71A20" w:rsidRPr="000625F6" w:rsidRDefault="0093676E">
      <w:pPr>
        <w:pStyle w:val="Teksttreci0"/>
        <w:spacing w:after="0" w:line="230" w:lineRule="auto"/>
        <w:rPr>
          <w:lang w:val="pl-PL"/>
        </w:rPr>
      </w:pPr>
      <w:hyperlink r:id="rId2485" w:history="1">
        <w:r w:rsidR="000425B4">
          <w:rPr>
            <w:i/>
            <w:iCs/>
            <w:color w:val="0072BC"/>
            <w:lang w:val="pl"/>
          </w:rPr>
          <w:t xml:space="preserve">Moreira Barbosa p. Portugalii </w:t>
        </w:r>
      </w:hyperlink>
      <w:r w:rsidR="000425B4">
        <w:rPr>
          <w:lang w:val="pl"/>
        </w:rPr>
        <w:t>(dec.), nr 65681/01, ECHR 2004-V</w:t>
      </w:r>
    </w:p>
    <w:p w:rsidR="00B71A20" w:rsidRPr="000625F6" w:rsidRDefault="0093676E">
      <w:pPr>
        <w:pStyle w:val="Teksttreci0"/>
        <w:spacing w:after="0"/>
        <w:rPr>
          <w:lang w:val="pl-PL"/>
        </w:rPr>
      </w:pPr>
      <w:hyperlink r:id="rId2486" w:history="1">
        <w:r w:rsidR="000425B4">
          <w:rPr>
            <w:i/>
            <w:iCs/>
            <w:color w:val="0072BC"/>
            <w:lang w:val="pl"/>
          </w:rPr>
          <w:t xml:space="preserve">Moreira Ferreira p. Portugalii (nr 2) </w:t>
        </w:r>
      </w:hyperlink>
      <w:r w:rsidR="000425B4">
        <w:rPr>
          <w:lang w:val="pl"/>
        </w:rPr>
        <w:t>[WI], nr 19867/12, 11 lipca 2017 r.</w:t>
      </w:r>
    </w:p>
    <w:p w:rsidR="00B71A20" w:rsidRPr="000625F6" w:rsidRDefault="0093676E">
      <w:pPr>
        <w:pStyle w:val="Teksttreci0"/>
        <w:spacing w:after="0"/>
        <w:rPr>
          <w:lang w:val="pl-PL"/>
        </w:rPr>
      </w:pPr>
      <w:hyperlink r:id="rId2487" w:history="1">
        <w:r w:rsidR="000425B4">
          <w:rPr>
            <w:i/>
            <w:iCs/>
            <w:color w:val="0072BC"/>
            <w:lang w:val="pl"/>
          </w:rPr>
          <w:t>Moretti i Benedetti p. Włochom</w:t>
        </w:r>
        <w:r w:rsidR="000425B4">
          <w:rPr>
            <w:lang w:val="pl"/>
          </w:rPr>
          <w:t>,</w:t>
        </w:r>
      </w:hyperlink>
      <w:r w:rsidR="000425B4">
        <w:rPr>
          <w:lang w:val="pl"/>
        </w:rPr>
        <w:t xml:space="preserve"> nr 16318/07, 27 kwietnia 2010 r.</w:t>
      </w:r>
    </w:p>
    <w:p w:rsidR="00B71A20" w:rsidRPr="000625F6" w:rsidRDefault="0093676E">
      <w:pPr>
        <w:pStyle w:val="Teksttreci0"/>
        <w:spacing w:after="0"/>
        <w:rPr>
          <w:lang w:val="pl-PL"/>
        </w:rPr>
      </w:pPr>
      <w:hyperlink r:id="rId2488" w:history="1">
        <w:r w:rsidR="000425B4">
          <w:rPr>
            <w:i/>
            <w:iCs/>
            <w:color w:val="0072BC"/>
            <w:lang w:val="pl"/>
          </w:rPr>
          <w:t>Moskovets p. Rosji</w:t>
        </w:r>
        <w:r w:rsidR="000425B4">
          <w:rPr>
            <w:lang w:val="pl"/>
          </w:rPr>
          <w:t>,</w:t>
        </w:r>
      </w:hyperlink>
      <w:r w:rsidR="000425B4">
        <w:rPr>
          <w:lang w:val="pl"/>
        </w:rPr>
        <w:t xml:space="preserve"> nr 14370/03, 23 kwietnia 2009 r.</w:t>
      </w:r>
    </w:p>
    <w:p w:rsidR="00B71A20" w:rsidRDefault="0093676E">
      <w:pPr>
        <w:pStyle w:val="Teksttreci0"/>
        <w:spacing w:after="0"/>
      </w:pPr>
      <w:hyperlink r:id="rId2489" w:history="1">
        <w:r w:rsidR="000425B4" w:rsidRPr="000625F6">
          <w:rPr>
            <w:i/>
            <w:iCs/>
            <w:color w:val="0072BC"/>
            <w:lang w:val="en-GB"/>
          </w:rPr>
          <w:t xml:space="preserve">Mouvement raëlien suisse p. Szwajcarii </w:t>
        </w:r>
      </w:hyperlink>
      <w:r w:rsidR="000425B4" w:rsidRPr="000625F6">
        <w:rPr>
          <w:lang w:val="en-GB"/>
        </w:rPr>
        <w:t>[WI], nr 16354/06, ECHR 2012</w:t>
      </w:r>
    </w:p>
    <w:p w:rsidR="00B71A20" w:rsidRPr="000625F6" w:rsidRDefault="0093676E">
      <w:pPr>
        <w:pStyle w:val="Teksttreci0"/>
        <w:spacing w:after="0"/>
        <w:rPr>
          <w:lang w:val="pl-PL"/>
        </w:rPr>
      </w:pPr>
      <w:hyperlink r:id="rId2490" w:history="1">
        <w:r w:rsidR="000425B4">
          <w:rPr>
            <w:i/>
            <w:iCs/>
            <w:color w:val="0072BC"/>
            <w:lang w:val="pl"/>
          </w:rPr>
          <w:t xml:space="preserve">Mozer p. Republice Mołdawii i Rosji </w:t>
        </w:r>
      </w:hyperlink>
      <w:r w:rsidR="000425B4">
        <w:rPr>
          <w:lang w:val="pl"/>
        </w:rPr>
        <w:t>[WI], nr 11138/10, 23 lutego 2016 r.</w:t>
      </w:r>
    </w:p>
    <w:p w:rsidR="00B71A20" w:rsidRPr="000625F6" w:rsidRDefault="0093676E">
      <w:pPr>
        <w:pStyle w:val="Teksttreci0"/>
        <w:spacing w:after="0"/>
        <w:rPr>
          <w:lang w:val="pl-PL"/>
        </w:rPr>
      </w:pPr>
      <w:hyperlink r:id="rId2491" w:history="1">
        <w:r w:rsidR="000425B4">
          <w:rPr>
            <w:i/>
            <w:iCs/>
            <w:color w:val="0072BC"/>
            <w:lang w:val="pl"/>
          </w:rPr>
          <w:t xml:space="preserve">MPP Golub p. Ukrainie </w:t>
        </w:r>
      </w:hyperlink>
      <w:r w:rsidR="000425B4">
        <w:rPr>
          <w:lang w:val="pl"/>
        </w:rPr>
        <w:t>(dec.), nr 6778/05, ECHR 2005-XI</w:t>
      </w:r>
    </w:p>
    <w:p w:rsidR="00B71A20" w:rsidRPr="000625F6" w:rsidRDefault="0093676E">
      <w:pPr>
        <w:pStyle w:val="Teksttreci0"/>
        <w:spacing w:after="0"/>
        <w:rPr>
          <w:lang w:val="pl-PL"/>
        </w:rPr>
      </w:pPr>
      <w:hyperlink r:id="rId2492" w:history="1">
        <w:r w:rsidR="000425B4">
          <w:rPr>
            <w:i/>
            <w:iCs/>
            <w:color w:val="0072BC"/>
            <w:lang w:val="pl"/>
          </w:rPr>
          <w:t xml:space="preserve">Mrkić p. Chorwacji </w:t>
        </w:r>
      </w:hyperlink>
      <w:r w:rsidR="000425B4">
        <w:rPr>
          <w:lang w:val="pl"/>
        </w:rPr>
        <w:t>(dec.), nr 7118/03, 8 czerwca 2006 r.</w:t>
      </w:r>
    </w:p>
    <w:p w:rsidR="00B71A20" w:rsidRPr="000625F6" w:rsidRDefault="0093676E">
      <w:pPr>
        <w:pStyle w:val="Teksttreci0"/>
        <w:spacing w:after="0"/>
        <w:rPr>
          <w:lang w:val="pl-PL"/>
        </w:rPr>
      </w:pPr>
      <w:hyperlink r:id="rId2493" w:history="1">
        <w:r w:rsidR="000425B4">
          <w:rPr>
            <w:i/>
            <w:iCs/>
            <w:color w:val="0072BC"/>
            <w:lang w:val="pl"/>
          </w:rPr>
          <w:t>Mukhin p. Rosji</w:t>
        </w:r>
        <w:r w:rsidR="000425B4">
          <w:rPr>
            <w:lang w:val="pl"/>
          </w:rPr>
          <w:t>,</w:t>
        </w:r>
      </w:hyperlink>
      <w:r w:rsidR="000425B4">
        <w:rPr>
          <w:lang w:val="pl"/>
        </w:rPr>
        <w:t xml:space="preserve"> nr 3642/10, 14 grudnia 2021 r.</w:t>
      </w:r>
    </w:p>
    <w:p w:rsidR="00B71A20" w:rsidRDefault="0093676E">
      <w:pPr>
        <w:pStyle w:val="Teksttreci0"/>
        <w:spacing w:after="0"/>
      </w:pPr>
      <w:hyperlink r:id="rId2494" w:history="1">
        <w:r w:rsidR="000425B4" w:rsidRPr="000625F6">
          <w:rPr>
            <w:i/>
            <w:iCs/>
            <w:color w:val="0072BC"/>
            <w:lang w:val="en-GB"/>
          </w:rPr>
          <w:t xml:space="preserve">Municipal Section of Antilly p. Francji </w:t>
        </w:r>
      </w:hyperlink>
      <w:r w:rsidR="000425B4" w:rsidRPr="000625F6">
        <w:rPr>
          <w:lang w:val="en-GB"/>
        </w:rPr>
        <w:t>(dec.), nr 45129/98, ECHR 1999-VIII</w:t>
      </w:r>
    </w:p>
    <w:p w:rsidR="00B71A20" w:rsidRDefault="0093676E">
      <w:pPr>
        <w:pStyle w:val="Teksttreci0"/>
        <w:spacing w:after="0"/>
      </w:pPr>
      <w:hyperlink r:id="rId2495" w:history="1">
        <w:r w:rsidR="000425B4" w:rsidRPr="000625F6">
          <w:rPr>
            <w:i/>
            <w:iCs/>
            <w:color w:val="0072BC"/>
            <w:lang w:val="en-GB"/>
          </w:rPr>
          <w:t xml:space="preserve">Muratovic p. Serbii </w:t>
        </w:r>
      </w:hyperlink>
      <w:r w:rsidR="000425B4" w:rsidRPr="000625F6">
        <w:rPr>
          <w:lang w:val="en-GB"/>
        </w:rPr>
        <w:t>(dec.), nr 41698/06, 21 marca 2017 r.</w:t>
      </w:r>
    </w:p>
    <w:p w:rsidR="00B71A20" w:rsidRPr="000625F6" w:rsidRDefault="0093676E">
      <w:pPr>
        <w:pStyle w:val="Teksttreci0"/>
        <w:spacing w:after="0"/>
        <w:rPr>
          <w:lang w:val="pl-PL"/>
        </w:rPr>
      </w:pPr>
      <w:hyperlink r:id="rId2496" w:history="1">
        <w:r w:rsidR="000425B4">
          <w:rPr>
            <w:i/>
            <w:iCs/>
            <w:color w:val="0072BC"/>
            <w:lang w:val="pl"/>
          </w:rPr>
          <w:t xml:space="preserve">Muršić p. Chorwacji </w:t>
        </w:r>
      </w:hyperlink>
      <w:r w:rsidR="000425B4">
        <w:rPr>
          <w:lang w:val="pl"/>
        </w:rPr>
        <w:t>[WI], nr 7334/13, 20 października 2016 r.</w:t>
      </w:r>
    </w:p>
    <w:p w:rsidR="00B71A20" w:rsidRPr="000625F6" w:rsidRDefault="0093676E">
      <w:pPr>
        <w:pStyle w:val="Teksttreci0"/>
        <w:spacing w:after="0"/>
        <w:rPr>
          <w:lang w:val="pl-PL"/>
        </w:rPr>
      </w:pPr>
      <w:hyperlink r:id="rId2497" w:history="1">
        <w:r w:rsidR="000425B4">
          <w:rPr>
            <w:i/>
            <w:iCs/>
            <w:color w:val="0072BC"/>
            <w:lang w:val="pl"/>
          </w:rPr>
          <w:t>Mutu i Pechstein p. Szwajcarii</w:t>
        </w:r>
        <w:r w:rsidR="000425B4">
          <w:rPr>
            <w:lang w:val="pl"/>
          </w:rPr>
          <w:t>,</w:t>
        </w:r>
      </w:hyperlink>
      <w:r w:rsidR="000425B4">
        <w:rPr>
          <w:lang w:val="pl"/>
        </w:rPr>
        <w:t xml:space="preserve"> nr 40575/10 i 67474/10, 2 października 2018 r.</w:t>
      </w:r>
    </w:p>
    <w:p w:rsidR="00B71A20" w:rsidRPr="000625F6" w:rsidRDefault="0093676E">
      <w:pPr>
        <w:pStyle w:val="Teksttreci0"/>
        <w:spacing w:after="460"/>
        <w:rPr>
          <w:lang w:val="pl-PL"/>
        </w:rPr>
      </w:pPr>
      <w:hyperlink r:id="rId2498" w:history="1">
        <w:r w:rsidR="000425B4">
          <w:rPr>
            <w:i/>
            <w:iCs/>
            <w:color w:val="0072BC"/>
            <w:lang w:val="pl"/>
          </w:rPr>
          <w:t>Mykhaylenky i Inni p. Ukrainie</w:t>
        </w:r>
        <w:r w:rsidR="000425B4">
          <w:rPr>
            <w:lang w:val="pl"/>
          </w:rPr>
          <w:t>,</w:t>
        </w:r>
      </w:hyperlink>
      <w:r w:rsidR="000425B4">
        <w:rPr>
          <w:lang w:val="pl"/>
        </w:rPr>
        <w:t xml:space="preserve"> nr 35091/02 i 9 innych, ECHR 2004-XII</w:t>
      </w:r>
    </w:p>
    <w:p w:rsidR="00B71A20" w:rsidRPr="000625F6" w:rsidRDefault="000425B4">
      <w:pPr>
        <w:pStyle w:val="Teksttreci30"/>
        <w:spacing w:after="100"/>
        <w:rPr>
          <w:lang w:val="pl-PL"/>
        </w:rPr>
      </w:pPr>
      <w:r>
        <w:rPr>
          <w:lang w:val="pl"/>
        </w:rPr>
        <w:t>—N—</w:t>
      </w:r>
    </w:p>
    <w:p w:rsidR="00B71A20" w:rsidRPr="000625F6" w:rsidRDefault="0093676E">
      <w:pPr>
        <w:pStyle w:val="Teksttreci0"/>
        <w:spacing w:after="0"/>
        <w:rPr>
          <w:lang w:val="pl-PL"/>
        </w:rPr>
      </w:pPr>
      <w:hyperlink r:id="rId2499" w:history="1">
        <w:r w:rsidR="000425B4">
          <w:rPr>
            <w:i/>
            <w:iCs/>
            <w:color w:val="0072BC"/>
            <w:lang w:val="pl"/>
          </w:rPr>
          <w:t>NA p. Wielkiej Brytanii</w:t>
        </w:r>
        <w:r w:rsidR="000425B4">
          <w:rPr>
            <w:lang w:val="pl"/>
          </w:rPr>
          <w:t>,</w:t>
        </w:r>
      </w:hyperlink>
      <w:r w:rsidR="000425B4">
        <w:rPr>
          <w:lang w:val="pl"/>
        </w:rPr>
        <w:t xml:space="preserve"> nr 25904/07, 17 lipca 2008</w:t>
      </w:r>
    </w:p>
    <w:p w:rsidR="00B71A20" w:rsidRPr="000625F6" w:rsidRDefault="0093676E">
      <w:pPr>
        <w:pStyle w:val="Teksttreci0"/>
        <w:spacing w:after="0"/>
        <w:rPr>
          <w:lang w:val="pl-PL"/>
        </w:rPr>
      </w:pPr>
      <w:hyperlink r:id="rId2500" w:history="1">
        <w:r w:rsidR="000425B4">
          <w:rPr>
            <w:i/>
            <w:iCs/>
            <w:color w:val="0072BC"/>
            <w:lang w:val="pl"/>
          </w:rPr>
          <w:t xml:space="preserve">N.D. i N.T. p. Hiszpanii </w:t>
        </w:r>
      </w:hyperlink>
      <w:r w:rsidR="000425B4">
        <w:rPr>
          <w:lang w:val="pl"/>
        </w:rPr>
        <w:t>[WI], nr 8675/15 i 8697/15, 13 lutego 2020 r.</w:t>
      </w:r>
    </w:p>
    <w:p w:rsidR="00B71A20" w:rsidRPr="000625F6" w:rsidRDefault="0093676E">
      <w:pPr>
        <w:pStyle w:val="Teksttreci0"/>
        <w:spacing w:after="0"/>
        <w:rPr>
          <w:lang w:val="pl-PL"/>
        </w:rPr>
      </w:pPr>
      <w:hyperlink r:id="rId2501" w:history="1">
        <w:r w:rsidR="000425B4">
          <w:rPr>
            <w:i/>
            <w:iCs/>
            <w:color w:val="0072BC"/>
            <w:lang w:val="pl"/>
          </w:rPr>
          <w:t xml:space="preserve">Nada p. Szwajcarii </w:t>
        </w:r>
      </w:hyperlink>
      <w:r w:rsidR="000425B4">
        <w:rPr>
          <w:lang w:val="pl"/>
        </w:rPr>
        <w:t>[WI], nr 10593/08, ECHR 2012</w:t>
      </w:r>
    </w:p>
    <w:p w:rsidR="00B71A20" w:rsidRPr="000625F6" w:rsidRDefault="0093676E">
      <w:pPr>
        <w:pStyle w:val="Teksttreci0"/>
        <w:spacing w:after="0"/>
        <w:rPr>
          <w:lang w:val="pl-PL"/>
        </w:rPr>
      </w:pPr>
      <w:hyperlink r:id="rId2502" w:history="1">
        <w:r w:rsidR="000425B4">
          <w:rPr>
            <w:i/>
            <w:iCs/>
            <w:color w:val="0072BC"/>
            <w:lang w:val="pl"/>
          </w:rPr>
          <w:t xml:space="preserve">Nagovitsyn i Nalgiyev p. Rosji </w:t>
        </w:r>
      </w:hyperlink>
      <w:r w:rsidR="000425B4">
        <w:rPr>
          <w:lang w:val="pl"/>
        </w:rPr>
        <w:t>(dec.), nr 27451/09 i 60650/09, 23 września 2010 r.</w:t>
      </w:r>
    </w:p>
    <w:p w:rsidR="00B71A20" w:rsidRPr="000625F6" w:rsidRDefault="0093676E">
      <w:pPr>
        <w:pStyle w:val="Teksttreci0"/>
        <w:spacing w:after="0"/>
        <w:rPr>
          <w:lang w:val="pl-PL"/>
        </w:rPr>
      </w:pPr>
      <w:hyperlink r:id="rId2503" w:history="1">
        <w:r w:rsidR="000425B4">
          <w:rPr>
            <w:i/>
            <w:iCs/>
            <w:color w:val="0072BC"/>
            <w:lang w:val="pl"/>
          </w:rPr>
          <w:t>Nasr i Ghali p. Włochom</w:t>
        </w:r>
        <w:r w:rsidR="000425B4">
          <w:rPr>
            <w:lang w:val="pl"/>
          </w:rPr>
          <w:t>,</w:t>
        </w:r>
      </w:hyperlink>
      <w:r w:rsidR="000425B4">
        <w:rPr>
          <w:lang w:val="pl"/>
        </w:rPr>
        <w:t xml:space="preserve"> nr 44883/09, 23 lutego 2016 r.</w:t>
      </w:r>
    </w:p>
    <w:p w:rsidR="00B71A20" w:rsidRPr="000625F6" w:rsidRDefault="0093676E">
      <w:pPr>
        <w:pStyle w:val="Teksttreci0"/>
        <w:spacing w:after="0"/>
        <w:rPr>
          <w:lang w:val="pl-PL"/>
        </w:rPr>
      </w:pPr>
      <w:hyperlink r:id="rId2504" w:history="1">
        <w:r w:rsidR="000425B4">
          <w:rPr>
            <w:i/>
            <w:iCs/>
            <w:color w:val="0072BC"/>
            <w:lang w:val="pl"/>
          </w:rPr>
          <w:t xml:space="preserve">Nassau Verzekering Maatschappij N.V. p. Holandii </w:t>
        </w:r>
      </w:hyperlink>
      <w:r w:rsidR="000425B4">
        <w:rPr>
          <w:lang w:val="pl"/>
        </w:rPr>
        <w:t>(dec.), nr 57602/09, 4 października 2011 r.</w:t>
      </w:r>
    </w:p>
    <w:p w:rsidR="00B71A20" w:rsidRDefault="0093676E">
      <w:pPr>
        <w:pStyle w:val="Teksttreci0"/>
        <w:spacing w:after="0"/>
      </w:pPr>
      <w:hyperlink r:id="rId2505" w:history="1">
        <w:r w:rsidR="000425B4" w:rsidRPr="000625F6">
          <w:rPr>
            <w:i/>
            <w:iCs/>
            <w:color w:val="0072BC"/>
            <w:lang w:val="en-GB"/>
          </w:rPr>
          <w:t>National Federation of Sportspersons’ Associations and Unions (FNASS) i Inni p. Francji</w:t>
        </w:r>
        <w:r w:rsidR="000425B4" w:rsidRPr="000625F6">
          <w:rPr>
            <w:lang w:val="en-GB"/>
          </w:rPr>
          <w:t>,</w:t>
        </w:r>
      </w:hyperlink>
    </w:p>
    <w:p w:rsidR="00B71A20" w:rsidRPr="000625F6" w:rsidRDefault="000425B4">
      <w:pPr>
        <w:pStyle w:val="Teksttreci0"/>
        <w:spacing w:after="0"/>
        <w:ind w:firstLine="580"/>
        <w:rPr>
          <w:lang w:val="pl-PL"/>
        </w:rPr>
      </w:pPr>
      <w:r>
        <w:rPr>
          <w:lang w:val="pl"/>
        </w:rPr>
        <w:t>nr 48151/11 i 77769/13, 18 stycznia 2018 r.</w:t>
      </w:r>
    </w:p>
    <w:p w:rsidR="00B71A20" w:rsidRPr="000625F6" w:rsidRDefault="0093676E">
      <w:pPr>
        <w:pStyle w:val="Teksttreci0"/>
        <w:spacing w:after="0"/>
        <w:rPr>
          <w:lang w:val="pl-PL"/>
        </w:rPr>
      </w:pPr>
      <w:hyperlink r:id="rId2506" w:history="1">
        <w:r w:rsidR="000425B4">
          <w:rPr>
            <w:i/>
            <w:iCs/>
            <w:color w:val="0072BC"/>
            <w:lang w:val="pl"/>
          </w:rPr>
          <w:t xml:space="preserve">Navalnyy p. Rosji </w:t>
        </w:r>
      </w:hyperlink>
      <w:r w:rsidR="000425B4">
        <w:rPr>
          <w:lang w:val="pl"/>
        </w:rPr>
        <w:t>[WI], nr 29580/12 i 4 inne, 15 listopada 2018 r.</w:t>
      </w:r>
    </w:p>
    <w:p w:rsidR="00B71A20" w:rsidRPr="000625F6" w:rsidRDefault="0093676E">
      <w:pPr>
        <w:pStyle w:val="Teksttreci0"/>
        <w:spacing w:after="0"/>
        <w:rPr>
          <w:lang w:val="pl-PL"/>
        </w:rPr>
      </w:pPr>
      <w:hyperlink r:id="rId2507" w:history="1">
        <w:r w:rsidR="000425B4">
          <w:rPr>
            <w:i/>
            <w:iCs/>
            <w:color w:val="0072BC"/>
            <w:lang w:val="pl"/>
          </w:rPr>
          <w:t>Naydyon p. Ukrainie</w:t>
        </w:r>
        <w:r w:rsidR="000425B4">
          <w:rPr>
            <w:lang w:val="pl"/>
          </w:rPr>
          <w:t>,</w:t>
        </w:r>
      </w:hyperlink>
      <w:r w:rsidR="000425B4">
        <w:rPr>
          <w:lang w:val="pl"/>
        </w:rPr>
        <w:t xml:space="preserve"> nr 16474/03, 14 października 2010 r.</w:t>
      </w:r>
    </w:p>
    <w:p w:rsidR="00B71A20" w:rsidRPr="000625F6" w:rsidRDefault="0093676E">
      <w:pPr>
        <w:pStyle w:val="Teksttreci0"/>
        <w:spacing w:after="0"/>
        <w:rPr>
          <w:lang w:val="pl-PL"/>
        </w:rPr>
      </w:pPr>
      <w:hyperlink r:id="rId2508" w:history="1">
        <w:r w:rsidR="000425B4">
          <w:rPr>
            <w:i/>
            <w:iCs/>
            <w:color w:val="0072BC"/>
            <w:lang w:val="pl"/>
          </w:rPr>
          <w:t>Nencheva i Inni p. Bułgarii</w:t>
        </w:r>
        <w:r w:rsidR="000425B4">
          <w:rPr>
            <w:lang w:val="pl"/>
          </w:rPr>
          <w:t>,</w:t>
        </w:r>
      </w:hyperlink>
      <w:r w:rsidR="000425B4">
        <w:rPr>
          <w:lang w:val="pl"/>
        </w:rPr>
        <w:t xml:space="preserve"> nr 48609/06, 18 czerwca 2013 r.</w:t>
      </w:r>
    </w:p>
    <w:p w:rsidR="00B71A20" w:rsidRPr="000625F6" w:rsidRDefault="0093676E">
      <w:pPr>
        <w:pStyle w:val="Teksttreci0"/>
        <w:spacing w:after="0"/>
        <w:rPr>
          <w:lang w:val="pl-PL"/>
        </w:rPr>
      </w:pPr>
      <w:hyperlink r:id="rId2509" w:history="1">
        <w:r w:rsidR="000425B4">
          <w:rPr>
            <w:i/>
            <w:iCs/>
            <w:color w:val="0072BC"/>
            <w:lang w:val="pl"/>
          </w:rPr>
          <w:t>Neshkov i Inni p. Bułgarii</w:t>
        </w:r>
        <w:r w:rsidR="000425B4">
          <w:rPr>
            <w:lang w:val="pl"/>
          </w:rPr>
          <w:t>,</w:t>
        </w:r>
      </w:hyperlink>
      <w:r w:rsidR="000425B4">
        <w:rPr>
          <w:lang w:val="pl"/>
        </w:rPr>
        <w:t xml:space="preserve"> nr 36925/10 i 5 innych, 27 stycznia 2015 r.</w:t>
      </w:r>
    </w:p>
    <w:p w:rsidR="00B71A20" w:rsidRPr="000625F6" w:rsidRDefault="0093676E">
      <w:pPr>
        <w:pStyle w:val="Teksttreci0"/>
        <w:spacing w:after="0"/>
        <w:rPr>
          <w:lang w:val="pl-PL"/>
        </w:rPr>
      </w:pPr>
      <w:hyperlink r:id="rId2510" w:history="1">
        <w:r w:rsidR="000425B4">
          <w:rPr>
            <w:i/>
            <w:iCs/>
            <w:color w:val="0072BC"/>
            <w:lang w:val="pl"/>
          </w:rPr>
          <w:t>Nešić p. Czarnogórze</w:t>
        </w:r>
        <w:r w:rsidR="000425B4">
          <w:rPr>
            <w:lang w:val="pl"/>
          </w:rPr>
          <w:t>,</w:t>
        </w:r>
      </w:hyperlink>
      <w:r w:rsidR="000425B4">
        <w:rPr>
          <w:lang w:val="pl"/>
        </w:rPr>
        <w:t xml:space="preserve"> nr 12131/18, 9 czerwca 2020 r.</w:t>
      </w:r>
    </w:p>
    <w:p w:rsidR="00B71A20" w:rsidRPr="000625F6" w:rsidRDefault="0093676E">
      <w:pPr>
        <w:pStyle w:val="Teksttreci0"/>
        <w:spacing w:after="0"/>
        <w:rPr>
          <w:lang w:val="pl-PL"/>
        </w:rPr>
      </w:pPr>
      <w:hyperlink r:id="rId2511" w:history="1">
        <w:r w:rsidR="000425B4">
          <w:rPr>
            <w:i/>
            <w:iCs/>
            <w:color w:val="0072BC"/>
            <w:lang w:val="pl"/>
          </w:rPr>
          <w:t>Nicholas p. Cyprowi</w:t>
        </w:r>
        <w:r w:rsidR="000425B4">
          <w:rPr>
            <w:lang w:val="pl"/>
          </w:rPr>
          <w:t>,</w:t>
        </w:r>
      </w:hyperlink>
      <w:r w:rsidR="000425B4">
        <w:rPr>
          <w:lang w:val="pl"/>
        </w:rPr>
        <w:t xml:space="preserve"> nr 63246/10, 9 stycznia 2018 r.</w:t>
      </w:r>
    </w:p>
    <w:p w:rsidR="00B71A20" w:rsidRPr="000625F6" w:rsidRDefault="0093676E">
      <w:pPr>
        <w:pStyle w:val="Teksttreci0"/>
        <w:spacing w:after="0"/>
        <w:rPr>
          <w:lang w:val="pl-PL"/>
        </w:rPr>
      </w:pPr>
      <w:hyperlink r:id="rId2512" w:history="1">
        <w:r w:rsidR="000425B4">
          <w:rPr>
            <w:i/>
            <w:iCs/>
            <w:color w:val="0072BC"/>
            <w:lang w:val="pl"/>
          </w:rPr>
          <w:t xml:space="preserve">Nicklinson i Lamb p. Wielkiej Brytanii </w:t>
        </w:r>
      </w:hyperlink>
      <w:r w:rsidR="000425B4">
        <w:rPr>
          <w:lang w:val="pl"/>
        </w:rPr>
        <w:t>(dec.), nr 2478/15 i 1787/15, 23 czerwca 2015 r.</w:t>
      </w:r>
    </w:p>
    <w:p w:rsidR="00B71A20" w:rsidRPr="000625F6" w:rsidRDefault="0093676E">
      <w:pPr>
        <w:pStyle w:val="Teksttreci0"/>
        <w:spacing w:after="0"/>
        <w:rPr>
          <w:lang w:val="pl-PL"/>
        </w:rPr>
      </w:pPr>
      <w:hyperlink r:id="rId2513" w:history="1">
        <w:r w:rsidR="000425B4">
          <w:rPr>
            <w:i/>
            <w:iCs/>
            <w:color w:val="0072BC"/>
            <w:lang w:val="pl"/>
          </w:rPr>
          <w:t xml:space="preserve">Nicolae Virgiliu Tănase p. Rumunii </w:t>
        </w:r>
      </w:hyperlink>
      <w:r w:rsidR="000425B4">
        <w:rPr>
          <w:lang w:val="pl"/>
        </w:rPr>
        <w:t>[WI], nr 41720/13, 25 czerwca 2019 r.</w:t>
      </w:r>
    </w:p>
    <w:p w:rsidR="00B71A20" w:rsidRPr="000625F6" w:rsidRDefault="0093676E">
      <w:pPr>
        <w:pStyle w:val="Teksttreci0"/>
        <w:spacing w:after="0"/>
        <w:rPr>
          <w:lang w:val="pl-PL"/>
        </w:rPr>
      </w:pPr>
      <w:hyperlink r:id="rId2514" w:history="1">
        <w:r w:rsidR="000425B4">
          <w:rPr>
            <w:i/>
            <w:iCs/>
            <w:color w:val="0072BC"/>
            <w:lang w:val="pl"/>
          </w:rPr>
          <w:t>Nicoleta Gheorghe p. Rumunii</w:t>
        </w:r>
        <w:r w:rsidR="000425B4">
          <w:rPr>
            <w:lang w:val="pl"/>
          </w:rPr>
          <w:t>,</w:t>
        </w:r>
      </w:hyperlink>
      <w:r w:rsidR="000425B4">
        <w:rPr>
          <w:lang w:val="pl"/>
        </w:rPr>
        <w:t xml:space="preserve"> nr 23470/05, 3 kwietnia 2012 r.</w:t>
      </w:r>
    </w:p>
    <w:p w:rsidR="00B71A20" w:rsidRPr="000625F6" w:rsidRDefault="0093676E">
      <w:pPr>
        <w:pStyle w:val="Teksttreci0"/>
        <w:spacing w:after="0" w:line="230" w:lineRule="auto"/>
        <w:rPr>
          <w:lang w:val="pl-PL"/>
        </w:rPr>
      </w:pPr>
      <w:hyperlink r:id="rId2515" w:history="1">
        <w:r w:rsidR="000425B4">
          <w:rPr>
            <w:i/>
            <w:iCs/>
            <w:color w:val="0072BC"/>
            <w:lang w:val="pl"/>
          </w:rPr>
          <w:t xml:space="preserve">Nikula p. Finlandii </w:t>
        </w:r>
      </w:hyperlink>
      <w:r w:rsidR="000425B4">
        <w:rPr>
          <w:lang w:val="pl"/>
        </w:rPr>
        <w:t>(dec.), nr 31611/96, 30 listopada 2000 r.</w:t>
      </w:r>
    </w:p>
    <w:p w:rsidR="00B71A20" w:rsidRPr="000625F6" w:rsidRDefault="0093676E">
      <w:pPr>
        <w:pStyle w:val="Teksttreci0"/>
        <w:spacing w:after="0"/>
        <w:rPr>
          <w:lang w:val="pl-PL"/>
        </w:rPr>
      </w:pPr>
      <w:hyperlink r:id="rId2516" w:history="1">
        <w:r w:rsidR="000425B4">
          <w:rPr>
            <w:i/>
            <w:iCs/>
            <w:color w:val="0072BC"/>
            <w:lang w:val="pl"/>
          </w:rPr>
          <w:t>Nizomkhon Dzhurayev p. Rosji</w:t>
        </w:r>
        <w:r w:rsidR="000425B4">
          <w:rPr>
            <w:lang w:val="pl"/>
          </w:rPr>
          <w:t>,</w:t>
        </w:r>
      </w:hyperlink>
      <w:r w:rsidR="000425B4">
        <w:rPr>
          <w:lang w:val="pl"/>
        </w:rPr>
        <w:t xml:space="preserve"> nr 31890/11, 3 października 2013 r.</w:t>
      </w:r>
    </w:p>
    <w:p w:rsidR="00B71A20" w:rsidRPr="000625F6" w:rsidRDefault="0093676E">
      <w:pPr>
        <w:pStyle w:val="Teksttreci0"/>
        <w:spacing w:after="0"/>
        <w:rPr>
          <w:lang w:val="pl-PL"/>
        </w:rPr>
      </w:pPr>
      <w:hyperlink r:id="rId2517" w:history="1">
        <w:r w:rsidR="000425B4">
          <w:rPr>
            <w:i/>
            <w:iCs/>
            <w:color w:val="0072BC"/>
            <w:lang w:val="pl"/>
          </w:rPr>
          <w:t xml:space="preserve">Nobili Massuero p. Włochom </w:t>
        </w:r>
      </w:hyperlink>
      <w:r w:rsidR="000425B4">
        <w:rPr>
          <w:lang w:val="pl"/>
        </w:rPr>
        <w:t>(dec.), nr 58587/00, 1 kwietnia 2004 r.</w:t>
      </w:r>
    </w:p>
    <w:p w:rsidR="00B71A20" w:rsidRPr="000625F6" w:rsidRDefault="0093676E">
      <w:pPr>
        <w:pStyle w:val="Teksttreci0"/>
        <w:spacing w:after="0"/>
        <w:rPr>
          <w:lang w:val="pl-PL"/>
        </w:rPr>
      </w:pPr>
      <w:hyperlink r:id="rId2518" w:history="1">
        <w:r w:rsidR="000425B4">
          <w:rPr>
            <w:i/>
            <w:iCs/>
            <w:color w:val="0072BC"/>
            <w:lang w:val="pl"/>
          </w:rPr>
          <w:t xml:space="preserve">Nogolica p. Chorwacji </w:t>
        </w:r>
      </w:hyperlink>
      <w:r w:rsidR="000425B4">
        <w:rPr>
          <w:lang w:val="pl"/>
        </w:rPr>
        <w:t>(dec.), nr 77784/01, ECHR 2002-VIII</w:t>
      </w:r>
    </w:p>
    <w:p w:rsidR="00B71A20" w:rsidRPr="000625F6" w:rsidRDefault="0093676E">
      <w:pPr>
        <w:pStyle w:val="Teksttreci0"/>
        <w:spacing w:after="0"/>
        <w:rPr>
          <w:lang w:val="pl-PL"/>
        </w:rPr>
      </w:pPr>
      <w:hyperlink r:id="rId2519" w:history="1">
        <w:r w:rsidR="000425B4">
          <w:rPr>
            <w:i/>
            <w:iCs/>
            <w:color w:val="0072BC"/>
            <w:lang w:val="pl"/>
          </w:rPr>
          <w:t>Nolan i K. p. Rosji</w:t>
        </w:r>
        <w:r w:rsidR="000425B4">
          <w:rPr>
            <w:lang w:val="pl"/>
          </w:rPr>
          <w:t>,</w:t>
        </w:r>
      </w:hyperlink>
      <w:r w:rsidR="000425B4">
        <w:rPr>
          <w:lang w:val="pl"/>
        </w:rPr>
        <w:t xml:space="preserve"> nr 2512/04, 12 lutego 2009 r.</w:t>
      </w:r>
    </w:p>
    <w:p w:rsidR="00B71A20" w:rsidRPr="000625F6" w:rsidRDefault="0093676E">
      <w:pPr>
        <w:pStyle w:val="Teksttreci0"/>
        <w:spacing w:after="0"/>
        <w:rPr>
          <w:lang w:val="pl-PL"/>
        </w:rPr>
      </w:pPr>
      <w:hyperlink r:id="rId2520" w:history="1">
        <w:r w:rsidR="000425B4">
          <w:rPr>
            <w:i/>
            <w:iCs/>
            <w:color w:val="0072BC"/>
            <w:lang w:val="pl"/>
          </w:rPr>
          <w:t>Nold p. Niemcom</w:t>
        </w:r>
        <w:r w:rsidR="000425B4">
          <w:rPr>
            <w:lang w:val="pl"/>
          </w:rPr>
          <w:t>,</w:t>
        </w:r>
      </w:hyperlink>
      <w:r w:rsidR="000425B4">
        <w:rPr>
          <w:lang w:val="pl"/>
        </w:rPr>
        <w:t xml:space="preserve"> nr 27250/02, 29 czerwca 2006 r.</w:t>
      </w:r>
    </w:p>
    <w:p w:rsidR="00B71A20" w:rsidRPr="000625F6" w:rsidRDefault="0093676E">
      <w:pPr>
        <w:pStyle w:val="Teksttreci0"/>
        <w:spacing w:after="0"/>
        <w:rPr>
          <w:lang w:val="pl-PL"/>
        </w:rPr>
      </w:pPr>
      <w:hyperlink r:id="rId2521" w:history="1">
        <w:r w:rsidR="000425B4">
          <w:rPr>
            <w:i/>
            <w:iCs/>
            <w:color w:val="0072BC"/>
            <w:lang w:val="pl"/>
          </w:rPr>
          <w:t>Nölkenbockhoff p. Niemcom</w:t>
        </w:r>
        <w:r w:rsidR="000425B4">
          <w:rPr>
            <w:lang w:val="pl"/>
          </w:rPr>
          <w:t>,</w:t>
        </w:r>
      </w:hyperlink>
      <w:r w:rsidR="000425B4">
        <w:rPr>
          <w:lang w:val="pl"/>
        </w:rPr>
        <w:t xml:space="preserve"> 25 sierpnia 1987 r., Seria A nr 123</w:t>
      </w:r>
    </w:p>
    <w:p w:rsidR="00B71A20" w:rsidRPr="000625F6" w:rsidRDefault="0093676E">
      <w:pPr>
        <w:pStyle w:val="Teksttreci0"/>
        <w:spacing w:after="0"/>
        <w:rPr>
          <w:lang w:val="pl-PL"/>
        </w:rPr>
      </w:pPr>
      <w:hyperlink r:id="rId2522" w:history="1">
        <w:r w:rsidR="000425B4">
          <w:rPr>
            <w:i/>
            <w:iCs/>
            <w:color w:val="0072BC"/>
            <w:lang w:val="pl"/>
          </w:rPr>
          <w:t>Norbert Sikorski p. Polsce</w:t>
        </w:r>
        <w:r w:rsidR="000425B4">
          <w:rPr>
            <w:lang w:val="pl"/>
          </w:rPr>
          <w:t>,</w:t>
        </w:r>
      </w:hyperlink>
      <w:r w:rsidR="000425B4">
        <w:rPr>
          <w:lang w:val="pl"/>
        </w:rPr>
        <w:t xml:space="preserve"> nr 17599/05, 22 października 2009 r.</w:t>
      </w:r>
    </w:p>
    <w:p w:rsidR="00B71A20" w:rsidRPr="000625F6" w:rsidRDefault="0093676E">
      <w:pPr>
        <w:pStyle w:val="Teksttreci0"/>
        <w:spacing w:after="0"/>
        <w:rPr>
          <w:lang w:val="pl-PL"/>
        </w:rPr>
      </w:pPr>
      <w:hyperlink r:id="rId2523" w:history="1">
        <w:r w:rsidR="000425B4">
          <w:rPr>
            <w:i/>
            <w:iCs/>
            <w:color w:val="0072BC"/>
            <w:lang w:val="pl"/>
          </w:rPr>
          <w:t xml:space="preserve">Normann p. Danii </w:t>
        </w:r>
      </w:hyperlink>
      <w:r w:rsidR="000425B4">
        <w:rPr>
          <w:lang w:val="pl"/>
        </w:rPr>
        <w:t>(dec.), nr 44704/98, 14 czerwca 2001 r.</w:t>
      </w:r>
    </w:p>
    <w:p w:rsidR="00B71A20" w:rsidRPr="000625F6" w:rsidRDefault="0093676E">
      <w:pPr>
        <w:pStyle w:val="Teksttreci0"/>
        <w:spacing w:after="0"/>
        <w:rPr>
          <w:lang w:val="pl-PL"/>
        </w:rPr>
      </w:pPr>
      <w:hyperlink r:id="rId2524" w:history="1">
        <w:r w:rsidR="000425B4">
          <w:rPr>
            <w:i/>
            <w:iCs/>
            <w:color w:val="0072BC"/>
            <w:lang w:val="pl"/>
          </w:rPr>
          <w:t>Novinskiy p. Rosji</w:t>
        </w:r>
        <w:r w:rsidR="000425B4">
          <w:rPr>
            <w:lang w:val="pl"/>
          </w:rPr>
          <w:t>,</w:t>
        </w:r>
      </w:hyperlink>
      <w:r w:rsidR="000425B4">
        <w:rPr>
          <w:lang w:val="pl"/>
        </w:rPr>
        <w:t xml:space="preserve"> nr 11982/02, 10 lutego 2009 r.</w:t>
      </w:r>
    </w:p>
    <w:p w:rsidR="00B71A20" w:rsidRPr="000625F6" w:rsidRDefault="0093676E" w:rsidP="00071350">
      <w:pPr>
        <w:pStyle w:val="Teksttreci0"/>
        <w:spacing w:after="460"/>
        <w:rPr>
          <w:lang w:val="pl-PL"/>
        </w:rPr>
      </w:pPr>
      <w:hyperlink r:id="rId2525" w:history="1">
        <w:r w:rsidR="000425B4">
          <w:rPr>
            <w:i/>
            <w:iCs/>
            <w:color w:val="0072BC"/>
            <w:lang w:val="pl"/>
          </w:rPr>
          <w:t>Nurmagomedov p. Rosji</w:t>
        </w:r>
        <w:r w:rsidR="000425B4">
          <w:rPr>
            <w:lang w:val="pl"/>
          </w:rPr>
          <w:t>,</w:t>
        </w:r>
      </w:hyperlink>
      <w:r w:rsidR="000425B4">
        <w:rPr>
          <w:lang w:val="pl"/>
        </w:rPr>
        <w:t xml:space="preserve"> nr 30138/02, 7 czerwca 2007 r.</w:t>
      </w:r>
    </w:p>
    <w:p w:rsidR="00B71A20" w:rsidRPr="000625F6" w:rsidRDefault="000425B4">
      <w:pPr>
        <w:pStyle w:val="Teksttreci30"/>
        <w:spacing w:after="100"/>
        <w:ind w:left="4080"/>
        <w:jc w:val="left"/>
        <w:rPr>
          <w:lang w:val="pl-PL"/>
        </w:rPr>
      </w:pPr>
      <w:r>
        <w:rPr>
          <w:lang w:val="pl"/>
        </w:rPr>
        <w:t>—O—</w:t>
      </w:r>
    </w:p>
    <w:p w:rsidR="00B71A20" w:rsidRPr="000625F6" w:rsidRDefault="0093676E">
      <w:pPr>
        <w:pStyle w:val="Teksttreci0"/>
        <w:spacing w:after="0"/>
        <w:rPr>
          <w:lang w:val="pl-PL"/>
        </w:rPr>
      </w:pPr>
      <w:hyperlink r:id="rId2526" w:history="1">
        <w:r w:rsidR="000425B4">
          <w:rPr>
            <w:i/>
            <w:iCs/>
            <w:color w:val="0072BC"/>
            <w:lang w:val="pl"/>
          </w:rPr>
          <w:t xml:space="preserve">O’Halloran i Francis p. Wielkiej Brytanii </w:t>
        </w:r>
      </w:hyperlink>
      <w:r w:rsidR="000425B4">
        <w:rPr>
          <w:lang w:val="pl"/>
        </w:rPr>
        <w:t>[WI], nr 15809/02 i 25624/02, ECHR 2007-III</w:t>
      </w:r>
    </w:p>
    <w:p w:rsidR="00B71A20" w:rsidRPr="000625F6" w:rsidRDefault="0093676E">
      <w:pPr>
        <w:pStyle w:val="Teksttreci0"/>
        <w:spacing w:after="0"/>
        <w:rPr>
          <w:lang w:val="pl-PL"/>
        </w:rPr>
      </w:pPr>
      <w:hyperlink r:id="rId2527" w:history="1">
        <w:r w:rsidR="000425B4">
          <w:rPr>
            <w:i/>
            <w:iCs/>
            <w:color w:val="0072BC"/>
            <w:lang w:val="pl"/>
          </w:rPr>
          <w:t xml:space="preserve">O’Keeffe p. Irlandii </w:t>
        </w:r>
      </w:hyperlink>
      <w:r w:rsidR="000425B4">
        <w:rPr>
          <w:lang w:val="pl"/>
        </w:rPr>
        <w:t>[WI], nr 35810/09, ECHR 2014</w:t>
      </w:r>
    </w:p>
    <w:p w:rsidR="00B71A20" w:rsidRPr="000625F6" w:rsidRDefault="0093676E">
      <w:pPr>
        <w:pStyle w:val="Teksttreci0"/>
        <w:spacing w:after="0"/>
        <w:rPr>
          <w:lang w:val="pl-PL"/>
        </w:rPr>
      </w:pPr>
      <w:hyperlink r:id="rId2528" w:history="1">
        <w:r w:rsidR="000425B4">
          <w:rPr>
            <w:i/>
            <w:iCs/>
            <w:color w:val="0072BC"/>
            <w:lang w:val="pl"/>
          </w:rPr>
          <w:t>OAO Neftyanaya Kompaniya Yukos p. Rosji</w:t>
        </w:r>
        <w:r w:rsidR="000425B4">
          <w:rPr>
            <w:lang w:val="pl"/>
          </w:rPr>
          <w:t>,</w:t>
        </w:r>
      </w:hyperlink>
      <w:r w:rsidR="000425B4">
        <w:rPr>
          <w:lang w:val="pl"/>
        </w:rPr>
        <w:t xml:space="preserve"> nr 14902/04, 20 września 2011 r.</w:t>
      </w:r>
    </w:p>
    <w:p w:rsidR="00B71A20" w:rsidRPr="000625F6" w:rsidRDefault="0093676E">
      <w:pPr>
        <w:pStyle w:val="Teksttreci0"/>
        <w:spacing w:after="0"/>
        <w:rPr>
          <w:lang w:val="pl-PL"/>
        </w:rPr>
      </w:pPr>
      <w:hyperlink r:id="rId2529" w:history="1">
        <w:r w:rsidR="000425B4">
          <w:rPr>
            <w:i/>
            <w:iCs/>
            <w:color w:val="0072BC"/>
            <w:lang w:val="pl"/>
          </w:rPr>
          <w:t>Obote p. Rosji</w:t>
        </w:r>
        <w:r w:rsidR="000425B4">
          <w:rPr>
            <w:lang w:val="pl"/>
          </w:rPr>
          <w:t>,</w:t>
        </w:r>
      </w:hyperlink>
      <w:r w:rsidR="000425B4">
        <w:rPr>
          <w:lang w:val="pl"/>
        </w:rPr>
        <w:t xml:space="preserve"> nr 58954/09, 19 listopada 2019 r.</w:t>
      </w:r>
    </w:p>
    <w:p w:rsidR="00B71A20" w:rsidRPr="000625F6" w:rsidRDefault="0093676E">
      <w:pPr>
        <w:pStyle w:val="Teksttreci0"/>
        <w:spacing w:after="0"/>
        <w:rPr>
          <w:lang w:val="pl-PL"/>
        </w:rPr>
      </w:pPr>
      <w:hyperlink r:id="rId2530" w:history="1">
        <w:r w:rsidR="000425B4">
          <w:rPr>
            <w:i/>
            <w:iCs/>
            <w:color w:val="0072BC"/>
            <w:lang w:val="pl"/>
          </w:rPr>
          <w:t xml:space="preserve">Öcalan p. Turcji </w:t>
        </w:r>
      </w:hyperlink>
      <w:r w:rsidR="000425B4">
        <w:rPr>
          <w:lang w:val="pl"/>
        </w:rPr>
        <w:t>[WI], nr 46221/99, ECHR 2005-IV</w:t>
      </w:r>
    </w:p>
    <w:p w:rsidR="00B71A20" w:rsidRPr="000625F6" w:rsidRDefault="0093676E">
      <w:pPr>
        <w:pStyle w:val="Teksttreci0"/>
        <w:spacing w:after="0"/>
        <w:rPr>
          <w:lang w:val="pl-PL"/>
        </w:rPr>
      </w:pPr>
      <w:hyperlink r:id="rId2531" w:history="1">
        <w:r w:rsidR="000425B4">
          <w:rPr>
            <w:i/>
            <w:iCs/>
            <w:color w:val="0072BC"/>
            <w:lang w:val="pl"/>
          </w:rPr>
          <w:t>Oferta Plus SRL p. Mołdawii</w:t>
        </w:r>
        <w:r w:rsidR="000425B4">
          <w:rPr>
            <w:lang w:val="pl"/>
          </w:rPr>
          <w:t>,</w:t>
        </w:r>
      </w:hyperlink>
      <w:r w:rsidR="000425B4">
        <w:rPr>
          <w:lang w:val="pl"/>
        </w:rPr>
        <w:t xml:space="preserve"> nr 14385/04, 19 grudnia 2006 r.</w:t>
      </w:r>
    </w:p>
    <w:p w:rsidR="00B71A20" w:rsidRPr="000625F6" w:rsidRDefault="0093676E">
      <w:pPr>
        <w:pStyle w:val="Teksttreci0"/>
        <w:spacing w:after="0"/>
        <w:rPr>
          <w:lang w:val="pl-PL"/>
        </w:rPr>
      </w:pPr>
      <w:hyperlink r:id="rId2532" w:history="1">
        <w:r w:rsidR="000425B4">
          <w:rPr>
            <w:i/>
            <w:iCs/>
            <w:color w:val="0072BC"/>
            <w:lang w:val="pl"/>
          </w:rPr>
          <w:t>Öğrü i Inni p. Turcji</w:t>
        </w:r>
        <w:r w:rsidR="000425B4">
          <w:rPr>
            <w:lang w:val="pl"/>
          </w:rPr>
          <w:t>,</w:t>
        </w:r>
      </w:hyperlink>
      <w:r w:rsidR="000425B4">
        <w:rPr>
          <w:lang w:val="pl"/>
        </w:rPr>
        <w:t xml:space="preserve"> nr 60087/10 i 2 inne, 19 grudnia 2017 r.</w:t>
      </w:r>
    </w:p>
    <w:p w:rsidR="00B71A20" w:rsidRPr="000625F6" w:rsidRDefault="0093676E">
      <w:pPr>
        <w:pStyle w:val="Teksttreci0"/>
        <w:spacing w:after="0"/>
        <w:rPr>
          <w:lang w:val="pl-PL"/>
        </w:rPr>
      </w:pPr>
      <w:hyperlink r:id="rId2533" w:history="1">
        <w:r w:rsidR="000425B4">
          <w:rPr>
            <w:i/>
            <w:iCs/>
            <w:color w:val="0072BC"/>
            <w:lang w:val="pl"/>
          </w:rPr>
          <w:t xml:space="preserve">Ohlen p. Danii </w:t>
        </w:r>
      </w:hyperlink>
      <w:r w:rsidR="000425B4">
        <w:rPr>
          <w:lang w:val="pl"/>
        </w:rPr>
        <w:t>(skreślenie), nr 63214/00, 24 lutego 2005 r.</w:t>
      </w:r>
    </w:p>
    <w:p w:rsidR="00B71A20" w:rsidRPr="000625F6" w:rsidRDefault="0093676E">
      <w:pPr>
        <w:pStyle w:val="Teksttreci0"/>
        <w:spacing w:after="0"/>
        <w:rPr>
          <w:lang w:val="pl-PL"/>
        </w:rPr>
      </w:pPr>
      <w:hyperlink r:id="rId2534" w:history="1">
        <w:r w:rsidR="000425B4">
          <w:rPr>
            <w:i/>
            <w:iCs/>
            <w:color w:val="0072BC"/>
            <w:lang w:val="pl"/>
          </w:rPr>
          <w:t>Olaechea Cahuas p. Hiszpanii</w:t>
        </w:r>
        <w:r w:rsidR="000425B4">
          <w:rPr>
            <w:lang w:val="pl"/>
          </w:rPr>
          <w:t>,</w:t>
        </w:r>
      </w:hyperlink>
      <w:r w:rsidR="000425B4">
        <w:rPr>
          <w:lang w:val="pl"/>
        </w:rPr>
        <w:t xml:space="preserve"> nr 24668/03, ECHR 2006-X</w:t>
      </w:r>
    </w:p>
    <w:p w:rsidR="00B71A20" w:rsidRPr="000625F6" w:rsidRDefault="0093676E">
      <w:pPr>
        <w:pStyle w:val="Teksttreci0"/>
        <w:spacing w:after="0"/>
        <w:rPr>
          <w:lang w:val="pl-PL"/>
        </w:rPr>
      </w:pPr>
      <w:hyperlink r:id="rId2535" w:history="1">
        <w:r w:rsidR="000425B4">
          <w:rPr>
            <w:i/>
            <w:iCs/>
            <w:color w:val="0072BC"/>
            <w:lang w:val="pl"/>
          </w:rPr>
          <w:t>Olczak p. Polsce (dec.)</w:t>
        </w:r>
        <w:r w:rsidR="000425B4">
          <w:rPr>
            <w:lang w:val="pl"/>
          </w:rPr>
          <w:t>,</w:t>
        </w:r>
      </w:hyperlink>
      <w:r w:rsidR="000425B4">
        <w:rPr>
          <w:lang w:val="pl"/>
        </w:rPr>
        <w:t xml:space="preserve"> nr 30417/96, ECHR 2002</w:t>
      </w:r>
      <w:r w:rsidR="000425B4">
        <w:rPr>
          <w:lang w:val="pl"/>
        </w:rPr>
        <w:noBreakHyphen/>
        <w:t>X (fragmenty)</w:t>
      </w:r>
    </w:p>
    <w:p w:rsidR="00B71A20" w:rsidRPr="000625F6" w:rsidRDefault="0093676E">
      <w:pPr>
        <w:pStyle w:val="Teksttreci0"/>
        <w:spacing w:after="0"/>
        <w:rPr>
          <w:lang w:val="pl-PL"/>
        </w:rPr>
      </w:pPr>
      <w:hyperlink r:id="rId2536" w:history="1">
        <w:r w:rsidR="000425B4">
          <w:rPr>
            <w:i/>
            <w:iCs/>
            <w:color w:val="0072BC"/>
            <w:lang w:val="pl"/>
          </w:rPr>
          <w:t xml:space="preserve">Oleksy p. Polsce </w:t>
        </w:r>
      </w:hyperlink>
      <w:r w:rsidR="000425B4">
        <w:rPr>
          <w:lang w:val="pl"/>
        </w:rPr>
        <w:t>(dec.), nr 1379/06, 16 czerwca 2009 r.</w:t>
      </w:r>
    </w:p>
    <w:p w:rsidR="00B71A20" w:rsidRPr="000625F6" w:rsidRDefault="0093676E">
      <w:pPr>
        <w:pStyle w:val="Teksttreci0"/>
        <w:spacing w:after="0"/>
        <w:rPr>
          <w:lang w:val="pl-PL"/>
        </w:rPr>
      </w:pPr>
      <w:hyperlink r:id="rId2537" w:history="1">
        <w:r w:rsidR="000425B4">
          <w:rPr>
            <w:i/>
            <w:iCs/>
            <w:color w:val="0072BC"/>
            <w:lang w:val="pl"/>
          </w:rPr>
          <w:t>Oliari i Inni p. Włochom</w:t>
        </w:r>
        <w:r w:rsidR="000425B4">
          <w:rPr>
            <w:lang w:val="pl"/>
          </w:rPr>
          <w:t>,</w:t>
        </w:r>
      </w:hyperlink>
      <w:r w:rsidR="000425B4">
        <w:rPr>
          <w:lang w:val="pl"/>
        </w:rPr>
        <w:t xml:space="preserve"> nr 18766/11 i 36030/11, 21 lipca 2015 r.</w:t>
      </w:r>
    </w:p>
    <w:p w:rsidR="00B71A20" w:rsidRPr="000625F6" w:rsidRDefault="0093676E">
      <w:pPr>
        <w:pStyle w:val="Teksttreci0"/>
        <w:spacing w:after="0"/>
        <w:rPr>
          <w:lang w:val="pl-PL"/>
        </w:rPr>
      </w:pPr>
      <w:hyperlink r:id="rId2538" w:history="1">
        <w:r w:rsidR="000425B4">
          <w:rPr>
            <w:i/>
            <w:iCs/>
            <w:color w:val="0072BC"/>
            <w:lang w:val="pl"/>
          </w:rPr>
          <w:t xml:space="preserve">Oliyevskyy p. Ukrainie </w:t>
        </w:r>
      </w:hyperlink>
      <w:r w:rsidR="000425B4">
        <w:rPr>
          <w:lang w:val="pl"/>
        </w:rPr>
        <w:t>(dec.), nr 65117/11, 14 stycznia 2020 r.</w:t>
      </w:r>
    </w:p>
    <w:p w:rsidR="00B71A20" w:rsidRPr="000625F6" w:rsidRDefault="0093676E">
      <w:pPr>
        <w:pStyle w:val="Teksttreci0"/>
        <w:spacing w:after="0"/>
        <w:rPr>
          <w:lang w:val="pl-PL"/>
        </w:rPr>
      </w:pPr>
      <w:hyperlink r:id="rId2539" w:history="1">
        <w:r w:rsidR="000425B4">
          <w:rPr>
            <w:i/>
            <w:iCs/>
            <w:color w:val="0072BC"/>
            <w:lang w:val="pl"/>
          </w:rPr>
          <w:t xml:space="preserve">Olkhovik i Inni p. Rosji </w:t>
        </w:r>
      </w:hyperlink>
      <w:r w:rsidR="000425B4">
        <w:rPr>
          <w:lang w:val="pl"/>
        </w:rPr>
        <w:t>(dec.), nr 11279/17, 76983/17 i 4597/20, 22 lutego 2022 r.</w:t>
      </w:r>
    </w:p>
    <w:p w:rsidR="00B71A20" w:rsidRPr="000625F6" w:rsidRDefault="0093676E">
      <w:pPr>
        <w:pStyle w:val="Teksttreci0"/>
        <w:spacing w:after="0"/>
        <w:rPr>
          <w:lang w:val="pl-PL"/>
        </w:rPr>
      </w:pPr>
      <w:hyperlink r:id="rId2540" w:history="1">
        <w:r w:rsidR="000425B4">
          <w:rPr>
            <w:i/>
            <w:iCs/>
            <w:color w:val="0072BC"/>
            <w:lang w:val="pl"/>
          </w:rPr>
          <w:t xml:space="preserve">Ölmez p. Turcji </w:t>
        </w:r>
      </w:hyperlink>
      <w:r w:rsidR="000425B4">
        <w:rPr>
          <w:lang w:val="pl"/>
        </w:rPr>
        <w:t>(dec.), nr 39464/98, 1 lutego 2005 r.</w:t>
      </w:r>
    </w:p>
    <w:p w:rsidR="00381152" w:rsidRDefault="0093676E" w:rsidP="00381152">
      <w:pPr>
        <w:pStyle w:val="Teksttreci0"/>
        <w:spacing w:after="0" w:line="230" w:lineRule="auto"/>
        <w:rPr>
          <w:lang w:val="pl"/>
        </w:rPr>
      </w:pPr>
      <w:hyperlink r:id="rId2541" w:history="1">
        <w:r w:rsidR="000425B4">
          <w:rPr>
            <w:i/>
            <w:iCs/>
            <w:color w:val="0072BC"/>
            <w:lang w:val="pl"/>
          </w:rPr>
          <w:t>Omkarananda i Divine Light Zentrum p. Szwajcarii</w:t>
        </w:r>
        <w:r w:rsidR="000425B4">
          <w:rPr>
            <w:lang w:val="pl"/>
          </w:rPr>
          <w:t>,</w:t>
        </w:r>
      </w:hyperlink>
      <w:r w:rsidR="000425B4">
        <w:rPr>
          <w:lang w:val="pl"/>
        </w:rPr>
        <w:t xml:space="preserve"> </w:t>
      </w:r>
    </w:p>
    <w:p w:rsidR="00B71A20" w:rsidRPr="000625F6" w:rsidRDefault="000425B4" w:rsidP="00381152">
      <w:pPr>
        <w:pStyle w:val="Teksttreci0"/>
        <w:spacing w:after="0" w:line="230" w:lineRule="auto"/>
        <w:ind w:left="567"/>
        <w:rPr>
          <w:lang w:val="pl"/>
        </w:rPr>
      </w:pPr>
      <w:r>
        <w:rPr>
          <w:lang w:val="pl"/>
        </w:rPr>
        <w:t>nr 8118/77, decyzja Komisji z dnia 19 marca 1981 r., DR 25</w:t>
      </w:r>
    </w:p>
    <w:p w:rsidR="00B71A20" w:rsidRPr="000625F6" w:rsidRDefault="0093676E">
      <w:pPr>
        <w:pStyle w:val="Teksttreci0"/>
        <w:spacing w:after="0"/>
        <w:rPr>
          <w:lang w:val="pl-PL"/>
        </w:rPr>
      </w:pPr>
      <w:hyperlink r:id="rId2542" w:history="1">
        <w:r w:rsidR="000425B4">
          <w:rPr>
            <w:i/>
            <w:iCs/>
            <w:color w:val="0072BC"/>
            <w:lang w:val="pl"/>
          </w:rPr>
          <w:t>Oruk p. Turcji</w:t>
        </w:r>
        <w:r w:rsidR="000425B4">
          <w:rPr>
            <w:lang w:val="pl"/>
          </w:rPr>
          <w:t>,</w:t>
        </w:r>
      </w:hyperlink>
      <w:r w:rsidR="000425B4">
        <w:rPr>
          <w:lang w:val="pl"/>
        </w:rPr>
        <w:t xml:space="preserve"> nr 33647/04, 4 lutego 2014 r.</w:t>
      </w:r>
    </w:p>
    <w:p w:rsidR="00B71A20" w:rsidRPr="000625F6" w:rsidRDefault="0093676E">
      <w:pPr>
        <w:pStyle w:val="Teksttreci0"/>
        <w:spacing w:after="0"/>
        <w:rPr>
          <w:lang w:val="pl-PL"/>
        </w:rPr>
      </w:pPr>
      <w:hyperlink r:id="rId2543" w:history="1">
        <w:r w:rsidR="000425B4">
          <w:rPr>
            <w:i/>
            <w:iCs/>
            <w:color w:val="0072BC"/>
            <w:lang w:val="pl"/>
          </w:rPr>
          <w:t xml:space="preserve">Osmanov i Husseinov p. Bułgarii </w:t>
        </w:r>
      </w:hyperlink>
      <w:r w:rsidR="000425B4">
        <w:rPr>
          <w:lang w:val="pl"/>
        </w:rPr>
        <w:t>(dec.), nr 54178/00 i 59901/00, 4 września 2003 r.</w:t>
      </w:r>
    </w:p>
    <w:p w:rsidR="00B71A20" w:rsidRDefault="0093676E">
      <w:pPr>
        <w:pStyle w:val="Teksttreci0"/>
        <w:spacing w:after="0"/>
      </w:pPr>
      <w:hyperlink r:id="rId2544" w:history="1">
        <w:r w:rsidR="000425B4" w:rsidRPr="000625F6">
          <w:rPr>
            <w:i/>
            <w:iCs/>
            <w:color w:val="0072BC"/>
            <w:lang w:val="en-GB"/>
          </w:rPr>
          <w:t xml:space="preserve">Österreichischer Rundfunk p. Austrii </w:t>
        </w:r>
      </w:hyperlink>
      <w:r w:rsidR="000425B4" w:rsidRPr="000625F6">
        <w:rPr>
          <w:lang w:val="en-GB"/>
        </w:rPr>
        <w:t>(dec.), nr 57597/00, 25 maja 2004 r.</w:t>
      </w:r>
    </w:p>
    <w:p w:rsidR="00B71A20" w:rsidRPr="000625F6" w:rsidRDefault="0093676E">
      <w:pPr>
        <w:pStyle w:val="Teksttreci0"/>
        <w:spacing w:after="460"/>
        <w:rPr>
          <w:lang w:val="pl-PL"/>
        </w:rPr>
      </w:pPr>
      <w:hyperlink r:id="rId2545" w:history="1">
        <w:r w:rsidR="000425B4">
          <w:rPr>
            <w:i/>
            <w:iCs/>
            <w:color w:val="0072BC"/>
            <w:lang w:val="pl"/>
          </w:rPr>
          <w:t xml:space="preserve">Otto p. Niemcom </w:t>
        </w:r>
      </w:hyperlink>
      <w:r w:rsidR="000425B4">
        <w:rPr>
          <w:lang w:val="pl"/>
        </w:rPr>
        <w:t>(dec.), nr 21425/06, 10 listopada 2009 r.</w:t>
      </w:r>
    </w:p>
    <w:p w:rsidR="00B71A20" w:rsidRPr="000625F6" w:rsidRDefault="000425B4">
      <w:pPr>
        <w:pStyle w:val="Teksttreci30"/>
        <w:spacing w:after="100"/>
        <w:ind w:left="4080"/>
        <w:jc w:val="left"/>
        <w:rPr>
          <w:lang w:val="pl-PL"/>
        </w:rPr>
      </w:pPr>
      <w:r>
        <w:rPr>
          <w:lang w:val="pl"/>
        </w:rPr>
        <w:t>—P—</w:t>
      </w:r>
    </w:p>
    <w:p w:rsidR="00B71A20" w:rsidRPr="000625F6" w:rsidRDefault="0093676E">
      <w:pPr>
        <w:pStyle w:val="Teksttreci0"/>
        <w:spacing w:after="0"/>
        <w:rPr>
          <w:lang w:val="pl-PL"/>
        </w:rPr>
      </w:pPr>
      <w:hyperlink r:id="rId2546" w:history="1">
        <w:r w:rsidR="000425B4">
          <w:rPr>
            <w:i/>
            <w:iCs/>
            <w:color w:val="0072BC"/>
            <w:lang w:val="pl"/>
          </w:rPr>
          <w:t xml:space="preserve">P. p. Ukrainie </w:t>
        </w:r>
      </w:hyperlink>
      <w:r w:rsidR="000425B4">
        <w:rPr>
          <w:lang w:val="pl"/>
        </w:rPr>
        <w:t>(dec.), nr 40296/16, 11 czerwca 2019 r.</w:t>
      </w:r>
    </w:p>
    <w:p w:rsidR="00B71A20" w:rsidRDefault="0093676E">
      <w:pPr>
        <w:pStyle w:val="Teksttreci0"/>
        <w:spacing w:after="0"/>
      </w:pPr>
      <w:hyperlink r:id="rId2547" w:history="1">
        <w:r w:rsidR="000425B4" w:rsidRPr="000625F6">
          <w:rPr>
            <w:i/>
            <w:iCs/>
            <w:color w:val="0072BC"/>
            <w:lang w:val="en-GB"/>
          </w:rPr>
          <w:t>Pais Pires de Lima p. Portugalii</w:t>
        </w:r>
        <w:r w:rsidR="000425B4" w:rsidRPr="000625F6">
          <w:rPr>
            <w:lang w:val="en-GB"/>
          </w:rPr>
          <w:t>,</w:t>
        </w:r>
      </w:hyperlink>
      <w:r w:rsidR="000425B4" w:rsidRPr="000625F6">
        <w:rPr>
          <w:lang w:val="en-GB"/>
        </w:rPr>
        <w:t xml:space="preserve"> nr 70465/12, 12 lutego 2019 r.</w:t>
      </w:r>
    </w:p>
    <w:p w:rsidR="00B71A20" w:rsidRPr="000625F6" w:rsidRDefault="0093676E">
      <w:pPr>
        <w:pStyle w:val="Teksttreci0"/>
        <w:spacing w:after="0"/>
        <w:rPr>
          <w:lang w:val="pl-PL"/>
        </w:rPr>
      </w:pPr>
      <w:hyperlink r:id="rId2548" w:history="1">
        <w:r w:rsidR="000425B4">
          <w:rPr>
            <w:i/>
            <w:iCs/>
            <w:color w:val="0072BC"/>
            <w:lang w:val="pl"/>
          </w:rPr>
          <w:t xml:space="preserve">Paksas p. Litwie </w:t>
        </w:r>
      </w:hyperlink>
      <w:r w:rsidR="000425B4">
        <w:rPr>
          <w:lang w:val="pl"/>
        </w:rPr>
        <w:t>[WI], nr 34932/04, ECHR 2011</w:t>
      </w:r>
    </w:p>
    <w:p w:rsidR="00B71A20" w:rsidRPr="000625F6" w:rsidRDefault="0093676E">
      <w:pPr>
        <w:pStyle w:val="Teksttreci0"/>
        <w:spacing w:after="0"/>
        <w:rPr>
          <w:lang w:val="pl-PL"/>
        </w:rPr>
      </w:pPr>
      <w:hyperlink r:id="rId2549" w:history="1">
        <w:r w:rsidR="000425B4">
          <w:rPr>
            <w:i/>
            <w:iCs/>
            <w:color w:val="0072BC"/>
            <w:lang w:val="pl"/>
          </w:rPr>
          <w:t xml:space="preserve">Paladi p. Mołdawii </w:t>
        </w:r>
      </w:hyperlink>
      <w:r w:rsidR="000425B4">
        <w:rPr>
          <w:lang w:val="pl"/>
        </w:rPr>
        <w:t>[WI], nr 39806/05, 10 marca 2009 r.</w:t>
      </w:r>
    </w:p>
    <w:p w:rsidR="00B71A20" w:rsidRPr="000625F6" w:rsidRDefault="0093676E">
      <w:pPr>
        <w:pStyle w:val="Teksttreci0"/>
        <w:spacing w:after="0"/>
        <w:rPr>
          <w:lang w:val="pl-PL"/>
        </w:rPr>
      </w:pPr>
      <w:hyperlink r:id="rId2550" w:history="1">
        <w:r w:rsidR="000425B4">
          <w:rPr>
            <w:i/>
            <w:iCs/>
            <w:color w:val="0072BC"/>
            <w:lang w:val="pl"/>
          </w:rPr>
          <w:t>Palić p. Bośni i Hercegowinie</w:t>
        </w:r>
        <w:r w:rsidR="000425B4">
          <w:rPr>
            <w:lang w:val="pl"/>
          </w:rPr>
          <w:t>,</w:t>
        </w:r>
      </w:hyperlink>
      <w:r w:rsidR="000425B4">
        <w:rPr>
          <w:lang w:val="pl"/>
        </w:rPr>
        <w:t xml:space="preserve"> nr 4704/04, 15 lutego 2011 r.</w:t>
      </w:r>
    </w:p>
    <w:p w:rsidR="00B71A20" w:rsidRPr="000625F6" w:rsidRDefault="0093676E">
      <w:pPr>
        <w:pStyle w:val="Teksttreci0"/>
        <w:spacing w:after="0" w:line="230" w:lineRule="auto"/>
        <w:rPr>
          <w:lang w:val="pl-PL"/>
        </w:rPr>
      </w:pPr>
      <w:hyperlink r:id="rId2551" w:history="1">
        <w:r w:rsidR="000425B4">
          <w:rPr>
            <w:i/>
            <w:iCs/>
            <w:color w:val="0072BC"/>
            <w:lang w:val="pl"/>
          </w:rPr>
          <w:t>Panioglu p. Rumunii</w:t>
        </w:r>
        <w:r w:rsidR="000425B4">
          <w:rPr>
            <w:lang w:val="pl"/>
          </w:rPr>
          <w:t>,</w:t>
        </w:r>
      </w:hyperlink>
      <w:r w:rsidR="000425B4">
        <w:rPr>
          <w:lang w:val="pl"/>
        </w:rPr>
        <w:t xml:space="preserve"> nr 33794/14, 8 grudnia 2020 r.</w:t>
      </w:r>
    </w:p>
    <w:p w:rsidR="00B71A20" w:rsidRPr="000625F6" w:rsidRDefault="0093676E">
      <w:pPr>
        <w:pStyle w:val="Teksttreci0"/>
        <w:spacing w:after="0"/>
        <w:rPr>
          <w:lang w:val="pl-PL"/>
        </w:rPr>
      </w:pPr>
      <w:hyperlink r:id="rId2552" w:history="1">
        <w:r w:rsidR="000425B4">
          <w:rPr>
            <w:i/>
            <w:iCs/>
            <w:color w:val="0072BC"/>
            <w:lang w:val="pl"/>
          </w:rPr>
          <w:t>Papachela i Amazon S.A. p. Grecji</w:t>
        </w:r>
        <w:r w:rsidR="000425B4">
          <w:rPr>
            <w:lang w:val="pl"/>
          </w:rPr>
          <w:t>,</w:t>
        </w:r>
      </w:hyperlink>
      <w:r w:rsidR="000425B4">
        <w:rPr>
          <w:lang w:val="pl"/>
        </w:rPr>
        <w:t xml:space="preserve"> nr 12929/18, 3 grudnia 2020 r.</w:t>
      </w:r>
    </w:p>
    <w:p w:rsidR="00B71A20" w:rsidRDefault="0093676E">
      <w:pPr>
        <w:pStyle w:val="Teksttreci0"/>
        <w:spacing w:after="0"/>
      </w:pPr>
      <w:hyperlink r:id="rId2553" w:history="1">
        <w:r w:rsidR="000425B4" w:rsidRPr="000625F6">
          <w:rPr>
            <w:i/>
            <w:iCs/>
            <w:color w:val="0072BC"/>
            <w:lang w:val="en-GB"/>
          </w:rPr>
          <w:t xml:space="preserve">Papachelas p. Grecji </w:t>
        </w:r>
      </w:hyperlink>
      <w:r w:rsidR="000425B4" w:rsidRPr="000625F6">
        <w:rPr>
          <w:lang w:val="en-GB"/>
        </w:rPr>
        <w:t>[WI], nr 31423/96, ECHR 1999-II</w:t>
      </w:r>
    </w:p>
    <w:p w:rsidR="00B71A20" w:rsidRPr="000625F6" w:rsidRDefault="0093676E">
      <w:pPr>
        <w:pStyle w:val="Teksttreci0"/>
        <w:spacing w:after="0"/>
        <w:rPr>
          <w:lang w:val="pl-PL"/>
        </w:rPr>
      </w:pPr>
      <w:hyperlink r:id="rId2554" w:history="1">
        <w:r w:rsidR="000425B4">
          <w:rPr>
            <w:i/>
            <w:iCs/>
            <w:color w:val="0072BC"/>
            <w:lang w:val="pl"/>
          </w:rPr>
          <w:t>Papamichalopoulos i Inni p. Grecji</w:t>
        </w:r>
        <w:r w:rsidR="000425B4">
          <w:rPr>
            <w:lang w:val="pl"/>
          </w:rPr>
          <w:t>,</w:t>
        </w:r>
      </w:hyperlink>
      <w:r w:rsidR="000425B4">
        <w:rPr>
          <w:lang w:val="pl"/>
        </w:rPr>
        <w:t xml:space="preserve"> 24 czerwca 1993 r., Seria A nr 260-B</w:t>
      </w:r>
    </w:p>
    <w:p w:rsidR="00B71A20" w:rsidRPr="000625F6" w:rsidRDefault="0093676E">
      <w:pPr>
        <w:pStyle w:val="Teksttreci0"/>
        <w:spacing w:after="0"/>
        <w:rPr>
          <w:lang w:val="pl-PL"/>
        </w:rPr>
      </w:pPr>
      <w:hyperlink r:id="rId2555" w:history="1">
        <w:r w:rsidR="000425B4">
          <w:rPr>
            <w:i/>
            <w:iCs/>
            <w:color w:val="0072BC"/>
            <w:lang w:val="pl"/>
          </w:rPr>
          <w:t xml:space="preserve">Paradiso i Campanelli p. Włochom </w:t>
        </w:r>
      </w:hyperlink>
      <w:r w:rsidR="000425B4">
        <w:rPr>
          <w:lang w:val="pl"/>
        </w:rPr>
        <w:t>[WI], nr 25358/12, 24 stycznia 2017 r.</w:t>
      </w:r>
    </w:p>
    <w:p w:rsidR="00B71A20" w:rsidRPr="000625F6" w:rsidRDefault="0093676E">
      <w:pPr>
        <w:pStyle w:val="Teksttreci0"/>
        <w:spacing w:after="0"/>
        <w:rPr>
          <w:lang w:val="pl-PL"/>
        </w:rPr>
      </w:pPr>
      <w:hyperlink r:id="rId2556" w:history="1">
        <w:r w:rsidR="000425B4">
          <w:rPr>
            <w:i/>
            <w:iCs/>
            <w:color w:val="0072BC"/>
            <w:lang w:val="pl"/>
          </w:rPr>
          <w:t>Parizov p. Byłej Jugosłowiańskiej Republice Macedonii</w:t>
        </w:r>
        <w:r w:rsidR="000425B4">
          <w:rPr>
            <w:lang w:val="pl"/>
          </w:rPr>
          <w:t>,</w:t>
        </w:r>
      </w:hyperlink>
      <w:r w:rsidR="000425B4">
        <w:rPr>
          <w:lang w:val="pl"/>
        </w:rPr>
        <w:t xml:space="preserve"> nr 14258/03, 7 lutego 2008 r.</w:t>
      </w:r>
    </w:p>
    <w:p w:rsidR="00B71A20" w:rsidRPr="000625F6" w:rsidRDefault="0093676E">
      <w:pPr>
        <w:pStyle w:val="Teksttreci0"/>
        <w:spacing w:after="0"/>
        <w:rPr>
          <w:lang w:val="pl-PL"/>
        </w:rPr>
      </w:pPr>
      <w:hyperlink r:id="rId2557" w:history="1">
        <w:r w:rsidR="000425B4">
          <w:rPr>
            <w:i/>
            <w:iCs/>
            <w:color w:val="0072BC"/>
            <w:lang w:val="pl"/>
          </w:rPr>
          <w:t xml:space="preserve">Parrillo p. Włochom </w:t>
        </w:r>
      </w:hyperlink>
      <w:r w:rsidR="000425B4">
        <w:rPr>
          <w:lang w:val="pl"/>
        </w:rPr>
        <w:t>[WI], nr 46470/11, ECHR 2015</w:t>
      </w:r>
    </w:p>
    <w:p w:rsidR="00B71A20" w:rsidRPr="000625F6" w:rsidRDefault="0093676E">
      <w:pPr>
        <w:pStyle w:val="Teksttreci0"/>
        <w:spacing w:after="0"/>
        <w:rPr>
          <w:lang w:val="pl-PL"/>
        </w:rPr>
      </w:pPr>
      <w:hyperlink r:id="rId2558" w:history="1">
        <w:r w:rsidR="000425B4">
          <w:rPr>
            <w:i/>
            <w:iCs/>
            <w:color w:val="0072BC"/>
            <w:lang w:val="pl"/>
          </w:rPr>
          <w:t>Paşa i Erkan Erol p. Turcji</w:t>
        </w:r>
        <w:r w:rsidR="000425B4">
          <w:rPr>
            <w:lang w:val="pl"/>
          </w:rPr>
          <w:t>,</w:t>
        </w:r>
      </w:hyperlink>
      <w:r w:rsidR="000425B4">
        <w:rPr>
          <w:lang w:val="pl"/>
        </w:rPr>
        <w:t xml:space="preserve"> nr 51358/99, 12 grudnia 2006 r.</w:t>
      </w:r>
    </w:p>
    <w:p w:rsidR="00B71A20" w:rsidRPr="000625F6" w:rsidRDefault="0093676E">
      <w:pPr>
        <w:pStyle w:val="Teksttreci0"/>
        <w:spacing w:after="0"/>
        <w:rPr>
          <w:lang w:val="pl-PL"/>
        </w:rPr>
      </w:pPr>
      <w:hyperlink r:id="rId2559" w:history="1">
        <w:r w:rsidR="000425B4">
          <w:rPr>
            <w:i/>
            <w:iCs/>
            <w:color w:val="0072BC"/>
            <w:lang w:val="pl"/>
          </w:rPr>
          <w:t xml:space="preserve">Patera p. Czechom </w:t>
        </w:r>
      </w:hyperlink>
      <w:r w:rsidR="000425B4">
        <w:rPr>
          <w:lang w:val="pl"/>
        </w:rPr>
        <w:t>(dec.), nr 25326/03, 10 stycznia 2006 r.</w:t>
      </w:r>
    </w:p>
    <w:p w:rsidR="00B71A20" w:rsidRPr="000625F6" w:rsidRDefault="0093676E">
      <w:pPr>
        <w:pStyle w:val="Teksttreci0"/>
        <w:spacing w:after="0"/>
        <w:rPr>
          <w:lang w:val="pl-PL"/>
        </w:rPr>
      </w:pPr>
      <w:hyperlink r:id="rId2560" w:history="1">
        <w:r w:rsidR="000425B4">
          <w:rPr>
            <w:i/>
            <w:iCs/>
            <w:color w:val="0072BC"/>
            <w:lang w:val="pl"/>
          </w:rPr>
          <w:t>Pauger p. Austrii</w:t>
        </w:r>
        <w:r w:rsidR="000425B4">
          <w:rPr>
            <w:lang w:val="pl"/>
          </w:rPr>
          <w:t>,</w:t>
        </w:r>
      </w:hyperlink>
      <w:r w:rsidR="000425B4">
        <w:rPr>
          <w:lang w:val="pl"/>
        </w:rPr>
        <w:t xml:space="preserve"> nr 24872/94, decyzja Komisji z dnia 9 stycznia 1995 r.</w:t>
      </w:r>
    </w:p>
    <w:p w:rsidR="00B71A20" w:rsidRPr="000625F6" w:rsidRDefault="0093676E">
      <w:pPr>
        <w:pStyle w:val="Teksttreci0"/>
        <w:spacing w:after="0"/>
        <w:rPr>
          <w:lang w:val="pl-PL"/>
        </w:rPr>
      </w:pPr>
      <w:hyperlink r:id="rId2561" w:history="1">
        <w:r w:rsidR="000425B4">
          <w:rPr>
            <w:i/>
            <w:iCs/>
            <w:color w:val="0072BC"/>
            <w:lang w:val="pl"/>
          </w:rPr>
          <w:t xml:space="preserve">Paul i Audrey Edwards p. Wielkiej Brytanii </w:t>
        </w:r>
      </w:hyperlink>
      <w:r w:rsidR="000425B4">
        <w:rPr>
          <w:lang w:val="pl"/>
        </w:rPr>
        <w:t>(dec.), nr 46477/99, 7 czerwca 2001 r.</w:t>
      </w:r>
    </w:p>
    <w:p w:rsidR="00B71A20" w:rsidRPr="000625F6" w:rsidRDefault="0093676E">
      <w:pPr>
        <w:pStyle w:val="Teksttreci0"/>
        <w:spacing w:after="0"/>
        <w:rPr>
          <w:lang w:val="pl-PL"/>
        </w:rPr>
      </w:pPr>
      <w:hyperlink r:id="rId2562" w:history="1">
        <w:r w:rsidR="000425B4">
          <w:rPr>
            <w:i/>
            <w:iCs/>
            <w:color w:val="0072BC"/>
            <w:lang w:val="pl"/>
          </w:rPr>
          <w:t xml:space="preserve">Paulino Tomás p. Portugalii </w:t>
        </w:r>
      </w:hyperlink>
      <w:r w:rsidR="000425B4">
        <w:rPr>
          <w:lang w:val="pl"/>
        </w:rPr>
        <w:t>(dec.), nr 58698/00, ECHR 2003-VIII</w:t>
      </w:r>
    </w:p>
    <w:p w:rsidR="00B71A20" w:rsidRPr="000625F6" w:rsidRDefault="0093676E">
      <w:pPr>
        <w:pStyle w:val="Teksttreci0"/>
        <w:spacing w:after="0"/>
        <w:rPr>
          <w:lang w:val="pl-PL"/>
        </w:rPr>
      </w:pPr>
      <w:hyperlink r:id="rId2563" w:history="1">
        <w:r w:rsidR="000425B4">
          <w:rPr>
            <w:i/>
            <w:iCs/>
            <w:color w:val="0072BC"/>
            <w:lang w:val="pl"/>
          </w:rPr>
          <w:t xml:space="preserve">Peacock p. Wielkiej Brytanii </w:t>
        </w:r>
      </w:hyperlink>
      <w:r w:rsidR="000425B4">
        <w:rPr>
          <w:lang w:val="pl"/>
        </w:rPr>
        <w:t>(dec.), nr 52335/12, 5 stycznia 2016 r.</w:t>
      </w:r>
    </w:p>
    <w:p w:rsidR="00B71A20" w:rsidRPr="000625F6" w:rsidRDefault="0093676E">
      <w:pPr>
        <w:pStyle w:val="Teksttreci0"/>
        <w:spacing w:after="0"/>
        <w:rPr>
          <w:lang w:val="pl-PL"/>
        </w:rPr>
      </w:pPr>
      <w:hyperlink r:id="rId2564" w:history="1">
        <w:r w:rsidR="000425B4">
          <w:rPr>
            <w:i/>
            <w:iCs/>
            <w:color w:val="0072BC"/>
            <w:lang w:val="pl"/>
          </w:rPr>
          <w:t>Pedersen i Inni p. Norwegii</w:t>
        </w:r>
        <w:r w:rsidR="000425B4">
          <w:rPr>
            <w:lang w:val="pl"/>
          </w:rPr>
          <w:t>,</w:t>
        </w:r>
      </w:hyperlink>
      <w:r w:rsidR="000425B4">
        <w:rPr>
          <w:lang w:val="pl"/>
        </w:rPr>
        <w:t xml:space="preserve"> nr 39710/15, 10 marca 2020 r.</w:t>
      </w:r>
    </w:p>
    <w:p w:rsidR="00B71A20" w:rsidRDefault="0093676E">
      <w:pPr>
        <w:pStyle w:val="Teksttreci0"/>
        <w:spacing w:after="0"/>
      </w:pPr>
      <w:hyperlink r:id="rId2565" w:history="1">
        <w:r w:rsidR="000425B4" w:rsidRPr="000625F6">
          <w:rPr>
            <w:i/>
            <w:iCs/>
            <w:color w:val="0072BC"/>
            <w:lang w:val="en-GB"/>
          </w:rPr>
          <w:t>Peers p. Grecji</w:t>
        </w:r>
        <w:r w:rsidR="000425B4" w:rsidRPr="000625F6">
          <w:rPr>
            <w:lang w:val="en-GB"/>
          </w:rPr>
          <w:t>,</w:t>
        </w:r>
      </w:hyperlink>
      <w:r w:rsidR="000425B4" w:rsidRPr="000625F6">
        <w:rPr>
          <w:lang w:val="en-GB"/>
        </w:rPr>
        <w:t xml:space="preserve"> nr 28524/95, ECHR 2001-III</w:t>
      </w:r>
    </w:p>
    <w:p w:rsidR="00B71A20" w:rsidRPr="000625F6" w:rsidRDefault="0093676E">
      <w:pPr>
        <w:pStyle w:val="Teksttreci0"/>
        <w:spacing w:after="0"/>
        <w:rPr>
          <w:lang w:val="pl-PL"/>
        </w:rPr>
      </w:pPr>
      <w:hyperlink r:id="rId2566" w:history="1">
        <w:r w:rsidR="000425B4">
          <w:rPr>
            <w:i/>
            <w:iCs/>
            <w:color w:val="0072BC"/>
            <w:lang w:val="pl"/>
          </w:rPr>
          <w:t xml:space="preserve">Pellegriti p. Włochom </w:t>
        </w:r>
      </w:hyperlink>
      <w:r w:rsidR="000425B4">
        <w:rPr>
          <w:lang w:val="pl"/>
        </w:rPr>
        <w:t>(dec.), nr 77363/01, 26 maja 2005 r.</w:t>
      </w:r>
    </w:p>
    <w:p w:rsidR="00B71A20" w:rsidRPr="000625F6" w:rsidRDefault="0093676E">
      <w:pPr>
        <w:pStyle w:val="Teksttreci0"/>
        <w:spacing w:after="0"/>
        <w:rPr>
          <w:lang w:val="pl-PL"/>
        </w:rPr>
      </w:pPr>
      <w:hyperlink r:id="rId2567" w:history="1">
        <w:r w:rsidR="000425B4">
          <w:rPr>
            <w:i/>
            <w:iCs/>
            <w:color w:val="0072BC"/>
            <w:lang w:val="pl"/>
          </w:rPr>
          <w:t xml:space="preserve">Peñafiel Salgado p. Hiszpanii </w:t>
        </w:r>
      </w:hyperlink>
      <w:r w:rsidR="000425B4">
        <w:rPr>
          <w:lang w:val="pl"/>
        </w:rPr>
        <w:t>(dec.), nr 65964/01, 16 kwietnia 2002 r.</w:t>
      </w:r>
    </w:p>
    <w:p w:rsidR="00B71A20" w:rsidRPr="000625F6" w:rsidRDefault="0093676E">
      <w:pPr>
        <w:pStyle w:val="Teksttreci0"/>
        <w:spacing w:after="0"/>
        <w:rPr>
          <w:lang w:val="pl-PL"/>
        </w:rPr>
      </w:pPr>
      <w:hyperlink r:id="rId2568" w:history="1">
        <w:r w:rsidR="000425B4">
          <w:rPr>
            <w:i/>
            <w:iCs/>
            <w:color w:val="0072BC"/>
            <w:lang w:val="pl"/>
          </w:rPr>
          <w:t xml:space="preserve">Pentagiotis p. Grecji </w:t>
        </w:r>
      </w:hyperlink>
      <w:r w:rsidR="000425B4">
        <w:rPr>
          <w:lang w:val="pl"/>
        </w:rPr>
        <w:t>(dec.), nr 14582/09, 10 maja 2011 r.</w:t>
      </w:r>
    </w:p>
    <w:p w:rsidR="00B71A20" w:rsidRPr="000625F6" w:rsidRDefault="0093676E">
      <w:pPr>
        <w:pStyle w:val="Teksttreci0"/>
        <w:spacing w:after="0"/>
        <w:rPr>
          <w:lang w:val="pl-PL"/>
        </w:rPr>
      </w:pPr>
      <w:hyperlink r:id="rId2569" w:history="1">
        <w:r w:rsidR="000425B4">
          <w:rPr>
            <w:i/>
            <w:iCs/>
            <w:color w:val="0072BC"/>
            <w:lang w:val="pl"/>
          </w:rPr>
          <w:t xml:space="preserve">Peraldi p. Francji </w:t>
        </w:r>
      </w:hyperlink>
      <w:r w:rsidR="000425B4">
        <w:rPr>
          <w:lang w:val="pl"/>
        </w:rPr>
        <w:t>(dec.), nr 2096/05, 7 kwietnia 2009 r.</w:t>
      </w:r>
    </w:p>
    <w:p w:rsidR="00B71A20" w:rsidRPr="000625F6" w:rsidRDefault="0093676E" w:rsidP="002E0B1F">
      <w:pPr>
        <w:pStyle w:val="Teksttreci0"/>
        <w:spacing w:after="0"/>
        <w:rPr>
          <w:lang w:val="pl-PL"/>
        </w:rPr>
      </w:pPr>
      <w:hyperlink r:id="rId2570" w:history="1">
        <w:r w:rsidR="000425B4">
          <w:rPr>
            <w:i/>
            <w:iCs/>
            <w:color w:val="0072BC"/>
            <w:lang w:val="pl"/>
          </w:rPr>
          <w:t>Perlala p. Grecji</w:t>
        </w:r>
        <w:r w:rsidR="000425B4">
          <w:rPr>
            <w:lang w:val="pl"/>
          </w:rPr>
          <w:t>,</w:t>
        </w:r>
      </w:hyperlink>
      <w:r w:rsidR="000425B4">
        <w:rPr>
          <w:lang w:val="pl"/>
        </w:rPr>
        <w:t xml:space="preserve"> nr 17721/04, 22 lutego 2007 r.</w:t>
      </w:r>
    </w:p>
    <w:p w:rsidR="00B71A20" w:rsidRPr="000625F6" w:rsidRDefault="0093676E">
      <w:pPr>
        <w:pStyle w:val="Teksttreci0"/>
        <w:spacing w:after="0"/>
        <w:rPr>
          <w:lang w:val="pl-PL"/>
        </w:rPr>
      </w:pPr>
      <w:hyperlink r:id="rId2571" w:history="1">
        <w:r w:rsidR="000425B4">
          <w:rPr>
            <w:i/>
            <w:iCs/>
            <w:color w:val="0072BC"/>
            <w:lang w:val="pl"/>
          </w:rPr>
          <w:t xml:space="preserve">Petithory Lanzmann p. Francji </w:t>
        </w:r>
      </w:hyperlink>
      <w:r w:rsidR="000425B4">
        <w:rPr>
          <w:lang w:val="pl"/>
        </w:rPr>
        <w:t>(dec.), nr 23038/19, 12 listopada 2019 r.</w:t>
      </w:r>
    </w:p>
    <w:p w:rsidR="00B71A20" w:rsidRPr="000625F6" w:rsidRDefault="0093676E">
      <w:pPr>
        <w:pStyle w:val="Teksttreci0"/>
        <w:spacing w:after="0"/>
        <w:rPr>
          <w:lang w:val="pl-PL"/>
        </w:rPr>
      </w:pPr>
      <w:hyperlink r:id="rId2572" w:history="1">
        <w:r w:rsidR="000425B4">
          <w:rPr>
            <w:i/>
            <w:iCs/>
            <w:color w:val="0072BC"/>
            <w:lang w:val="pl"/>
          </w:rPr>
          <w:t>Petra p. Rumunii</w:t>
        </w:r>
        <w:r w:rsidR="000425B4">
          <w:rPr>
            <w:lang w:val="pl"/>
          </w:rPr>
          <w:t>,</w:t>
        </w:r>
      </w:hyperlink>
      <w:r w:rsidR="000425B4">
        <w:rPr>
          <w:lang w:val="pl"/>
        </w:rPr>
        <w:t xml:space="preserve"> 23 września 1998 r., </w:t>
      </w:r>
      <w:r w:rsidR="000425B4">
        <w:rPr>
          <w:i/>
          <w:iCs/>
          <w:lang w:val="pl"/>
        </w:rPr>
        <w:t xml:space="preserve">Raporty </w:t>
      </w:r>
      <w:r w:rsidR="000425B4">
        <w:rPr>
          <w:lang w:val="pl"/>
        </w:rPr>
        <w:t>1998-VII</w:t>
      </w:r>
    </w:p>
    <w:p w:rsidR="00B71A20" w:rsidRPr="000625F6" w:rsidRDefault="0093676E">
      <w:pPr>
        <w:pStyle w:val="Teksttreci0"/>
        <w:spacing w:after="0"/>
        <w:rPr>
          <w:lang w:val="pl-PL"/>
        </w:rPr>
      </w:pPr>
      <w:hyperlink r:id="rId2573" w:history="1">
        <w:r w:rsidR="000425B4">
          <w:rPr>
            <w:i/>
            <w:iCs/>
            <w:color w:val="0072BC"/>
            <w:lang w:val="pl"/>
          </w:rPr>
          <w:t>Petrescu p. Portugalii</w:t>
        </w:r>
        <w:r w:rsidR="000425B4">
          <w:rPr>
            <w:lang w:val="pl"/>
          </w:rPr>
          <w:t>,</w:t>
        </w:r>
      </w:hyperlink>
      <w:r w:rsidR="000425B4">
        <w:rPr>
          <w:lang w:val="pl"/>
        </w:rPr>
        <w:t xml:space="preserve"> nr 23190/17, 3 grudnia 2019 r.</w:t>
      </w:r>
    </w:p>
    <w:p w:rsidR="00B71A20" w:rsidRPr="000625F6" w:rsidRDefault="0093676E">
      <w:pPr>
        <w:pStyle w:val="Teksttreci0"/>
        <w:spacing w:after="0"/>
        <w:rPr>
          <w:lang w:val="pl-PL"/>
        </w:rPr>
      </w:pPr>
      <w:hyperlink r:id="rId2574" w:history="1">
        <w:r w:rsidR="000425B4">
          <w:rPr>
            <w:i/>
            <w:iCs/>
            <w:color w:val="0072BC"/>
            <w:lang w:val="pl"/>
          </w:rPr>
          <w:t xml:space="preserve">Petroiu p. Rumunii </w:t>
        </w:r>
      </w:hyperlink>
      <w:r w:rsidR="000425B4">
        <w:rPr>
          <w:lang w:val="pl"/>
        </w:rPr>
        <w:t>(rewizja), nr 33055/09, 7 lutego 2017 r.</w:t>
      </w:r>
    </w:p>
    <w:p w:rsidR="00B71A20" w:rsidRPr="000625F6" w:rsidRDefault="0093676E">
      <w:pPr>
        <w:pStyle w:val="Teksttreci0"/>
        <w:spacing w:after="0" w:line="230" w:lineRule="auto"/>
        <w:rPr>
          <w:lang w:val="pl-PL"/>
        </w:rPr>
      </w:pPr>
      <w:hyperlink r:id="rId2575" w:history="1">
        <w:r w:rsidR="000425B4">
          <w:rPr>
            <w:i/>
            <w:iCs/>
            <w:color w:val="0072BC"/>
            <w:lang w:val="pl"/>
          </w:rPr>
          <w:t>Petropavlovskis p. Łotwie</w:t>
        </w:r>
        <w:r w:rsidR="000425B4">
          <w:rPr>
            <w:lang w:val="pl"/>
          </w:rPr>
          <w:t>,</w:t>
        </w:r>
      </w:hyperlink>
      <w:r w:rsidR="000425B4">
        <w:rPr>
          <w:lang w:val="pl"/>
        </w:rPr>
        <w:t xml:space="preserve"> nr 44230/06, ECHR 2015</w:t>
      </w:r>
    </w:p>
    <w:p w:rsidR="00B71A20" w:rsidRPr="000625F6" w:rsidRDefault="0093676E">
      <w:pPr>
        <w:pStyle w:val="Teksttreci0"/>
        <w:spacing w:after="0"/>
        <w:rPr>
          <w:lang w:val="pl-PL"/>
        </w:rPr>
      </w:pPr>
      <w:hyperlink r:id="rId2576" w:history="1">
        <w:r w:rsidR="000425B4">
          <w:rPr>
            <w:i/>
            <w:iCs/>
            <w:color w:val="0072BC"/>
            <w:lang w:val="pl"/>
          </w:rPr>
          <w:t>Petrova p. Łotwie</w:t>
        </w:r>
        <w:r w:rsidR="000425B4">
          <w:rPr>
            <w:lang w:val="pl"/>
          </w:rPr>
          <w:t>,</w:t>
        </w:r>
      </w:hyperlink>
      <w:r w:rsidR="000425B4">
        <w:rPr>
          <w:lang w:val="pl"/>
        </w:rPr>
        <w:t xml:space="preserve"> nr 4605/05, 24 czerwca 2014 r.</w:t>
      </w:r>
    </w:p>
    <w:p w:rsidR="00B71A20" w:rsidRPr="000625F6" w:rsidRDefault="0093676E">
      <w:pPr>
        <w:pStyle w:val="Teksttreci0"/>
        <w:spacing w:after="0"/>
        <w:rPr>
          <w:lang w:val="pl-PL"/>
        </w:rPr>
      </w:pPr>
      <w:hyperlink r:id="rId2577" w:history="1">
        <w:r w:rsidR="000425B4">
          <w:rPr>
            <w:i/>
            <w:iCs/>
            <w:color w:val="0072BC"/>
            <w:lang w:val="pl"/>
          </w:rPr>
          <w:t>Petrović p. Serbii</w:t>
        </w:r>
        <w:r w:rsidR="000425B4">
          <w:rPr>
            <w:lang w:val="pl"/>
          </w:rPr>
          <w:t>,</w:t>
        </w:r>
      </w:hyperlink>
      <w:r w:rsidR="000425B4">
        <w:rPr>
          <w:lang w:val="pl"/>
        </w:rPr>
        <w:t xml:space="preserve"> nr 40485/08, 15 lipca 2014 r.</w:t>
      </w:r>
    </w:p>
    <w:p w:rsidR="00B71A20" w:rsidRPr="000625F6" w:rsidRDefault="0093676E">
      <w:pPr>
        <w:pStyle w:val="Teksttreci0"/>
        <w:spacing w:after="0"/>
        <w:rPr>
          <w:lang w:val="pl-PL"/>
        </w:rPr>
      </w:pPr>
      <w:hyperlink r:id="rId2578" w:history="1">
        <w:r w:rsidR="000425B4">
          <w:rPr>
            <w:i/>
            <w:iCs/>
            <w:color w:val="0072BC"/>
            <w:lang w:val="pl"/>
          </w:rPr>
          <w:t>Philis p. Grecji</w:t>
        </w:r>
        <w:r w:rsidR="000425B4">
          <w:rPr>
            <w:lang w:val="pl"/>
          </w:rPr>
          <w:t>,</w:t>
        </w:r>
      </w:hyperlink>
      <w:r w:rsidR="000425B4">
        <w:rPr>
          <w:lang w:val="pl"/>
        </w:rPr>
        <w:t xml:space="preserve"> nr 28970/95, decyzja Komisji z dnia 17 października 1996 r.</w:t>
      </w:r>
    </w:p>
    <w:p w:rsidR="00B71A20" w:rsidRPr="000625F6" w:rsidRDefault="0093676E">
      <w:pPr>
        <w:pStyle w:val="Teksttreci0"/>
        <w:spacing w:after="0"/>
        <w:rPr>
          <w:lang w:val="pl-PL"/>
        </w:rPr>
      </w:pPr>
      <w:hyperlink r:id="rId2579" w:history="1">
        <w:r w:rsidR="000425B4">
          <w:rPr>
            <w:i/>
            <w:iCs/>
            <w:color w:val="0072BC"/>
            <w:lang w:val="pl"/>
          </w:rPr>
          <w:t>Piętka p. Polsce</w:t>
        </w:r>
        <w:r w:rsidR="000425B4">
          <w:rPr>
            <w:lang w:val="pl"/>
          </w:rPr>
          <w:t>,</w:t>
        </w:r>
      </w:hyperlink>
      <w:r w:rsidR="000425B4">
        <w:rPr>
          <w:lang w:val="pl"/>
        </w:rPr>
        <w:t xml:space="preserve"> nr 34216/07, 16 października 2012 r.</w:t>
      </w:r>
    </w:p>
    <w:p w:rsidR="00B71A20" w:rsidRPr="000625F6" w:rsidRDefault="0093676E">
      <w:pPr>
        <w:pStyle w:val="Teksttreci0"/>
        <w:spacing w:after="0"/>
        <w:rPr>
          <w:lang w:val="pl-PL"/>
        </w:rPr>
      </w:pPr>
      <w:hyperlink r:id="rId2580" w:history="1">
        <w:r w:rsidR="000425B4">
          <w:rPr>
            <w:i/>
            <w:iCs/>
            <w:color w:val="0072BC"/>
            <w:lang w:val="pl"/>
          </w:rPr>
          <w:t xml:space="preserve">Platini p. Szwajcarii </w:t>
        </w:r>
      </w:hyperlink>
      <w:r w:rsidR="000425B4">
        <w:rPr>
          <w:lang w:val="pl"/>
        </w:rPr>
        <w:t>(dec.), nr 526/18, 11 lutego 2020 r.</w:t>
      </w:r>
    </w:p>
    <w:p w:rsidR="00B71A20" w:rsidRPr="000625F6" w:rsidRDefault="0093676E">
      <w:pPr>
        <w:pStyle w:val="Teksttreci0"/>
        <w:spacing w:after="0"/>
        <w:rPr>
          <w:lang w:val="pl-PL"/>
        </w:rPr>
      </w:pPr>
      <w:hyperlink r:id="rId2581" w:history="1">
        <w:r w:rsidR="000425B4">
          <w:rPr>
            <w:i/>
            <w:iCs/>
            <w:color w:val="0072BC"/>
            <w:lang w:val="pl"/>
          </w:rPr>
          <w:t xml:space="preserve">Pisano p. Włochom </w:t>
        </w:r>
      </w:hyperlink>
      <w:r w:rsidR="000425B4">
        <w:rPr>
          <w:lang w:val="pl"/>
        </w:rPr>
        <w:t>(skreślenie) [WI], nr 36732/97, 24 października 2002 r.</w:t>
      </w:r>
    </w:p>
    <w:p w:rsidR="00B71A20" w:rsidRPr="000625F6" w:rsidRDefault="0093676E">
      <w:pPr>
        <w:pStyle w:val="Teksttreci0"/>
        <w:spacing w:after="0"/>
        <w:rPr>
          <w:lang w:val="pl-PL"/>
        </w:rPr>
      </w:pPr>
      <w:hyperlink r:id="rId2582" w:history="1">
        <w:r w:rsidR="000425B4">
          <w:rPr>
            <w:i/>
            <w:iCs/>
            <w:color w:val="0072BC"/>
            <w:lang w:val="pl"/>
          </w:rPr>
          <w:t>Pitsayeva i Inni p. Rosji</w:t>
        </w:r>
        <w:r w:rsidR="000425B4">
          <w:rPr>
            <w:lang w:val="pl"/>
          </w:rPr>
          <w:t>,</w:t>
        </w:r>
      </w:hyperlink>
      <w:r w:rsidR="000425B4">
        <w:rPr>
          <w:lang w:val="pl"/>
        </w:rPr>
        <w:t xml:space="preserve"> nr 53036/08 i 19 innych, 9 stycznia 2014 r.</w:t>
      </w:r>
    </w:p>
    <w:p w:rsidR="00B71A20" w:rsidRPr="000625F6" w:rsidRDefault="0093676E">
      <w:pPr>
        <w:pStyle w:val="Teksttreci0"/>
        <w:spacing w:after="0"/>
        <w:rPr>
          <w:lang w:val="pl-PL"/>
        </w:rPr>
      </w:pPr>
      <w:hyperlink r:id="rId2583" w:history="1">
        <w:r w:rsidR="000425B4">
          <w:rPr>
            <w:i/>
            <w:iCs/>
            <w:color w:val="0072BC"/>
            <w:lang w:val="pl"/>
          </w:rPr>
          <w:t xml:space="preserve">POA i Inni p. Wielkiej Brytanii </w:t>
        </w:r>
      </w:hyperlink>
      <w:r w:rsidR="000425B4">
        <w:rPr>
          <w:lang w:val="pl"/>
        </w:rPr>
        <w:t>(dec.), nr 59253/11, 21 maja 2013 r.</w:t>
      </w:r>
    </w:p>
    <w:p w:rsidR="00B71A20" w:rsidRPr="000625F6" w:rsidRDefault="0093676E">
      <w:pPr>
        <w:pStyle w:val="Teksttreci0"/>
        <w:spacing w:after="0"/>
        <w:rPr>
          <w:lang w:val="pl-PL"/>
        </w:rPr>
      </w:pPr>
      <w:hyperlink r:id="rId2584" w:history="1">
        <w:r w:rsidR="000425B4">
          <w:rPr>
            <w:i/>
            <w:iCs/>
            <w:color w:val="0072BC"/>
            <w:lang w:val="pl"/>
          </w:rPr>
          <w:t>Pocasovschi i Mihaila p. Republice Mołdawii i Rosji</w:t>
        </w:r>
        <w:r w:rsidR="000425B4">
          <w:rPr>
            <w:lang w:val="pl"/>
          </w:rPr>
          <w:t>,</w:t>
        </w:r>
      </w:hyperlink>
      <w:r w:rsidR="000425B4">
        <w:rPr>
          <w:lang w:val="pl"/>
        </w:rPr>
        <w:t xml:space="preserve"> nr 1089/09, 29 maja 2018 r.</w:t>
      </w:r>
    </w:p>
    <w:p w:rsidR="00B71A20" w:rsidRPr="000625F6" w:rsidRDefault="0093676E">
      <w:pPr>
        <w:pStyle w:val="Teksttreci0"/>
        <w:spacing w:after="0"/>
        <w:rPr>
          <w:lang w:val="pl-PL"/>
        </w:rPr>
      </w:pPr>
      <w:hyperlink r:id="rId2585" w:history="1">
        <w:r w:rsidR="000425B4">
          <w:rPr>
            <w:i/>
            <w:iCs/>
            <w:color w:val="0072BC"/>
            <w:lang w:val="pl"/>
          </w:rPr>
          <w:t>Podeschi p. San Marino</w:t>
        </w:r>
        <w:r w:rsidR="000425B4">
          <w:rPr>
            <w:lang w:val="pl"/>
          </w:rPr>
          <w:t>,</w:t>
        </w:r>
      </w:hyperlink>
      <w:r w:rsidR="000425B4">
        <w:rPr>
          <w:lang w:val="pl"/>
        </w:rPr>
        <w:t xml:space="preserve"> nr 66357/14, 13 kwietnia 2017 r.</w:t>
      </w:r>
    </w:p>
    <w:p w:rsidR="00B71A20" w:rsidRPr="000625F6" w:rsidRDefault="0093676E">
      <w:pPr>
        <w:pStyle w:val="Teksttreci0"/>
        <w:spacing w:after="0"/>
        <w:rPr>
          <w:lang w:val="pl-PL"/>
        </w:rPr>
      </w:pPr>
      <w:hyperlink r:id="rId2586" w:history="1">
        <w:r w:rsidR="000425B4">
          <w:rPr>
            <w:i/>
            <w:iCs/>
            <w:color w:val="0072BC"/>
            <w:lang w:val="pl"/>
          </w:rPr>
          <w:t>Polanco Torres i Movilla Polanco p. Hiszpanii</w:t>
        </w:r>
        <w:r w:rsidR="000425B4">
          <w:rPr>
            <w:lang w:val="pl"/>
          </w:rPr>
          <w:t>,</w:t>
        </w:r>
      </w:hyperlink>
      <w:r w:rsidR="000425B4">
        <w:rPr>
          <w:lang w:val="pl"/>
        </w:rPr>
        <w:t xml:space="preserve"> nr 34147/06, 21 września 2010 r.</w:t>
      </w:r>
    </w:p>
    <w:p w:rsidR="00B71A20" w:rsidRPr="000625F6" w:rsidRDefault="0093676E">
      <w:pPr>
        <w:pStyle w:val="Teksttreci0"/>
        <w:spacing w:after="0"/>
        <w:rPr>
          <w:lang w:val="pl-PL"/>
        </w:rPr>
      </w:pPr>
      <w:hyperlink r:id="rId2587" w:history="1">
        <w:r w:rsidR="000425B4">
          <w:rPr>
            <w:i/>
            <w:iCs/>
            <w:color w:val="0072BC"/>
            <w:lang w:val="pl"/>
          </w:rPr>
          <w:t>Polyakh i Inni p. Ukrainie</w:t>
        </w:r>
        <w:r w:rsidR="000425B4">
          <w:rPr>
            <w:lang w:val="pl"/>
          </w:rPr>
          <w:t xml:space="preserve">, </w:t>
        </w:r>
      </w:hyperlink>
      <w:r w:rsidR="000425B4">
        <w:rPr>
          <w:lang w:val="pl"/>
        </w:rPr>
        <w:t>nr 58812/15 i 4 inne, 17 października 2019 r.</w:t>
      </w:r>
    </w:p>
    <w:p w:rsidR="00B71A20" w:rsidRPr="000625F6" w:rsidRDefault="0093676E">
      <w:pPr>
        <w:pStyle w:val="Teksttreci0"/>
        <w:spacing w:after="0"/>
        <w:rPr>
          <w:lang w:val="pl-PL"/>
        </w:rPr>
      </w:pPr>
      <w:hyperlink r:id="rId2588" w:history="1">
        <w:r w:rsidR="000425B4">
          <w:rPr>
            <w:i/>
            <w:iCs/>
            <w:color w:val="0072BC"/>
            <w:lang w:val="pl"/>
          </w:rPr>
          <w:t>Pop-Ilić i Inni p. Serbii</w:t>
        </w:r>
        <w:r w:rsidR="000425B4">
          <w:rPr>
            <w:lang w:val="pl"/>
          </w:rPr>
          <w:t>,</w:t>
        </w:r>
      </w:hyperlink>
      <w:r w:rsidR="000425B4">
        <w:rPr>
          <w:lang w:val="pl"/>
        </w:rPr>
        <w:t xml:space="preserve"> nr 63398/13 i 4 inne, 14 października 2014 r.</w:t>
      </w:r>
    </w:p>
    <w:p w:rsidR="00B71A20" w:rsidRPr="000625F6" w:rsidRDefault="0093676E">
      <w:pPr>
        <w:pStyle w:val="Teksttreci0"/>
        <w:spacing w:after="0"/>
        <w:rPr>
          <w:lang w:val="pl-PL"/>
        </w:rPr>
      </w:pPr>
      <w:hyperlink r:id="rId2589" w:history="1">
        <w:r w:rsidR="000425B4">
          <w:rPr>
            <w:i/>
            <w:iCs/>
            <w:color w:val="0072BC"/>
            <w:lang w:val="pl"/>
          </w:rPr>
          <w:t>Popov p. Mołdawii (nr 1)</w:t>
        </w:r>
        <w:r w:rsidR="000425B4">
          <w:rPr>
            <w:lang w:val="pl"/>
          </w:rPr>
          <w:t>,</w:t>
        </w:r>
      </w:hyperlink>
      <w:r w:rsidR="000425B4">
        <w:rPr>
          <w:lang w:val="pl"/>
        </w:rPr>
        <w:t xml:space="preserve"> nr 74153/01, 18 stycznia 2005 r.</w:t>
      </w:r>
    </w:p>
    <w:p w:rsidR="00B71A20" w:rsidRPr="000625F6" w:rsidRDefault="0093676E">
      <w:pPr>
        <w:pStyle w:val="Teksttreci0"/>
        <w:spacing w:after="0"/>
        <w:rPr>
          <w:lang w:val="pl-PL"/>
        </w:rPr>
      </w:pPr>
      <w:hyperlink r:id="rId2590" w:history="1">
        <w:r w:rsidR="000425B4">
          <w:rPr>
            <w:i/>
            <w:iCs/>
            <w:color w:val="0072BC"/>
            <w:lang w:val="pl"/>
          </w:rPr>
          <w:t xml:space="preserve">Porchet p. Szwajcarii </w:t>
        </w:r>
      </w:hyperlink>
      <w:r w:rsidR="000425B4">
        <w:rPr>
          <w:lang w:val="pl"/>
        </w:rPr>
        <w:t>(dec.), nr 36391/16, 8 października 2019 r.</w:t>
      </w:r>
    </w:p>
    <w:p w:rsidR="00B71A20" w:rsidRPr="000625F6" w:rsidRDefault="0093676E">
      <w:pPr>
        <w:pStyle w:val="Teksttreci0"/>
        <w:spacing w:after="0"/>
        <w:rPr>
          <w:lang w:val="pl-PL"/>
        </w:rPr>
      </w:pPr>
      <w:hyperlink r:id="rId2591" w:history="1">
        <w:r w:rsidR="000425B4">
          <w:rPr>
            <w:i/>
            <w:iCs/>
            <w:color w:val="0072BC"/>
            <w:lang w:val="pl"/>
          </w:rPr>
          <w:t>Portu Juanenea i Sarasola Yarzabal p. Hiszpanii</w:t>
        </w:r>
        <w:r w:rsidR="000425B4">
          <w:rPr>
            <w:lang w:val="pl"/>
          </w:rPr>
          <w:t>,</w:t>
        </w:r>
      </w:hyperlink>
      <w:r w:rsidR="000425B4">
        <w:rPr>
          <w:lang w:val="pl"/>
        </w:rPr>
        <w:t xml:space="preserve"> nr 1653/13, 13 lutego 2018 r.</w:t>
      </w:r>
    </w:p>
    <w:p w:rsidR="00B71A20" w:rsidRPr="000625F6" w:rsidRDefault="0093676E">
      <w:pPr>
        <w:pStyle w:val="Teksttreci0"/>
        <w:spacing w:after="0"/>
        <w:rPr>
          <w:lang w:val="pl-PL"/>
        </w:rPr>
      </w:pPr>
      <w:hyperlink r:id="rId2592" w:history="1">
        <w:r w:rsidR="000425B4">
          <w:rPr>
            <w:i/>
            <w:iCs/>
            <w:color w:val="0072BC"/>
            <w:lang w:val="pl"/>
          </w:rPr>
          <w:t>Poslu i Inni p. Turcji</w:t>
        </w:r>
        <w:r w:rsidR="000425B4">
          <w:rPr>
            <w:lang w:val="pl"/>
          </w:rPr>
          <w:t>,</w:t>
        </w:r>
      </w:hyperlink>
      <w:r w:rsidR="000425B4">
        <w:rPr>
          <w:lang w:val="pl"/>
        </w:rPr>
        <w:t xml:space="preserve"> nr 6162/04 i 6 innych, 8 czerwca 2010 r.</w:t>
      </w:r>
    </w:p>
    <w:p w:rsidR="00B71A20" w:rsidRPr="000625F6" w:rsidRDefault="0093676E">
      <w:pPr>
        <w:pStyle w:val="Teksttreci0"/>
        <w:spacing w:after="0"/>
        <w:rPr>
          <w:lang w:val="pl-PL"/>
        </w:rPr>
      </w:pPr>
      <w:hyperlink r:id="rId2593" w:history="1">
        <w:r w:rsidR="000425B4">
          <w:rPr>
            <w:i/>
            <w:iCs/>
            <w:color w:val="0072BC"/>
            <w:lang w:val="pl"/>
          </w:rPr>
          <w:t xml:space="preserve">Post p. Holandii </w:t>
        </w:r>
      </w:hyperlink>
      <w:r w:rsidR="000425B4">
        <w:rPr>
          <w:lang w:val="pl"/>
        </w:rPr>
        <w:t>(dec.), nr 21727/08, 20 stycznia 2009 r.</w:t>
      </w:r>
    </w:p>
    <w:p w:rsidR="00B71A20" w:rsidRPr="000625F6" w:rsidRDefault="0093676E">
      <w:pPr>
        <w:pStyle w:val="Teksttreci0"/>
        <w:spacing w:after="0"/>
        <w:rPr>
          <w:lang w:val="pl-PL"/>
        </w:rPr>
      </w:pPr>
      <w:hyperlink r:id="rId2594" w:history="1">
        <w:r w:rsidR="000425B4">
          <w:rPr>
            <w:i/>
            <w:iCs/>
            <w:color w:val="0072BC"/>
            <w:lang w:val="pl"/>
          </w:rPr>
          <w:t xml:space="preserve">Povilonis p. Litwie </w:t>
        </w:r>
      </w:hyperlink>
      <w:r w:rsidR="000425B4">
        <w:rPr>
          <w:lang w:val="pl"/>
        </w:rPr>
        <w:t>(dec.), nr 81624/17, 15 marca 2022 r.</w:t>
      </w:r>
    </w:p>
    <w:p w:rsidR="00B71A20" w:rsidRPr="000625F6" w:rsidRDefault="0093676E">
      <w:pPr>
        <w:pStyle w:val="Teksttreci0"/>
        <w:spacing w:after="0" w:line="230" w:lineRule="auto"/>
        <w:rPr>
          <w:lang w:val="pl-PL"/>
        </w:rPr>
      </w:pPr>
      <w:hyperlink r:id="rId2595" w:history="1">
        <w:r w:rsidR="000425B4">
          <w:rPr>
            <w:i/>
            <w:iCs/>
            <w:color w:val="0072BC"/>
            <w:lang w:val="pl"/>
          </w:rPr>
          <w:t xml:space="preserve">Poznanski i Inni p. Niemcom </w:t>
        </w:r>
      </w:hyperlink>
      <w:r w:rsidR="000425B4">
        <w:rPr>
          <w:lang w:val="pl"/>
        </w:rPr>
        <w:t>(dec.), nr 25101/05, 3 lipca 2007 r.</w:t>
      </w:r>
    </w:p>
    <w:p w:rsidR="00B71A20" w:rsidRPr="000625F6" w:rsidRDefault="0093676E">
      <w:pPr>
        <w:pStyle w:val="Teksttreci0"/>
        <w:spacing w:after="0"/>
        <w:rPr>
          <w:lang w:val="pl-PL"/>
        </w:rPr>
      </w:pPr>
      <w:hyperlink r:id="rId2596" w:history="1">
        <w:r w:rsidR="000425B4">
          <w:rPr>
            <w:i/>
            <w:iCs/>
            <w:color w:val="0072BC"/>
            <w:lang w:val="pl"/>
          </w:rPr>
          <w:t>Preda i Inni p. Rumunii</w:t>
        </w:r>
        <w:r w:rsidR="000425B4">
          <w:rPr>
            <w:lang w:val="pl"/>
          </w:rPr>
          <w:t>,</w:t>
        </w:r>
      </w:hyperlink>
      <w:r w:rsidR="000425B4">
        <w:rPr>
          <w:lang w:val="pl"/>
        </w:rPr>
        <w:t xml:space="preserve"> nr 9584/02 i 7 innych, 29 kwietnia 2014 r.</w:t>
      </w:r>
    </w:p>
    <w:p w:rsidR="00B71A20" w:rsidRPr="000625F6" w:rsidRDefault="0093676E">
      <w:pPr>
        <w:pStyle w:val="Teksttreci0"/>
        <w:spacing w:after="0"/>
        <w:rPr>
          <w:lang w:val="pl-PL"/>
        </w:rPr>
      </w:pPr>
      <w:hyperlink r:id="rId2597" w:history="1">
        <w:r w:rsidR="000425B4">
          <w:rPr>
            <w:i/>
            <w:iCs/>
            <w:color w:val="0072BC"/>
            <w:lang w:val="pl"/>
          </w:rPr>
          <w:t>Predescu p. Rumunii</w:t>
        </w:r>
        <w:r w:rsidR="000425B4">
          <w:rPr>
            <w:lang w:val="pl"/>
          </w:rPr>
          <w:t>,</w:t>
        </w:r>
      </w:hyperlink>
      <w:r w:rsidR="000425B4">
        <w:rPr>
          <w:lang w:val="pl"/>
        </w:rPr>
        <w:t xml:space="preserve"> nr 21447/03, 2 grudnia 2008 r.</w:t>
      </w:r>
    </w:p>
    <w:p w:rsidR="00B71A20" w:rsidRDefault="0093676E">
      <w:pPr>
        <w:pStyle w:val="Teksttreci0"/>
        <w:spacing w:after="0"/>
      </w:pPr>
      <w:hyperlink r:id="rId2598" w:history="1">
        <w:r w:rsidR="000425B4" w:rsidRPr="000625F6">
          <w:rPr>
            <w:i/>
            <w:iCs/>
            <w:color w:val="0072BC"/>
            <w:lang w:val="en-GB"/>
          </w:rPr>
          <w:t xml:space="preserve">Predil Anstalt p. Włochom </w:t>
        </w:r>
      </w:hyperlink>
      <w:r w:rsidR="000425B4" w:rsidRPr="000625F6">
        <w:rPr>
          <w:lang w:val="en-GB"/>
        </w:rPr>
        <w:t>(dec.), nr 31993/96, 14 marca 2002 r.</w:t>
      </w:r>
    </w:p>
    <w:p w:rsidR="00B71A20" w:rsidRPr="000625F6" w:rsidRDefault="0093676E">
      <w:pPr>
        <w:pStyle w:val="Teksttreci0"/>
        <w:spacing w:after="0"/>
        <w:rPr>
          <w:lang w:val="pl-PL"/>
        </w:rPr>
      </w:pPr>
      <w:hyperlink r:id="rId2599" w:history="1">
        <w:r w:rsidR="000425B4">
          <w:rPr>
            <w:i/>
            <w:iCs/>
            <w:color w:val="0072BC"/>
            <w:lang w:val="pl"/>
          </w:rPr>
          <w:t>Prencipe p. Monako</w:t>
        </w:r>
        <w:r w:rsidR="000425B4">
          <w:rPr>
            <w:lang w:val="pl"/>
          </w:rPr>
          <w:t>,</w:t>
        </w:r>
      </w:hyperlink>
      <w:r w:rsidR="000425B4">
        <w:rPr>
          <w:lang w:val="pl"/>
        </w:rPr>
        <w:t xml:space="preserve"> nr 43376/06, 16 lipca 2009 r.</w:t>
      </w:r>
    </w:p>
    <w:p w:rsidR="00B71A20" w:rsidRPr="000625F6" w:rsidRDefault="0093676E">
      <w:pPr>
        <w:pStyle w:val="Teksttreci0"/>
        <w:spacing w:after="0"/>
        <w:rPr>
          <w:lang w:val="pl-PL"/>
        </w:rPr>
      </w:pPr>
      <w:hyperlink r:id="rId2600" w:history="1">
        <w:r w:rsidR="000425B4">
          <w:rPr>
            <w:i/>
            <w:iCs/>
            <w:color w:val="0072BC"/>
            <w:lang w:val="pl"/>
          </w:rPr>
          <w:t>Pressos Compania Naviera S.A. i Inni p. Belgii</w:t>
        </w:r>
        <w:r w:rsidR="000425B4">
          <w:rPr>
            <w:lang w:val="pl"/>
          </w:rPr>
          <w:t>,</w:t>
        </w:r>
      </w:hyperlink>
      <w:r w:rsidR="000425B4">
        <w:rPr>
          <w:lang w:val="pl"/>
        </w:rPr>
        <w:t xml:space="preserve"> 20 listopada 1995 r., Seria A nr 332</w:t>
      </w:r>
    </w:p>
    <w:p w:rsidR="00B71A20" w:rsidRPr="000625F6" w:rsidRDefault="0093676E">
      <w:pPr>
        <w:pStyle w:val="Teksttreci0"/>
        <w:spacing w:after="0"/>
        <w:rPr>
          <w:lang w:val="pl-PL"/>
        </w:rPr>
      </w:pPr>
      <w:hyperlink r:id="rId2601" w:history="1">
        <w:r w:rsidR="000425B4">
          <w:rPr>
            <w:i/>
            <w:iCs/>
            <w:color w:val="0072BC"/>
            <w:lang w:val="pl"/>
          </w:rPr>
          <w:t xml:space="preserve">Preussische Treuhand GmbH &amp; Co. KG a.A. p. Polsce </w:t>
        </w:r>
      </w:hyperlink>
      <w:r w:rsidR="000425B4">
        <w:rPr>
          <w:lang w:val="pl"/>
        </w:rPr>
        <w:t>(dec.), nr 47550/06, 7 października 2008 r.</w:t>
      </w:r>
    </w:p>
    <w:p w:rsidR="00B71A20" w:rsidRPr="000625F6" w:rsidRDefault="0093676E">
      <w:pPr>
        <w:pStyle w:val="Teksttreci0"/>
        <w:spacing w:after="0"/>
        <w:rPr>
          <w:lang w:val="pl-PL"/>
        </w:rPr>
      </w:pPr>
      <w:hyperlink r:id="rId2602" w:history="1">
        <w:r w:rsidR="000425B4">
          <w:rPr>
            <w:i/>
            <w:iCs/>
            <w:color w:val="0072BC"/>
            <w:lang w:val="pl"/>
          </w:rPr>
          <w:t>Project-Trade d.o.o. p. Chorwacji</w:t>
        </w:r>
        <w:r w:rsidR="000425B4">
          <w:rPr>
            <w:lang w:val="pl"/>
          </w:rPr>
          <w:t>,</w:t>
        </w:r>
      </w:hyperlink>
      <w:r w:rsidR="000425B4">
        <w:rPr>
          <w:lang w:val="pl"/>
        </w:rPr>
        <w:t xml:space="preserve"> nr 1920/14, 19 listopada 2020 r.</w:t>
      </w:r>
    </w:p>
    <w:p w:rsidR="00B71A20" w:rsidRPr="000625F6" w:rsidRDefault="0093676E">
      <w:pPr>
        <w:pStyle w:val="Teksttreci0"/>
        <w:spacing w:after="0"/>
        <w:rPr>
          <w:lang w:val="pl-PL"/>
        </w:rPr>
      </w:pPr>
      <w:hyperlink r:id="rId2603" w:history="1">
        <w:r w:rsidR="000425B4">
          <w:rPr>
            <w:i/>
            <w:iCs/>
            <w:color w:val="0072BC"/>
            <w:lang w:val="pl"/>
          </w:rPr>
          <w:t xml:space="preserve">Prystavska p. Ukrainie </w:t>
        </w:r>
      </w:hyperlink>
      <w:r w:rsidR="000425B4">
        <w:rPr>
          <w:lang w:val="pl"/>
        </w:rPr>
        <w:t>(dec.), nr 21287/02, ECHR 2002-X</w:t>
      </w:r>
    </w:p>
    <w:p w:rsidR="00B71A20" w:rsidRPr="000625F6" w:rsidRDefault="0093676E">
      <w:pPr>
        <w:pStyle w:val="Teksttreci0"/>
        <w:spacing w:after="460"/>
        <w:rPr>
          <w:lang w:val="pl-PL"/>
        </w:rPr>
      </w:pPr>
      <w:hyperlink r:id="rId2604" w:history="1">
        <w:r w:rsidR="000425B4">
          <w:rPr>
            <w:i/>
            <w:iCs/>
            <w:color w:val="0072BC"/>
            <w:lang w:val="pl"/>
          </w:rPr>
          <w:t>Puchstein p. Austrii</w:t>
        </w:r>
        <w:r w:rsidR="000425B4">
          <w:rPr>
            <w:lang w:val="pl"/>
          </w:rPr>
          <w:t>,</w:t>
        </w:r>
      </w:hyperlink>
      <w:r w:rsidR="000425B4">
        <w:rPr>
          <w:lang w:val="pl"/>
        </w:rPr>
        <w:t xml:space="preserve"> nr 20089/06, 28 stycznia 2010 r.</w:t>
      </w:r>
    </w:p>
    <w:p w:rsidR="00B71A20" w:rsidRPr="000625F6" w:rsidRDefault="000425B4">
      <w:pPr>
        <w:pStyle w:val="Teksttreci30"/>
        <w:spacing w:after="100"/>
        <w:rPr>
          <w:lang w:val="pl-PL"/>
        </w:rPr>
      </w:pPr>
      <w:r>
        <w:rPr>
          <w:lang w:val="pl"/>
        </w:rPr>
        <w:t>—Q—</w:t>
      </w:r>
    </w:p>
    <w:p w:rsidR="00B71A20" w:rsidRPr="000625F6" w:rsidRDefault="0093676E">
      <w:pPr>
        <w:pStyle w:val="Teksttreci0"/>
        <w:spacing w:after="460"/>
        <w:rPr>
          <w:lang w:val="pl-PL"/>
        </w:rPr>
      </w:pPr>
      <w:hyperlink r:id="rId2605" w:history="1">
        <w:r w:rsidR="000425B4">
          <w:rPr>
            <w:i/>
            <w:iCs/>
            <w:color w:val="0072BC"/>
            <w:lang w:val="pl"/>
          </w:rPr>
          <w:t xml:space="preserve">Quark Fishing Limited p. Wielkiej Brytanii </w:t>
        </w:r>
      </w:hyperlink>
      <w:r w:rsidR="000425B4">
        <w:rPr>
          <w:lang w:val="pl"/>
        </w:rPr>
        <w:t>(dec.), nr 15305/06, ECHR 2006-XIV</w:t>
      </w:r>
    </w:p>
    <w:p w:rsidR="00B71A20" w:rsidRPr="000625F6" w:rsidRDefault="000425B4">
      <w:pPr>
        <w:pStyle w:val="Teksttreci30"/>
        <w:spacing w:after="100"/>
        <w:rPr>
          <w:lang w:val="pl-PL"/>
        </w:rPr>
      </w:pPr>
      <w:r>
        <w:rPr>
          <w:lang w:val="pl"/>
        </w:rPr>
        <w:t>—R—</w:t>
      </w:r>
    </w:p>
    <w:p w:rsidR="00B71A20" w:rsidRPr="000625F6" w:rsidRDefault="0093676E">
      <w:pPr>
        <w:pStyle w:val="Teksttreci0"/>
        <w:spacing w:after="0"/>
        <w:rPr>
          <w:lang w:val="pl-PL"/>
        </w:rPr>
      </w:pPr>
      <w:hyperlink r:id="rId2606" w:history="1">
        <w:r w:rsidR="000425B4">
          <w:rPr>
            <w:i/>
            <w:iCs/>
            <w:color w:val="0072BC"/>
            <w:lang w:val="pl"/>
          </w:rPr>
          <w:t xml:space="preserve">Radio France i Inni p. Francji </w:t>
        </w:r>
      </w:hyperlink>
      <w:r w:rsidR="000425B4">
        <w:rPr>
          <w:lang w:val="pl"/>
        </w:rPr>
        <w:t>(dec.), nr 53984/00, ECHR 2003-X</w:t>
      </w:r>
    </w:p>
    <w:p w:rsidR="00B71A20" w:rsidRPr="000625F6" w:rsidRDefault="0093676E">
      <w:pPr>
        <w:pStyle w:val="Teksttreci0"/>
        <w:spacing w:after="0"/>
        <w:rPr>
          <w:lang w:val="pl-PL"/>
        </w:rPr>
      </w:pPr>
      <w:hyperlink r:id="rId2607" w:history="1">
        <w:r w:rsidR="000425B4">
          <w:rPr>
            <w:i/>
            <w:iCs/>
            <w:color w:val="0072BC"/>
            <w:lang w:val="pl"/>
          </w:rPr>
          <w:t xml:space="preserve">Radomilja i Inni p. Chorwacji </w:t>
        </w:r>
      </w:hyperlink>
      <w:r w:rsidR="000425B4">
        <w:rPr>
          <w:lang w:val="pl"/>
        </w:rPr>
        <w:t>[WI], nr 37685/10 i 22768/12, 20 marca 2018 r.</w:t>
      </w:r>
    </w:p>
    <w:p w:rsidR="00B71A20" w:rsidRPr="000625F6" w:rsidRDefault="0093676E">
      <w:pPr>
        <w:pStyle w:val="Teksttreci0"/>
        <w:spacing w:after="0"/>
        <w:rPr>
          <w:lang w:val="pl-PL"/>
        </w:rPr>
      </w:pPr>
      <w:hyperlink r:id="rId2608" w:history="1">
        <w:r w:rsidR="000425B4">
          <w:rPr>
            <w:i/>
            <w:iCs/>
            <w:color w:val="0072BC"/>
            <w:lang w:val="pl"/>
          </w:rPr>
          <w:t>Raimondo p. Włochom</w:t>
        </w:r>
        <w:r w:rsidR="000425B4">
          <w:rPr>
            <w:lang w:val="pl"/>
          </w:rPr>
          <w:t>,</w:t>
        </w:r>
      </w:hyperlink>
      <w:r w:rsidR="000425B4">
        <w:rPr>
          <w:lang w:val="pl"/>
        </w:rPr>
        <w:t xml:space="preserve"> 22 lutego 1994, Seria A nr 281-A</w:t>
      </w:r>
    </w:p>
    <w:p w:rsidR="00B71A20" w:rsidRPr="000625F6" w:rsidRDefault="0093676E">
      <w:pPr>
        <w:pStyle w:val="Teksttreci0"/>
        <w:spacing w:after="0"/>
        <w:rPr>
          <w:lang w:val="pl-PL"/>
        </w:rPr>
      </w:pPr>
      <w:hyperlink r:id="rId2609" w:history="1">
        <w:r w:rsidR="000425B4">
          <w:rPr>
            <w:i/>
            <w:iCs/>
            <w:color w:val="0072BC"/>
            <w:lang w:val="pl"/>
          </w:rPr>
          <w:t>Ramadan p. Malcie</w:t>
        </w:r>
        <w:r w:rsidR="000425B4">
          <w:rPr>
            <w:lang w:val="pl"/>
          </w:rPr>
          <w:t>,</w:t>
        </w:r>
      </w:hyperlink>
      <w:r w:rsidR="000425B4">
        <w:rPr>
          <w:lang w:val="pl"/>
        </w:rPr>
        <w:t xml:space="preserve"> nr 76136/12, 21 czerwca 2016 r.</w:t>
      </w:r>
    </w:p>
    <w:p w:rsidR="00B71A20" w:rsidRPr="000625F6" w:rsidRDefault="0093676E">
      <w:pPr>
        <w:pStyle w:val="Teksttreci0"/>
        <w:spacing w:after="0"/>
        <w:rPr>
          <w:lang w:val="pl-PL"/>
        </w:rPr>
      </w:pPr>
      <w:hyperlink r:id="rId2610" w:history="1">
        <w:r w:rsidR="000425B4">
          <w:rPr>
            <w:i/>
            <w:iCs/>
            <w:color w:val="0072BC"/>
            <w:lang w:val="pl"/>
          </w:rPr>
          <w:t xml:space="preserve">Ramos Nunes de Carvalho e Sá p. Portugalii </w:t>
        </w:r>
      </w:hyperlink>
      <w:r w:rsidR="000425B4">
        <w:rPr>
          <w:lang w:val="pl"/>
        </w:rPr>
        <w:t>[WI], nr 55391/13 i 2 inne, 6 listopada 2018 r.</w:t>
      </w:r>
    </w:p>
    <w:p w:rsidR="00B71A20" w:rsidRPr="000625F6" w:rsidRDefault="0093676E">
      <w:pPr>
        <w:pStyle w:val="Teksttreci0"/>
        <w:spacing w:after="0"/>
        <w:rPr>
          <w:lang w:val="pl-PL"/>
        </w:rPr>
      </w:pPr>
      <w:hyperlink r:id="rId2611" w:history="1">
        <w:r w:rsidR="000425B4">
          <w:rPr>
            <w:i/>
            <w:iCs/>
            <w:color w:val="0072BC"/>
            <w:lang w:val="pl"/>
          </w:rPr>
          <w:t xml:space="preserve">Ramsahai i Inni p. Holandii </w:t>
        </w:r>
      </w:hyperlink>
      <w:r w:rsidR="000425B4">
        <w:rPr>
          <w:lang w:val="pl"/>
        </w:rPr>
        <w:t>[WI], nr 52391/99, ECHR 2007-II</w:t>
      </w:r>
    </w:p>
    <w:p w:rsidR="00B71A20" w:rsidRPr="000625F6" w:rsidRDefault="0093676E">
      <w:pPr>
        <w:pStyle w:val="Teksttreci0"/>
        <w:spacing w:after="0"/>
        <w:rPr>
          <w:lang w:val="pl-PL"/>
        </w:rPr>
      </w:pPr>
      <w:hyperlink r:id="rId2612" w:history="1">
        <w:r w:rsidR="000425B4">
          <w:rPr>
            <w:i/>
            <w:iCs/>
            <w:color w:val="0072BC"/>
            <w:lang w:val="pl"/>
          </w:rPr>
          <w:t>Ranđelović i Inni p. Czarnogórze</w:t>
        </w:r>
        <w:r w:rsidR="000425B4">
          <w:rPr>
            <w:lang w:val="pl"/>
          </w:rPr>
          <w:t>,</w:t>
        </w:r>
      </w:hyperlink>
      <w:r w:rsidR="000425B4">
        <w:rPr>
          <w:lang w:val="pl"/>
        </w:rPr>
        <w:t xml:space="preserve"> nr 66641/10, 19 września 2017 r.</w:t>
      </w:r>
    </w:p>
    <w:p w:rsidR="00B71A20" w:rsidRPr="000625F6" w:rsidRDefault="0093676E">
      <w:pPr>
        <w:pStyle w:val="Teksttreci0"/>
        <w:spacing w:after="0"/>
        <w:rPr>
          <w:lang w:val="pl-PL"/>
        </w:rPr>
      </w:pPr>
      <w:hyperlink r:id="rId2613" w:history="1">
        <w:r w:rsidR="000425B4">
          <w:rPr>
            <w:i/>
            <w:iCs/>
            <w:color w:val="0072BC"/>
            <w:lang w:val="pl"/>
          </w:rPr>
          <w:t>Rantsev p. Cyprowi i Rosji</w:t>
        </w:r>
        <w:r w:rsidR="000425B4">
          <w:rPr>
            <w:lang w:val="pl"/>
          </w:rPr>
          <w:t>,</w:t>
        </w:r>
      </w:hyperlink>
      <w:r w:rsidR="000425B4">
        <w:rPr>
          <w:lang w:val="pl"/>
        </w:rPr>
        <w:t xml:space="preserve"> nr 25965/04, ECHR 2010</w:t>
      </w:r>
    </w:p>
    <w:p w:rsidR="00B71A20" w:rsidRPr="000625F6" w:rsidRDefault="0093676E" w:rsidP="002E0B1F">
      <w:pPr>
        <w:pStyle w:val="Teksttreci0"/>
        <w:spacing w:after="0"/>
        <w:rPr>
          <w:lang w:val="pl-PL"/>
        </w:rPr>
      </w:pPr>
      <w:hyperlink r:id="rId2614" w:history="1">
        <w:r w:rsidR="000425B4">
          <w:rPr>
            <w:i/>
            <w:iCs/>
            <w:color w:val="0072BC"/>
            <w:lang w:val="pl"/>
          </w:rPr>
          <w:t xml:space="preserve">Řehák p. Czechom </w:t>
        </w:r>
      </w:hyperlink>
      <w:r w:rsidR="000425B4">
        <w:rPr>
          <w:lang w:val="pl"/>
        </w:rPr>
        <w:t>(dec.), nr 67208/01, 18 maja 2004 r.</w:t>
      </w:r>
    </w:p>
    <w:p w:rsidR="00B71A20" w:rsidRPr="000625F6" w:rsidRDefault="0093676E">
      <w:pPr>
        <w:pStyle w:val="Teksttreci0"/>
        <w:spacing w:after="0"/>
        <w:rPr>
          <w:lang w:val="pl-PL"/>
        </w:rPr>
      </w:pPr>
      <w:hyperlink r:id="rId2615" w:history="1">
        <w:r w:rsidR="000425B4">
          <w:rPr>
            <w:i/>
            <w:iCs/>
            <w:color w:val="0072BC"/>
            <w:lang w:val="pl"/>
          </w:rPr>
          <w:t xml:space="preserve">Rezgui p. Francji </w:t>
        </w:r>
      </w:hyperlink>
      <w:r w:rsidR="000425B4">
        <w:rPr>
          <w:lang w:val="pl"/>
        </w:rPr>
        <w:t>(dec.), nr 49859/99, ECHR 2000-XI</w:t>
      </w:r>
    </w:p>
    <w:p w:rsidR="00B71A20" w:rsidRPr="000625F6" w:rsidRDefault="0093676E">
      <w:pPr>
        <w:pStyle w:val="Teksttreci0"/>
        <w:spacing w:after="0"/>
        <w:rPr>
          <w:lang w:val="pl-PL"/>
        </w:rPr>
      </w:pPr>
      <w:hyperlink r:id="rId2616" w:history="1">
        <w:r w:rsidR="000425B4">
          <w:rPr>
            <w:i/>
            <w:iCs/>
            <w:color w:val="0072BC"/>
            <w:lang w:val="pl"/>
          </w:rPr>
          <w:t xml:space="preserve">Rhazali i Inni p. Francji </w:t>
        </w:r>
      </w:hyperlink>
      <w:r w:rsidR="000425B4">
        <w:rPr>
          <w:lang w:val="pl"/>
        </w:rPr>
        <w:t>(dec.), nr 37568/09, 10 kwietnia 2012 r.</w:t>
      </w:r>
    </w:p>
    <w:p w:rsidR="00B71A20" w:rsidRPr="000625F6" w:rsidRDefault="0093676E">
      <w:pPr>
        <w:pStyle w:val="Teksttreci0"/>
        <w:spacing w:after="0"/>
        <w:rPr>
          <w:lang w:val="pl-PL"/>
        </w:rPr>
      </w:pPr>
      <w:hyperlink r:id="rId2617" w:history="1">
        <w:r w:rsidR="000425B4">
          <w:rPr>
            <w:i/>
            <w:iCs/>
            <w:color w:val="0072BC"/>
            <w:lang w:val="pl"/>
          </w:rPr>
          <w:t>Ryabov p. Rosji</w:t>
        </w:r>
        <w:r w:rsidR="000425B4">
          <w:rPr>
            <w:lang w:val="pl"/>
          </w:rPr>
          <w:t>,</w:t>
        </w:r>
      </w:hyperlink>
      <w:r w:rsidR="000425B4">
        <w:rPr>
          <w:lang w:val="pl"/>
        </w:rPr>
        <w:t xml:space="preserve"> nr 3896/04, 31 stycznia 2008 r.</w:t>
      </w:r>
    </w:p>
    <w:p w:rsidR="00B71A20" w:rsidRPr="000625F6" w:rsidRDefault="0093676E">
      <w:pPr>
        <w:pStyle w:val="Teksttreci0"/>
        <w:spacing w:after="0"/>
        <w:rPr>
          <w:lang w:val="pl-PL"/>
        </w:rPr>
      </w:pPr>
      <w:hyperlink r:id="rId2618" w:history="1">
        <w:r w:rsidR="000425B4">
          <w:rPr>
            <w:i/>
            <w:iCs/>
            <w:color w:val="0072BC"/>
            <w:lang w:val="pl"/>
          </w:rPr>
          <w:t>Riad i Idiab p. Belgii</w:t>
        </w:r>
        <w:r w:rsidR="000425B4">
          <w:rPr>
            <w:lang w:val="pl"/>
          </w:rPr>
          <w:t>,</w:t>
        </w:r>
      </w:hyperlink>
      <w:r w:rsidR="000425B4">
        <w:rPr>
          <w:lang w:val="pl"/>
        </w:rPr>
        <w:t xml:space="preserve"> nr 29787/03 i 29810/03, 24 stycznia 2008 r.</w:t>
      </w:r>
    </w:p>
    <w:p w:rsidR="00B71A20" w:rsidRPr="000625F6" w:rsidRDefault="0093676E">
      <w:pPr>
        <w:pStyle w:val="Teksttreci0"/>
        <w:spacing w:after="0" w:line="230" w:lineRule="auto"/>
        <w:rPr>
          <w:lang w:val="pl-PL"/>
        </w:rPr>
      </w:pPr>
      <w:hyperlink r:id="rId2619" w:history="1">
        <w:r w:rsidR="000425B4">
          <w:rPr>
            <w:i/>
            <w:iCs/>
            <w:color w:val="0072BC"/>
            <w:lang w:val="pl"/>
          </w:rPr>
          <w:t>Riđić i Inni p. Serbii</w:t>
        </w:r>
        <w:r w:rsidR="000425B4">
          <w:rPr>
            <w:lang w:val="pl"/>
          </w:rPr>
          <w:t>,</w:t>
        </w:r>
      </w:hyperlink>
      <w:r w:rsidR="000425B4">
        <w:rPr>
          <w:lang w:val="pl"/>
        </w:rPr>
        <w:t xml:space="preserve"> nr 53736/08 i 5 innych, 1 lipca 2014 r.</w:t>
      </w:r>
    </w:p>
    <w:p w:rsidR="00B71A20" w:rsidRPr="000625F6" w:rsidRDefault="0093676E">
      <w:pPr>
        <w:pStyle w:val="Teksttreci0"/>
        <w:spacing w:after="0"/>
        <w:rPr>
          <w:lang w:val="pl-PL"/>
        </w:rPr>
      </w:pPr>
      <w:hyperlink r:id="rId2620" w:history="1">
        <w:r w:rsidR="000425B4">
          <w:rPr>
            <w:i/>
            <w:iCs/>
            <w:color w:val="0072BC"/>
            <w:lang w:val="pl"/>
          </w:rPr>
          <w:t>Riener p. Bułgarii</w:t>
        </w:r>
        <w:r w:rsidR="000425B4">
          <w:rPr>
            <w:lang w:val="pl"/>
          </w:rPr>
          <w:t>,</w:t>
        </w:r>
      </w:hyperlink>
      <w:r w:rsidR="000425B4">
        <w:rPr>
          <w:lang w:val="pl"/>
        </w:rPr>
        <w:t xml:space="preserve"> nr 46343/99, 23 maja 2006 r.</w:t>
      </w:r>
    </w:p>
    <w:p w:rsidR="00B71A20" w:rsidRPr="000625F6" w:rsidRDefault="0093676E">
      <w:pPr>
        <w:pStyle w:val="Teksttreci0"/>
        <w:spacing w:after="0"/>
        <w:rPr>
          <w:lang w:val="pl-PL"/>
        </w:rPr>
      </w:pPr>
      <w:hyperlink r:id="rId2621" w:history="1">
        <w:r w:rsidR="000425B4">
          <w:rPr>
            <w:i/>
            <w:iCs/>
            <w:color w:val="0072BC"/>
            <w:lang w:val="pl"/>
          </w:rPr>
          <w:t xml:space="preserve">Rinck p. Francji </w:t>
        </w:r>
      </w:hyperlink>
      <w:r w:rsidR="000425B4">
        <w:rPr>
          <w:lang w:val="pl"/>
        </w:rPr>
        <w:t>(dec.), nr 18774/09, 19 października 2010 r.</w:t>
      </w:r>
    </w:p>
    <w:p w:rsidR="00B71A20" w:rsidRDefault="0093676E">
      <w:pPr>
        <w:pStyle w:val="Teksttreci0"/>
        <w:spacing w:after="0"/>
      </w:pPr>
      <w:hyperlink r:id="rId2622" w:history="1">
        <w:r w:rsidR="000425B4" w:rsidRPr="000625F6">
          <w:rPr>
            <w:i/>
            <w:iCs/>
            <w:color w:val="0072BC"/>
            <w:lang w:val="en-GB"/>
          </w:rPr>
          <w:t>Ringeisen p. Austrii</w:t>
        </w:r>
        <w:r w:rsidR="000425B4" w:rsidRPr="000625F6">
          <w:rPr>
            <w:lang w:val="en-GB"/>
          </w:rPr>
          <w:t>,</w:t>
        </w:r>
      </w:hyperlink>
      <w:r w:rsidR="000425B4" w:rsidRPr="000625F6">
        <w:rPr>
          <w:lang w:val="en-GB"/>
        </w:rPr>
        <w:t xml:space="preserve"> 16 lipca 1971, Seria A nr 13</w:t>
      </w:r>
    </w:p>
    <w:p w:rsidR="00B71A20" w:rsidRPr="000625F6" w:rsidRDefault="0093676E">
      <w:pPr>
        <w:pStyle w:val="Teksttreci0"/>
        <w:spacing w:after="0"/>
        <w:rPr>
          <w:lang w:val="pl-PL"/>
        </w:rPr>
      </w:pPr>
      <w:hyperlink r:id="rId2623" w:history="1">
        <w:r w:rsidR="000425B4">
          <w:rPr>
            <w:i/>
            <w:iCs/>
            <w:color w:val="0072BC"/>
            <w:lang w:val="pl"/>
          </w:rPr>
          <w:t>Robert Lesjak p. Słowenii</w:t>
        </w:r>
        <w:r w:rsidR="000425B4">
          <w:rPr>
            <w:lang w:val="pl"/>
          </w:rPr>
          <w:t>,</w:t>
        </w:r>
      </w:hyperlink>
      <w:r w:rsidR="000425B4">
        <w:rPr>
          <w:lang w:val="pl"/>
        </w:rPr>
        <w:t xml:space="preserve"> nr 33946/03, 21 lipca 2009 r.</w:t>
      </w:r>
    </w:p>
    <w:p w:rsidR="00B71A20" w:rsidRPr="000625F6" w:rsidRDefault="0093676E">
      <w:pPr>
        <w:pStyle w:val="Teksttreci0"/>
        <w:spacing w:after="0"/>
        <w:rPr>
          <w:lang w:val="pl-PL"/>
        </w:rPr>
      </w:pPr>
      <w:hyperlink r:id="rId2624" w:history="1">
        <w:r w:rsidR="000425B4">
          <w:rPr>
            <w:i/>
            <w:iCs/>
            <w:color w:val="0072BC"/>
            <w:lang w:val="pl"/>
          </w:rPr>
          <w:t>Rodina p. Łotwie</w:t>
        </w:r>
        <w:r w:rsidR="000425B4">
          <w:rPr>
            <w:lang w:val="pl"/>
          </w:rPr>
          <w:t>,</w:t>
        </w:r>
      </w:hyperlink>
      <w:r w:rsidR="000425B4">
        <w:rPr>
          <w:lang w:val="pl"/>
        </w:rPr>
        <w:t xml:space="preserve"> nr 48534/10 i 19532/15, 14 maja 2020 r.</w:t>
      </w:r>
    </w:p>
    <w:p w:rsidR="00B71A20" w:rsidRPr="000625F6" w:rsidRDefault="0093676E">
      <w:pPr>
        <w:pStyle w:val="Teksttreci0"/>
        <w:spacing w:after="0"/>
        <w:rPr>
          <w:lang w:val="pl-PL"/>
        </w:rPr>
      </w:pPr>
      <w:hyperlink r:id="rId2625" w:history="1">
        <w:r w:rsidR="000425B4">
          <w:rPr>
            <w:i/>
            <w:iCs/>
            <w:color w:val="0072BC"/>
            <w:lang w:val="pl"/>
          </w:rPr>
          <w:t>Rõigas p. Estonii</w:t>
        </w:r>
        <w:r w:rsidR="000425B4">
          <w:rPr>
            <w:lang w:val="pl"/>
          </w:rPr>
          <w:t>,</w:t>
        </w:r>
      </w:hyperlink>
      <w:r w:rsidR="000425B4">
        <w:rPr>
          <w:lang w:val="pl"/>
        </w:rPr>
        <w:t xml:space="preserve"> nr 49045/13, 12 września 2017 r.</w:t>
      </w:r>
    </w:p>
    <w:p w:rsidR="00B71A20" w:rsidRPr="000625F6" w:rsidRDefault="0093676E">
      <w:pPr>
        <w:pStyle w:val="Teksttreci0"/>
        <w:spacing w:after="0"/>
        <w:rPr>
          <w:lang w:val="pl-PL"/>
        </w:rPr>
      </w:pPr>
      <w:hyperlink r:id="rId2626" w:history="1">
        <w:r w:rsidR="000425B4">
          <w:rPr>
            <w:i/>
            <w:iCs/>
            <w:color w:val="0072BC"/>
            <w:lang w:val="pl"/>
          </w:rPr>
          <w:t xml:space="preserve">Roman Zakharov p. Rosji </w:t>
        </w:r>
      </w:hyperlink>
      <w:r w:rsidR="000425B4">
        <w:rPr>
          <w:lang w:val="pl"/>
        </w:rPr>
        <w:t>[WI], nr 47143/06, ECHR 2015</w:t>
      </w:r>
    </w:p>
    <w:p w:rsidR="00B71A20" w:rsidRPr="000625F6" w:rsidRDefault="0093676E">
      <w:pPr>
        <w:pStyle w:val="Teksttreci0"/>
        <w:spacing w:after="0"/>
        <w:rPr>
          <w:lang w:val="pl-PL"/>
        </w:rPr>
      </w:pPr>
      <w:hyperlink r:id="rId2627" w:history="1">
        <w:r w:rsidR="000425B4">
          <w:rPr>
            <w:i/>
            <w:iCs/>
            <w:color w:val="0072BC"/>
            <w:lang w:val="pl"/>
          </w:rPr>
          <w:t xml:space="preserve">Rooman p. Belgii </w:t>
        </w:r>
      </w:hyperlink>
      <w:r w:rsidR="000425B4">
        <w:rPr>
          <w:lang w:val="pl"/>
        </w:rPr>
        <w:t>[WI], nr 18052/11, 31 stycznia 2019 r.</w:t>
      </w:r>
    </w:p>
    <w:p w:rsidR="00B71A20" w:rsidRPr="000625F6" w:rsidRDefault="0093676E">
      <w:pPr>
        <w:pStyle w:val="Teksttreci0"/>
        <w:spacing w:after="0"/>
        <w:rPr>
          <w:lang w:val="pl-PL"/>
        </w:rPr>
      </w:pPr>
      <w:hyperlink r:id="rId2628" w:history="1">
        <w:r w:rsidR="000425B4">
          <w:rPr>
            <w:i/>
            <w:iCs/>
            <w:color w:val="0072BC"/>
            <w:lang w:val="pl"/>
          </w:rPr>
          <w:t xml:space="preserve">Rossi i Inni p. Włochom </w:t>
        </w:r>
      </w:hyperlink>
      <w:r w:rsidR="000425B4">
        <w:rPr>
          <w:lang w:val="pl"/>
        </w:rPr>
        <w:t>(dec.), nr 55185/08 i 7 innych, 16 grudnia 2008 r.</w:t>
      </w:r>
    </w:p>
    <w:p w:rsidR="00B71A20" w:rsidRPr="000625F6" w:rsidRDefault="0093676E">
      <w:pPr>
        <w:pStyle w:val="Teksttreci0"/>
        <w:spacing w:after="0" w:line="230" w:lineRule="auto"/>
        <w:rPr>
          <w:sz w:val="24"/>
          <w:szCs w:val="24"/>
          <w:lang w:val="pl-PL"/>
        </w:rPr>
      </w:pPr>
      <w:hyperlink r:id="rId2629" w:history="1">
        <w:r w:rsidR="000425B4">
          <w:rPr>
            <w:i/>
            <w:iCs/>
            <w:color w:val="0072BC"/>
            <w:sz w:val="24"/>
            <w:szCs w:val="24"/>
            <w:lang w:val="pl"/>
          </w:rPr>
          <w:t>Rustavi 2 Broadcasting Company Ltd i Inni p. Gruzji</w:t>
        </w:r>
        <w:r w:rsidR="000425B4">
          <w:rPr>
            <w:sz w:val="24"/>
            <w:szCs w:val="24"/>
            <w:lang w:val="pl"/>
          </w:rPr>
          <w:t>,</w:t>
        </w:r>
      </w:hyperlink>
      <w:r w:rsidR="000425B4">
        <w:rPr>
          <w:sz w:val="24"/>
          <w:szCs w:val="24"/>
          <w:lang w:val="pl"/>
        </w:rPr>
        <w:t xml:space="preserve"> nr 16812/17, 18 lipca 2019 r.</w:t>
      </w:r>
    </w:p>
    <w:p w:rsidR="00B71A20" w:rsidRPr="000625F6" w:rsidRDefault="0093676E" w:rsidP="001D348D">
      <w:pPr>
        <w:pStyle w:val="Teksttreci0"/>
        <w:spacing w:after="460"/>
        <w:rPr>
          <w:lang w:val="pl-PL"/>
        </w:rPr>
      </w:pPr>
      <w:hyperlink r:id="rId2630" w:history="1">
        <w:r w:rsidR="000425B4">
          <w:rPr>
            <w:i/>
            <w:iCs/>
            <w:color w:val="0072BC"/>
            <w:lang w:val="pl"/>
          </w:rPr>
          <w:t>Rutkowski i Inni p. Polsce</w:t>
        </w:r>
        <w:r w:rsidR="000425B4">
          <w:rPr>
            <w:lang w:val="pl"/>
          </w:rPr>
          <w:t>,</w:t>
        </w:r>
      </w:hyperlink>
      <w:r w:rsidR="000425B4">
        <w:rPr>
          <w:lang w:val="pl"/>
        </w:rPr>
        <w:t xml:space="preserve"> nr 72287/10 i 2 inne, 7 lipca 2015 r.</w:t>
      </w:r>
    </w:p>
    <w:p w:rsidR="00B71A20" w:rsidRPr="000625F6" w:rsidRDefault="000425B4">
      <w:pPr>
        <w:pStyle w:val="Teksttreci30"/>
        <w:spacing w:after="120"/>
        <w:rPr>
          <w:lang w:val="pl-PL"/>
        </w:rPr>
      </w:pPr>
      <w:r>
        <w:rPr>
          <w:lang w:val="pl"/>
        </w:rPr>
        <w:t>—S—</w:t>
      </w:r>
    </w:p>
    <w:p w:rsidR="00B71A20" w:rsidRPr="000625F6" w:rsidRDefault="0093676E">
      <w:pPr>
        <w:pStyle w:val="Teksttreci0"/>
        <w:spacing w:after="0"/>
        <w:rPr>
          <w:lang w:val="pl-PL"/>
        </w:rPr>
      </w:pPr>
      <w:hyperlink r:id="rId2631" w:history="1">
        <w:r w:rsidR="000425B4">
          <w:rPr>
            <w:i/>
            <w:iCs/>
            <w:color w:val="0072BC"/>
            <w:lang w:val="pl"/>
          </w:rPr>
          <w:t xml:space="preserve">S.A.S. p. Francji </w:t>
        </w:r>
      </w:hyperlink>
      <w:r w:rsidR="000425B4">
        <w:rPr>
          <w:lang w:val="pl"/>
        </w:rPr>
        <w:t>[WI], nr 43835/11, ECHR 2014</w:t>
      </w:r>
    </w:p>
    <w:p w:rsidR="00B71A20" w:rsidRPr="000625F6" w:rsidRDefault="0093676E">
      <w:pPr>
        <w:pStyle w:val="Teksttreci0"/>
        <w:spacing w:after="0" w:line="230" w:lineRule="auto"/>
        <w:rPr>
          <w:lang w:val="pl-PL"/>
        </w:rPr>
      </w:pPr>
      <w:hyperlink r:id="rId2632" w:history="1">
        <w:r w:rsidR="000425B4">
          <w:rPr>
            <w:i/>
            <w:iCs/>
            <w:color w:val="0072BC"/>
            <w:lang w:val="pl"/>
          </w:rPr>
          <w:t>S.L. i J.L. p. Chorwacji</w:t>
        </w:r>
        <w:r w:rsidR="000425B4">
          <w:rPr>
            <w:lang w:val="pl"/>
          </w:rPr>
          <w:t>,</w:t>
        </w:r>
      </w:hyperlink>
      <w:r w:rsidR="000425B4">
        <w:rPr>
          <w:lang w:val="pl"/>
        </w:rPr>
        <w:t xml:space="preserve"> nr 13712/11, 7 maja 2015 r.</w:t>
      </w:r>
    </w:p>
    <w:p w:rsidR="00B71A20" w:rsidRPr="000625F6" w:rsidRDefault="0093676E">
      <w:pPr>
        <w:pStyle w:val="Teksttreci0"/>
        <w:spacing w:after="0"/>
        <w:rPr>
          <w:lang w:val="pl-PL"/>
        </w:rPr>
      </w:pPr>
      <w:hyperlink r:id="rId2633" w:history="1">
        <w:r w:rsidR="000425B4">
          <w:rPr>
            <w:i/>
            <w:iCs/>
            <w:color w:val="0072BC"/>
            <w:lang w:val="pl"/>
          </w:rPr>
          <w:t xml:space="preserve">S.L. i J.L. p. Chorwacji </w:t>
        </w:r>
      </w:hyperlink>
      <w:r w:rsidR="000425B4">
        <w:rPr>
          <w:lang w:val="pl"/>
        </w:rPr>
        <w:t>(słuszne zadośćuczynienie), nr 13712/11, 6 października 2016 r.</w:t>
      </w:r>
    </w:p>
    <w:p w:rsidR="00B71A20" w:rsidRPr="000625F6" w:rsidRDefault="0093676E">
      <w:pPr>
        <w:pStyle w:val="Teksttreci0"/>
        <w:spacing w:after="0"/>
        <w:rPr>
          <w:lang w:val="pl-PL"/>
        </w:rPr>
      </w:pPr>
      <w:hyperlink r:id="rId2634" w:history="1">
        <w:r w:rsidR="000425B4">
          <w:rPr>
            <w:i/>
            <w:iCs/>
            <w:color w:val="0072BC"/>
            <w:lang w:val="pl"/>
          </w:rPr>
          <w:t>S.P., D.P. i A.T. p. Wielkiej Brytanii</w:t>
        </w:r>
        <w:r w:rsidR="000425B4">
          <w:rPr>
            <w:lang w:val="pl"/>
          </w:rPr>
          <w:t>,</w:t>
        </w:r>
      </w:hyperlink>
      <w:r w:rsidR="000425B4">
        <w:rPr>
          <w:lang w:val="pl"/>
        </w:rPr>
        <w:t xml:space="preserve"> nr 23715/94, decyzja Komisji z dnia 20 maja 1996 r.</w:t>
      </w:r>
    </w:p>
    <w:p w:rsidR="00B71A20" w:rsidRPr="000625F6" w:rsidRDefault="0093676E">
      <w:pPr>
        <w:pStyle w:val="Teksttreci0"/>
        <w:spacing w:after="0"/>
        <w:rPr>
          <w:lang w:val="pl-PL"/>
        </w:rPr>
      </w:pPr>
      <w:hyperlink r:id="rId2635" w:history="1">
        <w:r w:rsidR="000425B4">
          <w:rPr>
            <w:i/>
            <w:iCs/>
            <w:color w:val="0072BC"/>
            <w:lang w:val="pl"/>
          </w:rPr>
          <w:t xml:space="preserve">Saakashvili p. Gruzji </w:t>
        </w:r>
      </w:hyperlink>
      <w:r w:rsidR="000425B4">
        <w:rPr>
          <w:lang w:val="pl"/>
        </w:rPr>
        <w:t>(dec.), nr 6232/20 i 22394/20, 1 marca 2022 r.</w:t>
      </w:r>
    </w:p>
    <w:p w:rsidR="00B71A20" w:rsidRPr="000625F6" w:rsidRDefault="0093676E">
      <w:pPr>
        <w:pStyle w:val="Teksttreci0"/>
        <w:spacing w:after="0"/>
        <w:rPr>
          <w:lang w:val="pl-PL"/>
        </w:rPr>
      </w:pPr>
      <w:hyperlink r:id="rId2636" w:history="1">
        <w:r w:rsidR="000425B4">
          <w:rPr>
            <w:i/>
            <w:iCs/>
            <w:color w:val="0072BC"/>
            <w:lang w:val="pl"/>
          </w:rPr>
          <w:t xml:space="preserve">Sabri Güneş p. Turcji </w:t>
        </w:r>
      </w:hyperlink>
      <w:r w:rsidR="000425B4">
        <w:rPr>
          <w:lang w:val="pl"/>
        </w:rPr>
        <w:t>[WI], nr 27396/06, 29 czerwca 2012 r.</w:t>
      </w:r>
    </w:p>
    <w:p w:rsidR="00B71A20" w:rsidRPr="000625F6" w:rsidRDefault="0093676E">
      <w:pPr>
        <w:pStyle w:val="Teksttreci0"/>
        <w:spacing w:after="0"/>
        <w:rPr>
          <w:lang w:val="pl-PL"/>
        </w:rPr>
      </w:pPr>
      <w:hyperlink r:id="rId2637" w:history="1">
        <w:r w:rsidR="000425B4">
          <w:rPr>
            <w:i/>
            <w:iCs/>
            <w:color w:val="0072BC"/>
            <w:lang w:val="pl"/>
          </w:rPr>
          <w:t>Sadak p. Turcji</w:t>
        </w:r>
        <w:r w:rsidR="000425B4">
          <w:rPr>
            <w:lang w:val="pl"/>
          </w:rPr>
          <w:t>,</w:t>
        </w:r>
      </w:hyperlink>
      <w:r w:rsidR="000425B4">
        <w:rPr>
          <w:lang w:val="pl"/>
        </w:rPr>
        <w:t xml:space="preserve"> nr 25142/94 i 27099/95, 8 kwietnia 2004 r.</w:t>
      </w:r>
    </w:p>
    <w:p w:rsidR="00B71A20" w:rsidRPr="000625F6" w:rsidRDefault="0093676E">
      <w:pPr>
        <w:pStyle w:val="Teksttreci0"/>
        <w:spacing w:after="0"/>
        <w:rPr>
          <w:lang w:val="pl-PL"/>
        </w:rPr>
      </w:pPr>
      <w:hyperlink r:id="rId2638" w:history="1">
        <w:r w:rsidR="000425B4">
          <w:rPr>
            <w:i/>
            <w:iCs/>
            <w:color w:val="0072BC"/>
            <w:lang w:val="pl"/>
          </w:rPr>
          <w:t xml:space="preserve">Safaryan p. Armenii </w:t>
        </w:r>
      </w:hyperlink>
      <w:r w:rsidR="000425B4">
        <w:rPr>
          <w:lang w:val="pl"/>
        </w:rPr>
        <w:t>(dec.), nr 16346/10, 14 stycznia 2020 r.</w:t>
      </w:r>
    </w:p>
    <w:p w:rsidR="00B71A20" w:rsidRPr="000625F6" w:rsidRDefault="0093676E">
      <w:pPr>
        <w:pStyle w:val="Teksttreci0"/>
        <w:spacing w:after="0"/>
        <w:rPr>
          <w:lang w:val="pl-PL"/>
        </w:rPr>
      </w:pPr>
      <w:hyperlink r:id="rId2639" w:history="1">
        <w:r w:rsidR="000425B4">
          <w:rPr>
            <w:i/>
            <w:iCs/>
            <w:color w:val="0072BC"/>
            <w:lang w:val="pl"/>
          </w:rPr>
          <w:t>Sagayeva i Inni p. Rosji</w:t>
        </w:r>
        <w:r w:rsidR="000425B4">
          <w:rPr>
            <w:lang w:val="pl"/>
          </w:rPr>
          <w:t>,</w:t>
        </w:r>
      </w:hyperlink>
      <w:r w:rsidR="000425B4">
        <w:rPr>
          <w:lang w:val="pl"/>
        </w:rPr>
        <w:t xml:space="preserve"> nr 22698/09 i 31189/11, 8 grudnia 2015 r.</w:t>
      </w:r>
    </w:p>
    <w:p w:rsidR="00B71A20" w:rsidRPr="000625F6" w:rsidRDefault="0093676E">
      <w:pPr>
        <w:pStyle w:val="Teksttreci0"/>
        <w:spacing w:after="0"/>
        <w:rPr>
          <w:lang w:val="pl-PL"/>
        </w:rPr>
      </w:pPr>
      <w:hyperlink r:id="rId2640" w:history="1">
        <w:r w:rsidR="000425B4">
          <w:rPr>
            <w:i/>
            <w:iCs/>
            <w:color w:val="0072BC"/>
            <w:lang w:val="pl"/>
          </w:rPr>
          <w:t>Saghinadze i Inni p. Gruzji</w:t>
        </w:r>
        <w:r w:rsidR="000425B4">
          <w:rPr>
            <w:lang w:val="pl"/>
          </w:rPr>
          <w:t>,</w:t>
        </w:r>
      </w:hyperlink>
      <w:r w:rsidR="000425B4">
        <w:rPr>
          <w:lang w:val="pl"/>
        </w:rPr>
        <w:t xml:space="preserve"> nr 18768/05, 27 maja 2010 r.</w:t>
      </w:r>
    </w:p>
    <w:p w:rsidR="00B71A20" w:rsidRPr="000625F6" w:rsidRDefault="0093676E">
      <w:pPr>
        <w:pStyle w:val="Teksttreci0"/>
        <w:spacing w:after="0"/>
        <w:rPr>
          <w:lang w:val="pl-PL"/>
        </w:rPr>
      </w:pPr>
      <w:hyperlink r:id="rId2641" w:history="1">
        <w:r w:rsidR="000425B4">
          <w:rPr>
            <w:i/>
            <w:iCs/>
            <w:color w:val="0072BC"/>
            <w:lang w:val="pl"/>
          </w:rPr>
          <w:t xml:space="preserve">Şahmo p. Turcji </w:t>
        </w:r>
      </w:hyperlink>
      <w:r w:rsidR="000425B4">
        <w:rPr>
          <w:lang w:val="pl"/>
        </w:rPr>
        <w:t>(dec.), nr 37415/97, 1 kwietnia 2003 r.</w:t>
      </w:r>
    </w:p>
    <w:p w:rsidR="00B71A20" w:rsidRPr="000625F6" w:rsidRDefault="0093676E">
      <w:pPr>
        <w:pStyle w:val="Teksttreci0"/>
        <w:spacing w:after="0"/>
        <w:rPr>
          <w:lang w:val="pl-PL"/>
        </w:rPr>
      </w:pPr>
      <w:hyperlink r:id="rId2642" w:history="1">
        <w:r w:rsidR="000425B4">
          <w:rPr>
            <w:i/>
            <w:iCs/>
            <w:color w:val="0072BC"/>
            <w:lang w:val="pl"/>
          </w:rPr>
          <w:t xml:space="preserve">Sakhnovskiy p. Rosji </w:t>
        </w:r>
      </w:hyperlink>
      <w:r w:rsidR="000425B4">
        <w:rPr>
          <w:lang w:val="pl"/>
        </w:rPr>
        <w:t>[WI], nr 21272/03, 2 listopada 2010 r.</w:t>
      </w:r>
    </w:p>
    <w:p w:rsidR="00B71A20" w:rsidRPr="000625F6" w:rsidRDefault="0093676E">
      <w:pPr>
        <w:pStyle w:val="Teksttreci0"/>
        <w:spacing w:after="0"/>
        <w:rPr>
          <w:lang w:val="pl-PL"/>
        </w:rPr>
      </w:pPr>
      <w:hyperlink r:id="rId2643" w:history="1">
        <w:r w:rsidR="000425B4">
          <w:rPr>
            <w:i/>
            <w:iCs/>
            <w:color w:val="0072BC"/>
            <w:lang w:val="pl"/>
          </w:rPr>
          <w:t>Şakir Kaçmaz p. Turcji</w:t>
        </w:r>
        <w:r w:rsidR="000425B4">
          <w:rPr>
            <w:lang w:val="pl"/>
          </w:rPr>
          <w:t>,</w:t>
        </w:r>
      </w:hyperlink>
      <w:r w:rsidR="000425B4">
        <w:rPr>
          <w:lang w:val="pl"/>
        </w:rPr>
        <w:t xml:space="preserve"> nr 8077/08, 10 listopada 2015 r.</w:t>
      </w:r>
    </w:p>
    <w:p w:rsidR="00B71A20" w:rsidRPr="000625F6" w:rsidRDefault="0093676E">
      <w:pPr>
        <w:pStyle w:val="Teksttreci0"/>
        <w:spacing w:after="0"/>
        <w:rPr>
          <w:lang w:val="pl-PL"/>
        </w:rPr>
      </w:pPr>
      <w:hyperlink r:id="rId2644" w:history="1">
        <w:r w:rsidR="000425B4">
          <w:rPr>
            <w:i/>
            <w:iCs/>
            <w:color w:val="0072BC"/>
            <w:lang w:val="pl"/>
          </w:rPr>
          <w:t>Sakvarelidze p. Gruzji</w:t>
        </w:r>
        <w:r w:rsidR="000425B4">
          <w:rPr>
            <w:lang w:val="pl"/>
          </w:rPr>
          <w:t>,</w:t>
        </w:r>
      </w:hyperlink>
      <w:r w:rsidR="000425B4">
        <w:rPr>
          <w:lang w:val="pl"/>
        </w:rPr>
        <w:t xml:space="preserve"> nr 40394/10, 6 lutego 2020 r.</w:t>
      </w:r>
    </w:p>
    <w:p w:rsidR="00B71A20" w:rsidRDefault="0093676E">
      <w:pPr>
        <w:pStyle w:val="Teksttreci0"/>
        <w:spacing w:after="0"/>
      </w:pPr>
      <w:hyperlink r:id="rId2645" w:history="1">
        <w:r w:rsidR="000425B4" w:rsidRPr="000625F6">
          <w:rPr>
            <w:i/>
            <w:iCs/>
            <w:color w:val="0072BC"/>
            <w:lang w:val="en-GB"/>
          </w:rPr>
          <w:t xml:space="preserve">Salman p. Turcji </w:t>
        </w:r>
      </w:hyperlink>
      <w:r w:rsidR="000425B4" w:rsidRPr="000625F6">
        <w:rPr>
          <w:lang w:val="en-GB"/>
        </w:rPr>
        <w:t>[WI], nr 21986/93, ECHR 2000-VII</w:t>
      </w:r>
    </w:p>
    <w:p w:rsidR="00B71A20" w:rsidRDefault="0093676E">
      <w:pPr>
        <w:pStyle w:val="Teksttreci0"/>
        <w:spacing w:after="0"/>
      </w:pPr>
      <w:hyperlink r:id="rId2646" w:history="1">
        <w:r w:rsidR="000425B4" w:rsidRPr="000625F6">
          <w:rPr>
            <w:i/>
            <w:iCs/>
            <w:color w:val="0072BC"/>
            <w:lang w:val="en-GB"/>
          </w:rPr>
          <w:t xml:space="preserve">Sâmbata Bihor Greco-Catholic Parish p. Rumunii </w:t>
        </w:r>
      </w:hyperlink>
      <w:r w:rsidR="000425B4" w:rsidRPr="000625F6">
        <w:rPr>
          <w:lang w:val="en-GB"/>
        </w:rPr>
        <w:t>(dec.), nr 48107/99, 25 maja 2004 r.</w:t>
      </w:r>
    </w:p>
    <w:p w:rsidR="00B71A20" w:rsidRPr="000625F6" w:rsidRDefault="0093676E">
      <w:pPr>
        <w:pStyle w:val="Teksttreci0"/>
        <w:spacing w:after="0"/>
        <w:rPr>
          <w:lang w:val="pl-PL"/>
        </w:rPr>
      </w:pPr>
      <w:hyperlink r:id="rId2647" w:history="1">
        <w:r w:rsidR="000425B4">
          <w:rPr>
            <w:i/>
            <w:iCs/>
            <w:color w:val="0072BC"/>
            <w:lang w:val="pl"/>
          </w:rPr>
          <w:t>Sánchez Ramirez p. Francji</w:t>
        </w:r>
        <w:r w:rsidR="000425B4">
          <w:rPr>
            <w:lang w:val="pl"/>
          </w:rPr>
          <w:t>,</w:t>
        </w:r>
      </w:hyperlink>
      <w:r w:rsidR="000425B4">
        <w:rPr>
          <w:lang w:val="pl"/>
        </w:rPr>
        <w:t xml:space="preserve"> nr 48787/99, Decyzja Komisji z dnia 24 czerwca 1996 r., DR 86</w:t>
      </w:r>
    </w:p>
    <w:p w:rsidR="002E0B1F" w:rsidRDefault="0093676E" w:rsidP="002E0B1F">
      <w:pPr>
        <w:pStyle w:val="Teksttreci0"/>
        <w:spacing w:after="0"/>
        <w:rPr>
          <w:lang w:val="pl"/>
        </w:rPr>
      </w:pPr>
      <w:hyperlink r:id="rId2648" w:history="1">
        <w:r w:rsidR="000425B4">
          <w:rPr>
            <w:i/>
            <w:iCs/>
            <w:color w:val="0072BC"/>
            <w:lang w:val="pl"/>
          </w:rPr>
          <w:t>Sancho Cruz i inne sprawy dotyczące „reformy rolnej” p. Portugalii</w:t>
        </w:r>
        <w:r w:rsidR="000425B4">
          <w:rPr>
            <w:lang w:val="pl"/>
          </w:rPr>
          <w:t>,</w:t>
        </w:r>
      </w:hyperlink>
      <w:r w:rsidR="000425B4">
        <w:rPr>
          <w:lang w:val="pl"/>
        </w:rPr>
        <w:t xml:space="preserve"> </w:t>
      </w:r>
    </w:p>
    <w:p w:rsidR="00B71A20" w:rsidRPr="000625F6" w:rsidRDefault="000425B4" w:rsidP="002E0B1F">
      <w:pPr>
        <w:pStyle w:val="Teksttreci0"/>
        <w:spacing w:after="0"/>
        <w:ind w:left="567"/>
        <w:rPr>
          <w:lang w:val="pl"/>
        </w:rPr>
      </w:pPr>
      <w:r>
        <w:rPr>
          <w:lang w:val="pl"/>
        </w:rPr>
        <w:t>nr 8851/07 i 14 innych, 18 stycznia 2011 r.</w:t>
      </w:r>
    </w:p>
    <w:p w:rsidR="00B71A20" w:rsidRPr="000625F6" w:rsidRDefault="0093676E">
      <w:pPr>
        <w:pStyle w:val="Teksttreci0"/>
        <w:spacing w:after="0"/>
        <w:rPr>
          <w:lang w:val="pl-PL"/>
        </w:rPr>
      </w:pPr>
      <w:hyperlink r:id="rId2649" w:history="1">
        <w:r w:rsidR="000425B4">
          <w:rPr>
            <w:i/>
            <w:iCs/>
            <w:color w:val="0072BC"/>
            <w:lang w:val="pl"/>
          </w:rPr>
          <w:t>Şandru i Inni p. Rumunii</w:t>
        </w:r>
        <w:r w:rsidR="000425B4">
          <w:rPr>
            <w:lang w:val="pl"/>
          </w:rPr>
          <w:t>,</w:t>
        </w:r>
      </w:hyperlink>
      <w:r w:rsidR="000425B4">
        <w:rPr>
          <w:lang w:val="pl"/>
        </w:rPr>
        <w:t xml:space="preserve"> nr 22465/03, 8 grudnia 2009 r.</w:t>
      </w:r>
    </w:p>
    <w:p w:rsidR="00B71A20" w:rsidRPr="000625F6" w:rsidRDefault="0093676E">
      <w:pPr>
        <w:pStyle w:val="Teksttreci0"/>
        <w:spacing w:after="0" w:line="230" w:lineRule="auto"/>
        <w:rPr>
          <w:lang w:val="pl-PL"/>
        </w:rPr>
      </w:pPr>
      <w:hyperlink r:id="rId2650" w:history="1">
        <w:r w:rsidR="000425B4">
          <w:rPr>
            <w:i/>
            <w:iCs/>
            <w:color w:val="0072BC"/>
            <w:lang w:val="pl"/>
          </w:rPr>
          <w:t xml:space="preserve">Sanles Sanles p. Hiszpanii </w:t>
        </w:r>
      </w:hyperlink>
      <w:r w:rsidR="000425B4">
        <w:rPr>
          <w:lang w:val="pl"/>
        </w:rPr>
        <w:t>(dec.), nr 48335/99, ECHR 2000-XI</w:t>
      </w:r>
    </w:p>
    <w:p w:rsidR="00B71A20" w:rsidRPr="000625F6" w:rsidRDefault="0093676E">
      <w:pPr>
        <w:pStyle w:val="Teksttreci0"/>
        <w:spacing w:after="0"/>
        <w:rPr>
          <w:lang w:val="pl-PL"/>
        </w:rPr>
      </w:pPr>
      <w:hyperlink r:id="rId2651" w:history="1">
        <w:r w:rsidR="000425B4">
          <w:rPr>
            <w:i/>
            <w:iCs/>
            <w:color w:val="0072BC"/>
            <w:lang w:val="pl"/>
          </w:rPr>
          <w:t>Sapeyan p. Armenii</w:t>
        </w:r>
        <w:r w:rsidR="000425B4">
          <w:rPr>
            <w:lang w:val="pl"/>
          </w:rPr>
          <w:t>,</w:t>
        </w:r>
      </w:hyperlink>
      <w:r w:rsidR="000425B4">
        <w:rPr>
          <w:lang w:val="pl"/>
        </w:rPr>
        <w:t xml:space="preserve"> nr 35738/03, 13 stycznia 2009 r.</w:t>
      </w:r>
    </w:p>
    <w:p w:rsidR="00B71A20" w:rsidRPr="000625F6" w:rsidRDefault="0093676E">
      <w:pPr>
        <w:pStyle w:val="Teksttreci0"/>
        <w:spacing w:after="0"/>
        <w:rPr>
          <w:lang w:val="pl-PL"/>
        </w:rPr>
      </w:pPr>
      <w:hyperlink r:id="rId2652" w:history="1">
        <w:r w:rsidR="000425B4">
          <w:rPr>
            <w:i/>
            <w:iCs/>
            <w:color w:val="0072BC"/>
            <w:lang w:val="pl"/>
          </w:rPr>
          <w:t xml:space="preserve">Sargsyan p. Azerbejdżanowi </w:t>
        </w:r>
      </w:hyperlink>
      <w:r w:rsidR="000425B4">
        <w:rPr>
          <w:lang w:val="pl"/>
        </w:rPr>
        <w:t>(dec.) [WI], nr 40167/06, 14 grudnia 2011 r.</w:t>
      </w:r>
    </w:p>
    <w:p w:rsidR="00B71A20" w:rsidRPr="000625F6" w:rsidRDefault="0093676E">
      <w:pPr>
        <w:pStyle w:val="Teksttreci0"/>
        <w:spacing w:after="0"/>
        <w:rPr>
          <w:lang w:val="pl-PL"/>
        </w:rPr>
      </w:pPr>
      <w:hyperlink r:id="rId2653" w:history="1">
        <w:r w:rsidR="000425B4">
          <w:rPr>
            <w:i/>
            <w:iCs/>
            <w:color w:val="0072BC"/>
            <w:lang w:val="pl"/>
          </w:rPr>
          <w:t xml:space="preserve">Sargsyan p. Azerbejdżanowi </w:t>
        </w:r>
      </w:hyperlink>
      <w:r w:rsidR="000425B4">
        <w:rPr>
          <w:lang w:val="pl"/>
        </w:rPr>
        <w:t>[WI], nr 40167/06, ECHR 2015</w:t>
      </w:r>
    </w:p>
    <w:p w:rsidR="00B71A20" w:rsidRPr="000625F6" w:rsidRDefault="0093676E">
      <w:pPr>
        <w:pStyle w:val="Teksttreci0"/>
        <w:spacing w:after="0"/>
        <w:rPr>
          <w:lang w:val="pl-PL"/>
        </w:rPr>
      </w:pPr>
      <w:hyperlink r:id="rId2654" w:history="1">
        <w:r w:rsidR="000425B4">
          <w:rPr>
            <w:i/>
            <w:iCs/>
            <w:color w:val="0072BC"/>
            <w:lang w:val="pl"/>
          </w:rPr>
          <w:t xml:space="preserve">Satakunnan Markkinapörssi Oy i Satamedia Oy p. Finlandii </w:t>
        </w:r>
      </w:hyperlink>
      <w:r w:rsidR="000425B4">
        <w:rPr>
          <w:lang w:val="pl"/>
        </w:rPr>
        <w:t>[WI], nr 931/13, 27 czerwca 2017 r.</w:t>
      </w:r>
    </w:p>
    <w:p w:rsidR="00B71A20" w:rsidRPr="000625F6" w:rsidRDefault="0093676E">
      <w:pPr>
        <w:pStyle w:val="Teksttreci0"/>
        <w:spacing w:after="0"/>
        <w:rPr>
          <w:lang w:val="pl-PL"/>
        </w:rPr>
      </w:pPr>
      <w:hyperlink r:id="rId2655" w:history="1">
        <w:r w:rsidR="000425B4">
          <w:rPr>
            <w:i/>
            <w:iCs/>
            <w:color w:val="0072BC"/>
            <w:lang w:val="pl"/>
          </w:rPr>
          <w:t xml:space="preserve">Savelyev p. Rosji </w:t>
        </w:r>
      </w:hyperlink>
      <w:r w:rsidR="000425B4">
        <w:rPr>
          <w:lang w:val="pl"/>
        </w:rPr>
        <w:t>(dec.), nr 42982/08, 21 maja 2019 r.</w:t>
      </w:r>
    </w:p>
    <w:p w:rsidR="00B71A20" w:rsidRPr="000625F6" w:rsidRDefault="0093676E">
      <w:pPr>
        <w:pStyle w:val="Teksttreci0"/>
        <w:spacing w:after="0"/>
        <w:rPr>
          <w:lang w:val="pl-PL"/>
        </w:rPr>
      </w:pPr>
      <w:hyperlink r:id="rId2656" w:history="1">
        <w:r w:rsidR="000425B4">
          <w:rPr>
            <w:i/>
            <w:iCs/>
            <w:color w:val="0072BC"/>
            <w:lang w:val="pl"/>
          </w:rPr>
          <w:t>Savenko and Inni p. Rosji</w:t>
        </w:r>
        <w:r w:rsidR="000425B4">
          <w:rPr>
            <w:lang w:val="pl"/>
          </w:rPr>
          <w:t xml:space="preserve">, </w:t>
        </w:r>
      </w:hyperlink>
      <w:r w:rsidR="000425B4">
        <w:rPr>
          <w:lang w:val="pl"/>
        </w:rPr>
        <w:t>nr 13918/06, 14 września 2021 r.</w:t>
      </w:r>
    </w:p>
    <w:p w:rsidR="00B71A20" w:rsidRPr="000625F6" w:rsidRDefault="0093676E">
      <w:pPr>
        <w:pStyle w:val="Teksttreci0"/>
        <w:spacing w:after="0"/>
        <w:rPr>
          <w:lang w:val="pl-PL"/>
        </w:rPr>
      </w:pPr>
      <w:hyperlink r:id="rId2657" w:history="1">
        <w:r w:rsidR="000425B4">
          <w:rPr>
            <w:i/>
            <w:iCs/>
            <w:color w:val="0072BC"/>
            <w:lang w:val="pl"/>
          </w:rPr>
          <w:t>Savriddin Dzhurayev p. Rosji</w:t>
        </w:r>
        <w:r w:rsidR="000425B4">
          <w:rPr>
            <w:lang w:val="pl"/>
          </w:rPr>
          <w:t>,</w:t>
        </w:r>
      </w:hyperlink>
      <w:r w:rsidR="000425B4">
        <w:rPr>
          <w:lang w:val="pl"/>
        </w:rPr>
        <w:t xml:space="preserve"> nr 71386/10, ECHR 2013</w:t>
      </w:r>
    </w:p>
    <w:p w:rsidR="00B71A20" w:rsidRPr="000625F6" w:rsidRDefault="0093676E">
      <w:pPr>
        <w:pStyle w:val="Teksttreci0"/>
        <w:spacing w:after="0"/>
        <w:rPr>
          <w:lang w:val="pl-PL"/>
        </w:rPr>
      </w:pPr>
      <w:hyperlink r:id="rId2658" w:history="1">
        <w:r w:rsidR="000425B4">
          <w:rPr>
            <w:i/>
            <w:iCs/>
            <w:color w:val="0072BC"/>
            <w:lang w:val="pl"/>
          </w:rPr>
          <w:t xml:space="preserve">Savu p. Rumunii </w:t>
        </w:r>
      </w:hyperlink>
      <w:r w:rsidR="000425B4">
        <w:rPr>
          <w:lang w:val="pl"/>
        </w:rPr>
        <w:t>(dec.), nr 29218/05, 11 października 2011 r.</w:t>
      </w:r>
    </w:p>
    <w:p w:rsidR="00B71A20" w:rsidRPr="000625F6" w:rsidRDefault="0093676E">
      <w:pPr>
        <w:pStyle w:val="Teksttreci0"/>
        <w:spacing w:after="0"/>
        <w:rPr>
          <w:lang w:val="pl-PL"/>
        </w:rPr>
      </w:pPr>
      <w:hyperlink r:id="rId2659" w:history="1">
        <w:r w:rsidR="000425B4">
          <w:rPr>
            <w:i/>
            <w:iCs/>
            <w:color w:val="0072BC"/>
            <w:lang w:val="pl"/>
          </w:rPr>
          <w:t xml:space="preserve">Scavuzzo-Hager i Inni p. Szwajcarii </w:t>
        </w:r>
      </w:hyperlink>
      <w:r w:rsidR="000425B4">
        <w:rPr>
          <w:lang w:val="pl"/>
        </w:rPr>
        <w:t>(dec.), nr 41773/98, 30 listopada 2004 r.</w:t>
      </w:r>
    </w:p>
    <w:p w:rsidR="00B71A20" w:rsidRPr="000625F6" w:rsidRDefault="0093676E">
      <w:pPr>
        <w:pStyle w:val="Teksttreci0"/>
        <w:spacing w:after="0"/>
        <w:rPr>
          <w:lang w:val="pl-PL"/>
        </w:rPr>
      </w:pPr>
      <w:hyperlink r:id="rId2660" w:history="1">
        <w:r w:rsidR="000425B4">
          <w:rPr>
            <w:i/>
            <w:iCs/>
            <w:color w:val="0072BC"/>
            <w:lang w:val="pl"/>
          </w:rPr>
          <w:t>Ščensnovičius p. Litwie</w:t>
        </w:r>
        <w:r w:rsidR="000425B4">
          <w:rPr>
            <w:lang w:val="pl"/>
          </w:rPr>
          <w:t>,</w:t>
        </w:r>
      </w:hyperlink>
      <w:r w:rsidR="000425B4">
        <w:rPr>
          <w:lang w:val="pl"/>
        </w:rPr>
        <w:t xml:space="preserve"> nr 62663/13, 10 lipca 2018 r.</w:t>
      </w:r>
    </w:p>
    <w:p w:rsidR="00B71A20" w:rsidRPr="000625F6" w:rsidRDefault="0093676E" w:rsidP="002E0B1F">
      <w:pPr>
        <w:pStyle w:val="Teksttreci0"/>
        <w:spacing w:after="0"/>
        <w:rPr>
          <w:lang w:val="pl-PL"/>
        </w:rPr>
      </w:pPr>
      <w:hyperlink r:id="rId2661" w:history="1">
        <w:r w:rsidR="000425B4">
          <w:rPr>
            <w:i/>
            <w:iCs/>
            <w:color w:val="0072BC"/>
            <w:lang w:val="pl"/>
          </w:rPr>
          <w:t>Schipani i Inni p. Włochom</w:t>
        </w:r>
        <w:r w:rsidR="000425B4">
          <w:rPr>
            <w:lang w:val="pl"/>
          </w:rPr>
          <w:t>,</w:t>
        </w:r>
      </w:hyperlink>
      <w:r w:rsidR="000425B4">
        <w:rPr>
          <w:lang w:val="pl"/>
        </w:rPr>
        <w:t xml:space="preserve"> nr 38369/09, 21 lipca 2015 r.</w:t>
      </w:r>
    </w:p>
    <w:p w:rsidR="00B71A20" w:rsidRDefault="0093676E">
      <w:pPr>
        <w:pStyle w:val="Teksttreci0"/>
        <w:spacing w:after="0"/>
        <w:rPr>
          <w:lang w:val="pl"/>
        </w:rPr>
      </w:pPr>
      <w:hyperlink r:id="rId2662" w:history="1">
        <w:r w:rsidR="000425B4">
          <w:rPr>
            <w:i/>
            <w:iCs/>
            <w:color w:val="0072BC"/>
            <w:lang w:val="pl"/>
          </w:rPr>
          <w:t>Schmidt p. Łotwie</w:t>
        </w:r>
        <w:r w:rsidR="000425B4">
          <w:rPr>
            <w:lang w:val="pl"/>
          </w:rPr>
          <w:t>,</w:t>
        </w:r>
      </w:hyperlink>
      <w:r w:rsidR="000425B4">
        <w:rPr>
          <w:lang w:val="pl"/>
        </w:rPr>
        <w:t xml:space="preserve"> nr 22493/05, 27 kwietnia 2017 r.</w:t>
      </w:r>
    </w:p>
    <w:p w:rsidR="002E0B1F" w:rsidRDefault="0093676E">
      <w:pPr>
        <w:pStyle w:val="Teksttreci0"/>
        <w:spacing w:after="0"/>
        <w:rPr>
          <w:lang w:val="en-GB"/>
        </w:rPr>
      </w:pPr>
      <w:hyperlink r:id="rId2663" w:anchor="%7B%22itemid%22:[%22001-206713%22]%7D" w:history="1">
        <w:r w:rsidR="002E0B1F" w:rsidRPr="002E0B1F">
          <w:rPr>
            <w:i/>
            <w:iCs/>
            <w:color w:val="0072BC"/>
            <w:lang w:val="en-GB"/>
          </w:rPr>
          <w:t>Schweizerische Radio- und Fernsehgesellschaft i publisuisse SA p.</w:t>
        </w:r>
        <w:r w:rsidR="002E0B1F">
          <w:rPr>
            <w:i/>
            <w:iCs/>
            <w:color w:val="0072BC"/>
            <w:lang w:val="en-GB"/>
          </w:rPr>
          <w:t> </w:t>
        </w:r>
        <w:r w:rsidR="002E0B1F" w:rsidRPr="002E0B1F">
          <w:rPr>
            <w:i/>
            <w:iCs/>
            <w:color w:val="0072BC"/>
            <w:lang w:val="en-GB"/>
          </w:rPr>
          <w:t>Szwajcarii</w:t>
        </w:r>
      </w:hyperlink>
      <w:r w:rsidR="002E0B1F">
        <w:rPr>
          <w:lang w:val="en-GB"/>
        </w:rPr>
        <w:t xml:space="preserve">, </w:t>
      </w:r>
    </w:p>
    <w:p w:rsidR="002E0B1F" w:rsidRPr="000625F6" w:rsidRDefault="002E0B1F" w:rsidP="002E0B1F">
      <w:pPr>
        <w:pStyle w:val="Teksttreci0"/>
        <w:spacing w:after="0"/>
        <w:ind w:left="567"/>
        <w:rPr>
          <w:lang w:val="pl-PL"/>
        </w:rPr>
      </w:pPr>
      <w:r w:rsidRPr="004E79D6">
        <w:rPr>
          <w:lang w:val="pl-PL"/>
        </w:rPr>
        <w:t>nr 41723/14, 22 grudnia 2020 r.</w:t>
      </w:r>
    </w:p>
    <w:p w:rsidR="00B71A20" w:rsidRPr="000625F6" w:rsidRDefault="0093676E">
      <w:pPr>
        <w:pStyle w:val="Teksttreci0"/>
        <w:spacing w:after="0"/>
        <w:rPr>
          <w:lang w:val="pl-PL"/>
        </w:rPr>
      </w:pPr>
      <w:hyperlink r:id="rId2664" w:history="1">
        <w:r w:rsidR="000425B4">
          <w:rPr>
            <w:i/>
            <w:iCs/>
            <w:color w:val="0072BC"/>
            <w:lang w:val="pl"/>
          </w:rPr>
          <w:t xml:space="preserve">Scoppola p. Włochom (nr 2) </w:t>
        </w:r>
      </w:hyperlink>
      <w:r w:rsidR="000425B4">
        <w:rPr>
          <w:lang w:val="pl"/>
        </w:rPr>
        <w:t>[WI], nr 10249/03, 17 września 2009 r.</w:t>
      </w:r>
    </w:p>
    <w:p w:rsidR="00B71A20" w:rsidRPr="000625F6" w:rsidRDefault="0093676E">
      <w:pPr>
        <w:pStyle w:val="Teksttreci0"/>
        <w:spacing w:after="0"/>
        <w:rPr>
          <w:lang w:val="pl-PL"/>
        </w:rPr>
      </w:pPr>
      <w:hyperlink r:id="rId2665" w:history="1">
        <w:r w:rsidR="000425B4">
          <w:rPr>
            <w:i/>
            <w:iCs/>
            <w:color w:val="0072BC"/>
            <w:lang w:val="pl"/>
          </w:rPr>
          <w:t xml:space="preserve">Scordino p. Włochom </w:t>
        </w:r>
      </w:hyperlink>
      <w:r w:rsidR="000425B4">
        <w:rPr>
          <w:lang w:val="pl"/>
        </w:rPr>
        <w:t>(dec.), nr 36813/97, ECHR 2003-IV</w:t>
      </w:r>
    </w:p>
    <w:p w:rsidR="00B71A20" w:rsidRPr="000625F6" w:rsidRDefault="0093676E">
      <w:pPr>
        <w:pStyle w:val="Teksttreci0"/>
        <w:spacing w:after="0"/>
        <w:rPr>
          <w:lang w:val="pl-PL"/>
        </w:rPr>
      </w:pPr>
      <w:hyperlink r:id="rId2666" w:history="1">
        <w:r w:rsidR="000425B4">
          <w:rPr>
            <w:i/>
            <w:iCs/>
            <w:color w:val="0072BC"/>
            <w:lang w:val="pl"/>
          </w:rPr>
          <w:t xml:space="preserve">Scordino p. Włochom (nr 1) </w:t>
        </w:r>
      </w:hyperlink>
      <w:r w:rsidR="000425B4">
        <w:rPr>
          <w:lang w:val="pl"/>
        </w:rPr>
        <w:t>[WI], nr 36813/97, ECHR 2006-V</w:t>
      </w:r>
    </w:p>
    <w:p w:rsidR="00B71A20" w:rsidRDefault="0093676E">
      <w:pPr>
        <w:pStyle w:val="Teksttreci0"/>
        <w:spacing w:after="0"/>
        <w:rPr>
          <w:lang w:val="pl"/>
        </w:rPr>
      </w:pPr>
      <w:hyperlink r:id="rId2667" w:history="1">
        <w:r w:rsidR="000425B4">
          <w:rPr>
            <w:i/>
            <w:iCs/>
            <w:color w:val="0072BC"/>
            <w:lang w:val="pl"/>
          </w:rPr>
          <w:t xml:space="preserve">Scozzari i Giunta p. Włochom </w:t>
        </w:r>
      </w:hyperlink>
      <w:r w:rsidR="000425B4">
        <w:rPr>
          <w:lang w:val="pl"/>
        </w:rPr>
        <w:t>[WI], nr 39221/98 i 41963/98, ECHR 2000-VIII</w:t>
      </w:r>
    </w:p>
    <w:p w:rsidR="002E0B1F" w:rsidRPr="000625F6" w:rsidRDefault="0093676E">
      <w:pPr>
        <w:pStyle w:val="Teksttreci0"/>
        <w:spacing w:after="0"/>
        <w:rPr>
          <w:lang w:val="pl-PL"/>
        </w:rPr>
      </w:pPr>
      <w:hyperlink r:id="rId2668" w:history="1">
        <w:r w:rsidR="002E0B1F" w:rsidRPr="002E0B1F">
          <w:rPr>
            <w:i/>
            <w:iCs/>
            <w:color w:val="0072BC"/>
            <w:lang w:val="pl"/>
          </w:rPr>
          <w:t>Sebeleva i Inni p.</w:t>
        </w:r>
        <w:r w:rsidR="00952ED5">
          <w:rPr>
            <w:i/>
            <w:iCs/>
            <w:color w:val="0072BC"/>
            <w:lang w:val="pl"/>
          </w:rPr>
          <w:t> </w:t>
        </w:r>
        <w:r w:rsidR="002E0B1F" w:rsidRPr="002E0B1F">
          <w:rPr>
            <w:i/>
            <w:iCs/>
            <w:color w:val="0072BC"/>
            <w:lang w:val="pl"/>
          </w:rPr>
          <w:t>Rosji</w:t>
        </w:r>
      </w:hyperlink>
      <w:r w:rsidR="002E0B1F">
        <w:rPr>
          <w:lang w:val="pl"/>
        </w:rPr>
        <w:t>, nr 42416/18, 1 marca 2022 r.</w:t>
      </w:r>
    </w:p>
    <w:p w:rsidR="00B71A20" w:rsidRPr="000625F6" w:rsidRDefault="0093676E">
      <w:pPr>
        <w:pStyle w:val="Teksttreci0"/>
        <w:spacing w:after="0"/>
        <w:rPr>
          <w:lang w:val="pl-PL"/>
        </w:rPr>
      </w:pPr>
      <w:hyperlink r:id="rId2669" w:history="1">
        <w:r w:rsidR="000425B4">
          <w:rPr>
            <w:i/>
            <w:iCs/>
            <w:color w:val="0072BC"/>
            <w:lang w:val="pl"/>
          </w:rPr>
          <w:t>Segame SA p. Francji</w:t>
        </w:r>
        <w:r w:rsidR="000425B4">
          <w:rPr>
            <w:lang w:val="pl"/>
          </w:rPr>
          <w:t>,</w:t>
        </w:r>
      </w:hyperlink>
      <w:r w:rsidR="000425B4">
        <w:rPr>
          <w:lang w:val="pl"/>
        </w:rPr>
        <w:t xml:space="preserve"> nr 4837/06, ECHR 2012</w:t>
      </w:r>
    </w:p>
    <w:p w:rsidR="00B71A20" w:rsidRPr="000625F6" w:rsidRDefault="0093676E">
      <w:pPr>
        <w:pStyle w:val="Teksttreci0"/>
        <w:spacing w:after="0"/>
        <w:rPr>
          <w:lang w:val="pl-PL"/>
        </w:rPr>
      </w:pPr>
      <w:hyperlink r:id="rId2670" w:history="1">
        <w:r w:rsidR="000425B4">
          <w:rPr>
            <w:i/>
            <w:iCs/>
            <w:color w:val="0072BC"/>
            <w:lang w:val="pl"/>
          </w:rPr>
          <w:t xml:space="preserve">Sejdić i Finci p. Bośni i Hercegowinie </w:t>
        </w:r>
      </w:hyperlink>
      <w:r w:rsidR="000425B4">
        <w:rPr>
          <w:lang w:val="pl"/>
        </w:rPr>
        <w:t>[WI], nr 27996/06 i 34836/06, ECHR 2009</w:t>
      </w:r>
    </w:p>
    <w:p w:rsidR="00B71A20" w:rsidRPr="000625F6" w:rsidRDefault="0093676E">
      <w:pPr>
        <w:pStyle w:val="Teksttreci0"/>
        <w:spacing w:after="0"/>
        <w:rPr>
          <w:lang w:val="pl-PL"/>
        </w:rPr>
      </w:pPr>
      <w:hyperlink r:id="rId2671" w:history="1">
        <w:r w:rsidR="000425B4">
          <w:rPr>
            <w:i/>
            <w:iCs/>
            <w:color w:val="0072BC"/>
            <w:lang w:val="pl"/>
          </w:rPr>
          <w:t xml:space="preserve">Sejdovic p. Włochom </w:t>
        </w:r>
      </w:hyperlink>
      <w:r w:rsidR="000425B4">
        <w:rPr>
          <w:lang w:val="pl"/>
        </w:rPr>
        <w:t>[WI], nr 56581/00, ECHR 2006-II</w:t>
      </w:r>
    </w:p>
    <w:p w:rsidR="00B71A20" w:rsidRPr="000625F6" w:rsidRDefault="0093676E">
      <w:pPr>
        <w:pStyle w:val="Teksttreci0"/>
        <w:spacing w:after="0"/>
        <w:rPr>
          <w:lang w:val="pl-PL"/>
        </w:rPr>
      </w:pPr>
      <w:hyperlink r:id="rId2672" w:history="1">
        <w:r w:rsidR="000425B4">
          <w:rPr>
            <w:i/>
            <w:iCs/>
            <w:color w:val="0072BC"/>
            <w:lang w:val="pl"/>
          </w:rPr>
          <w:t xml:space="preserve">Şeker p. Turcji </w:t>
        </w:r>
      </w:hyperlink>
      <w:r w:rsidR="000425B4">
        <w:rPr>
          <w:lang w:val="pl"/>
        </w:rPr>
        <w:t>(dec.), nr 30330/19, 7 września 2021 r.</w:t>
      </w:r>
    </w:p>
    <w:p w:rsidR="00B71A20" w:rsidRPr="000625F6" w:rsidRDefault="0093676E">
      <w:pPr>
        <w:pStyle w:val="Teksttreci0"/>
        <w:spacing w:after="0"/>
        <w:rPr>
          <w:lang w:val="pl-PL"/>
        </w:rPr>
      </w:pPr>
      <w:hyperlink r:id="rId2673" w:history="1">
        <w:r w:rsidR="000425B4">
          <w:rPr>
            <w:i/>
            <w:iCs/>
            <w:color w:val="0072BC"/>
            <w:lang w:val="pl"/>
          </w:rPr>
          <w:t>Šeks p. Chorwacji</w:t>
        </w:r>
        <w:r w:rsidR="000425B4">
          <w:rPr>
            <w:lang w:val="pl"/>
          </w:rPr>
          <w:t>,</w:t>
        </w:r>
      </w:hyperlink>
      <w:r w:rsidR="000425B4">
        <w:rPr>
          <w:lang w:val="pl"/>
        </w:rPr>
        <w:t xml:space="preserve"> nr 39325/20, 3 lutego 2022 r.</w:t>
      </w:r>
    </w:p>
    <w:p w:rsidR="00B71A20" w:rsidRPr="000625F6" w:rsidRDefault="0093676E">
      <w:pPr>
        <w:pStyle w:val="Teksttreci0"/>
        <w:spacing w:after="0"/>
        <w:rPr>
          <w:lang w:val="pl-PL"/>
        </w:rPr>
      </w:pPr>
      <w:hyperlink r:id="rId2674" w:history="1">
        <w:r w:rsidR="000425B4">
          <w:rPr>
            <w:i/>
            <w:iCs/>
            <w:color w:val="0072BC"/>
            <w:lang w:val="pl"/>
          </w:rPr>
          <w:t xml:space="preserve">Selahattin Demirtaş p. Turcji (nr 2) </w:t>
        </w:r>
      </w:hyperlink>
      <w:r w:rsidR="000425B4">
        <w:rPr>
          <w:lang w:val="pl"/>
        </w:rPr>
        <w:t>[WI], nr 14305/17, 22 grudnia 2020 r.</w:t>
      </w:r>
    </w:p>
    <w:p w:rsidR="00B71A20" w:rsidRPr="000625F6" w:rsidRDefault="0093676E">
      <w:pPr>
        <w:pStyle w:val="Teksttreci0"/>
        <w:spacing w:after="0"/>
        <w:rPr>
          <w:lang w:val="pl-PL"/>
        </w:rPr>
      </w:pPr>
      <w:hyperlink r:id="rId2675" w:history="1">
        <w:r w:rsidR="000425B4">
          <w:rPr>
            <w:i/>
            <w:iCs/>
            <w:color w:val="0072BC"/>
            <w:lang w:val="pl"/>
          </w:rPr>
          <w:t>Selami i Inni p. Byłej Jugosłowiańskiej Republice Macedonii</w:t>
        </w:r>
        <w:r w:rsidR="000425B4">
          <w:rPr>
            <w:lang w:val="pl"/>
          </w:rPr>
          <w:t>,</w:t>
        </w:r>
      </w:hyperlink>
      <w:r w:rsidR="000425B4">
        <w:rPr>
          <w:lang w:val="pl"/>
        </w:rPr>
        <w:t xml:space="preserve"> nr 78241/13, 1 marca 2018 r.</w:t>
      </w:r>
    </w:p>
    <w:p w:rsidR="00B71A20" w:rsidRPr="000625F6" w:rsidRDefault="0093676E">
      <w:pPr>
        <w:pStyle w:val="Teksttreci0"/>
        <w:spacing w:after="0"/>
        <w:rPr>
          <w:lang w:val="pl-PL"/>
        </w:rPr>
      </w:pPr>
      <w:hyperlink r:id="rId2676" w:history="1">
        <w:r w:rsidR="000425B4">
          <w:rPr>
            <w:i/>
            <w:iCs/>
            <w:color w:val="0072BC"/>
            <w:lang w:val="pl"/>
          </w:rPr>
          <w:t>Selami i Inni p. Byłej Jugosłowiańskiej Republice Macedonii</w:t>
        </w:r>
        <w:r w:rsidR="000425B4">
          <w:rPr>
            <w:lang w:val="pl"/>
          </w:rPr>
          <w:t>,</w:t>
        </w:r>
      </w:hyperlink>
      <w:r w:rsidR="000425B4">
        <w:rPr>
          <w:lang w:val="pl"/>
        </w:rPr>
        <w:t xml:space="preserve"> nr 67259/14, 9 lutego 2017 r.</w:t>
      </w:r>
    </w:p>
    <w:p w:rsidR="00B71A20" w:rsidRPr="000625F6" w:rsidRDefault="0093676E">
      <w:pPr>
        <w:pStyle w:val="Teksttreci0"/>
        <w:spacing w:after="0"/>
        <w:rPr>
          <w:lang w:val="pl-PL"/>
        </w:rPr>
      </w:pPr>
      <w:hyperlink r:id="rId2677" w:history="1">
        <w:r w:rsidR="000425B4">
          <w:rPr>
            <w:i/>
            <w:iCs/>
            <w:color w:val="0072BC"/>
            <w:lang w:val="pl"/>
          </w:rPr>
          <w:t xml:space="preserve">Selmouni p. Francji </w:t>
        </w:r>
      </w:hyperlink>
      <w:r w:rsidR="000425B4">
        <w:rPr>
          <w:lang w:val="pl"/>
        </w:rPr>
        <w:t>[WI], nr 25803/94, ECHR 1999-V</w:t>
      </w:r>
    </w:p>
    <w:p w:rsidR="00B71A20" w:rsidRPr="000625F6" w:rsidRDefault="0093676E">
      <w:pPr>
        <w:pStyle w:val="Teksttreci0"/>
        <w:spacing w:after="0"/>
        <w:ind w:left="580" w:hanging="580"/>
        <w:rPr>
          <w:lang w:val="pl"/>
        </w:rPr>
      </w:pPr>
      <w:hyperlink r:id="rId2678" w:history="1">
        <w:r w:rsidR="000425B4">
          <w:rPr>
            <w:i/>
            <w:iCs/>
            <w:color w:val="0072BC"/>
            <w:lang w:val="pl"/>
          </w:rPr>
          <w:t>Senator Lines GmbH p. piętnastu Państwom członkowskim Unii Europejskiej</w:t>
        </w:r>
        <w:r w:rsidR="000425B4">
          <w:rPr>
            <w:color w:val="0072BC"/>
            <w:lang w:val="pl"/>
          </w:rPr>
          <w:t xml:space="preserve"> </w:t>
        </w:r>
      </w:hyperlink>
      <w:r w:rsidR="000425B4">
        <w:rPr>
          <w:lang w:val="pl"/>
        </w:rPr>
        <w:t>(dec.) [WI], nr 56672/00, ECHR 2004-IV</w:t>
      </w:r>
    </w:p>
    <w:p w:rsidR="00B71A20" w:rsidRPr="000625F6" w:rsidRDefault="0093676E">
      <w:pPr>
        <w:pStyle w:val="Teksttreci0"/>
        <w:spacing w:after="0"/>
        <w:rPr>
          <w:lang w:val="pl"/>
        </w:rPr>
      </w:pPr>
      <w:hyperlink r:id="rId2679" w:history="1">
        <w:r w:rsidR="000425B4">
          <w:rPr>
            <w:i/>
            <w:iCs/>
            <w:color w:val="0072BC"/>
            <w:lang w:val="pl"/>
          </w:rPr>
          <w:t xml:space="preserve">Sergey Zolotukhin p. Rosji </w:t>
        </w:r>
      </w:hyperlink>
      <w:r w:rsidR="000425B4">
        <w:rPr>
          <w:lang w:val="pl"/>
        </w:rPr>
        <w:t>[WI], nr 14939/03, ECHR 2009</w:t>
      </w:r>
    </w:p>
    <w:p w:rsidR="00B71A20" w:rsidRPr="000625F6" w:rsidRDefault="0093676E">
      <w:pPr>
        <w:pStyle w:val="Teksttreci0"/>
        <w:spacing w:after="0"/>
        <w:rPr>
          <w:lang w:val="pl-PL"/>
        </w:rPr>
      </w:pPr>
      <w:hyperlink r:id="rId2680" w:history="1">
        <w:r w:rsidR="000425B4">
          <w:rPr>
            <w:i/>
            <w:iCs/>
            <w:color w:val="0072BC"/>
            <w:lang w:val="pl"/>
          </w:rPr>
          <w:t>Shalyavski i Inni p. Bułgarii</w:t>
        </w:r>
        <w:r w:rsidR="000425B4">
          <w:rPr>
            <w:lang w:val="pl"/>
          </w:rPr>
          <w:t>,</w:t>
        </w:r>
      </w:hyperlink>
      <w:r w:rsidR="000425B4">
        <w:rPr>
          <w:lang w:val="pl"/>
        </w:rPr>
        <w:t xml:space="preserve"> nr 67608/11, 15 czerwca 2017 r., nr 52142/12, 21 marca 2017 r.</w:t>
      </w:r>
    </w:p>
    <w:p w:rsidR="00B71A20" w:rsidRPr="000625F6" w:rsidRDefault="0093676E">
      <w:pPr>
        <w:pStyle w:val="Teksttreci0"/>
        <w:spacing w:after="0"/>
        <w:rPr>
          <w:lang w:val="pl-PL"/>
        </w:rPr>
      </w:pPr>
      <w:hyperlink r:id="rId2681" w:history="1">
        <w:r w:rsidR="000425B4">
          <w:rPr>
            <w:i/>
            <w:iCs/>
            <w:color w:val="0072BC"/>
            <w:lang w:val="pl"/>
          </w:rPr>
          <w:t xml:space="preserve">Shamayev i Inni p. Gruzji i Rosji </w:t>
        </w:r>
      </w:hyperlink>
      <w:r w:rsidR="000425B4">
        <w:rPr>
          <w:lang w:val="pl"/>
        </w:rPr>
        <w:t>(dec.), nr 36378/02, 16 września 2003 r.</w:t>
      </w:r>
    </w:p>
    <w:p w:rsidR="00B71A20" w:rsidRPr="000625F6" w:rsidRDefault="0093676E">
      <w:pPr>
        <w:pStyle w:val="Teksttreci0"/>
        <w:spacing w:after="0"/>
        <w:rPr>
          <w:lang w:val="pl-PL"/>
        </w:rPr>
      </w:pPr>
      <w:hyperlink r:id="rId2682" w:history="1">
        <w:r w:rsidR="000425B4">
          <w:rPr>
            <w:i/>
            <w:iCs/>
            <w:color w:val="0072BC"/>
            <w:lang w:val="pl"/>
          </w:rPr>
          <w:t>Shamayev i Inni p. Gruzji i Rosji</w:t>
        </w:r>
        <w:r w:rsidR="000425B4">
          <w:rPr>
            <w:lang w:val="pl"/>
          </w:rPr>
          <w:t>,</w:t>
        </w:r>
      </w:hyperlink>
      <w:r w:rsidR="000425B4">
        <w:rPr>
          <w:lang w:val="pl"/>
        </w:rPr>
        <w:t xml:space="preserve"> nr 36378/02, ECHR 2005-III</w:t>
      </w:r>
    </w:p>
    <w:p w:rsidR="00B71A20" w:rsidRPr="000625F6" w:rsidRDefault="0093676E">
      <w:pPr>
        <w:pStyle w:val="Teksttreci0"/>
        <w:spacing w:after="0"/>
        <w:rPr>
          <w:lang w:val="pl-PL"/>
        </w:rPr>
      </w:pPr>
      <w:hyperlink r:id="rId2683" w:history="1">
        <w:r w:rsidR="000425B4">
          <w:rPr>
            <w:i/>
            <w:iCs/>
            <w:color w:val="0072BC"/>
            <w:lang w:val="pl"/>
          </w:rPr>
          <w:t xml:space="preserve">Shchukin i Inni p. Ukrainie </w:t>
        </w:r>
      </w:hyperlink>
      <w:r w:rsidR="000425B4">
        <w:rPr>
          <w:lang w:val="pl"/>
        </w:rPr>
        <w:t>[Komitet], nr 59834/09 i 249 innych, 13 lutego 2014 r.</w:t>
      </w:r>
    </w:p>
    <w:p w:rsidR="00B71A20" w:rsidRPr="000625F6" w:rsidRDefault="0093676E">
      <w:pPr>
        <w:pStyle w:val="Teksttreci0"/>
        <w:spacing w:after="0"/>
        <w:rPr>
          <w:lang w:val="pl-PL"/>
        </w:rPr>
      </w:pPr>
      <w:hyperlink r:id="rId2684" w:history="1">
        <w:r w:rsidR="000425B4">
          <w:rPr>
            <w:i/>
            <w:iCs/>
            <w:color w:val="0072BC"/>
            <w:lang w:val="pl"/>
          </w:rPr>
          <w:t>Sebeleva i Inni p. Rosji</w:t>
        </w:r>
        <w:r w:rsidR="000425B4">
          <w:rPr>
            <w:lang w:val="pl"/>
          </w:rPr>
          <w:t>*</w:t>
        </w:r>
      </w:hyperlink>
      <w:r w:rsidR="000425B4">
        <w:rPr>
          <w:lang w:val="pl"/>
        </w:rPr>
        <w:t>, nr 42416/18, 1 marca 2022 r.</w:t>
      </w:r>
    </w:p>
    <w:p w:rsidR="00B71A20" w:rsidRPr="000625F6" w:rsidRDefault="0093676E">
      <w:pPr>
        <w:pStyle w:val="Teksttreci0"/>
        <w:spacing w:after="0"/>
        <w:rPr>
          <w:lang w:val="pl-PL"/>
        </w:rPr>
      </w:pPr>
      <w:hyperlink r:id="rId2685" w:history="1">
        <w:r w:rsidR="000425B4">
          <w:rPr>
            <w:i/>
            <w:iCs/>
            <w:color w:val="0072BC"/>
            <w:lang w:val="pl"/>
          </w:rPr>
          <w:t xml:space="preserve">Shefer p. Rosji </w:t>
        </w:r>
      </w:hyperlink>
      <w:r w:rsidR="000425B4">
        <w:rPr>
          <w:lang w:val="pl"/>
        </w:rPr>
        <w:t>(dec.), nr 45175/04, 13 marca 2012 r.</w:t>
      </w:r>
    </w:p>
    <w:p w:rsidR="00B71A20" w:rsidRPr="000625F6" w:rsidRDefault="0093676E">
      <w:pPr>
        <w:pStyle w:val="Teksttreci0"/>
        <w:spacing w:after="0"/>
        <w:rPr>
          <w:lang w:val="pl-PL"/>
        </w:rPr>
      </w:pPr>
      <w:hyperlink r:id="rId2686" w:history="1">
        <w:r w:rsidR="000425B4">
          <w:rPr>
            <w:i/>
            <w:iCs/>
            <w:color w:val="0072BC"/>
            <w:lang w:val="pl"/>
          </w:rPr>
          <w:t xml:space="preserve">Shevanova p. Łotwie </w:t>
        </w:r>
      </w:hyperlink>
      <w:r w:rsidR="000425B4">
        <w:rPr>
          <w:lang w:val="pl"/>
        </w:rPr>
        <w:t>(skreślenie) [WI], nr 58822/00, 7 grudnia 2007 r.</w:t>
      </w:r>
    </w:p>
    <w:p w:rsidR="00B71A20" w:rsidRPr="000625F6" w:rsidRDefault="0093676E">
      <w:pPr>
        <w:pStyle w:val="Teksttreci0"/>
        <w:spacing w:after="0"/>
        <w:rPr>
          <w:lang w:val="pl-PL"/>
        </w:rPr>
      </w:pPr>
      <w:hyperlink r:id="rId2687" w:history="1">
        <w:r w:rsidR="000425B4">
          <w:rPr>
            <w:i/>
            <w:iCs/>
            <w:color w:val="0072BC"/>
            <w:lang w:val="pl"/>
          </w:rPr>
          <w:t xml:space="preserve">Shibendra Dev p. Szwecji </w:t>
        </w:r>
      </w:hyperlink>
      <w:r w:rsidR="000425B4">
        <w:rPr>
          <w:lang w:val="pl"/>
        </w:rPr>
        <w:t>(dec.), nr 7362/10, 21 października 2014 r.</w:t>
      </w:r>
    </w:p>
    <w:p w:rsidR="00B71A20" w:rsidRPr="000625F6" w:rsidRDefault="0093676E">
      <w:pPr>
        <w:pStyle w:val="Teksttreci0"/>
        <w:spacing w:after="0"/>
        <w:rPr>
          <w:lang w:val="pl-PL"/>
        </w:rPr>
      </w:pPr>
      <w:hyperlink r:id="rId2688" w:history="1">
        <w:r w:rsidR="000425B4">
          <w:rPr>
            <w:i/>
            <w:iCs/>
            <w:color w:val="0072BC"/>
            <w:lang w:val="pl"/>
          </w:rPr>
          <w:t>Shioshvili i Inni p. Rosji</w:t>
        </w:r>
        <w:r w:rsidR="000425B4">
          <w:rPr>
            <w:lang w:val="pl"/>
          </w:rPr>
          <w:t>,</w:t>
        </w:r>
      </w:hyperlink>
      <w:r w:rsidR="000425B4">
        <w:rPr>
          <w:lang w:val="pl"/>
        </w:rPr>
        <w:t xml:space="preserve"> nr 19356/07, 20 grudnia 2016 r.</w:t>
      </w:r>
    </w:p>
    <w:p w:rsidR="00B71A20" w:rsidRPr="000625F6" w:rsidRDefault="0093676E">
      <w:pPr>
        <w:pStyle w:val="Teksttreci0"/>
        <w:spacing w:after="0"/>
        <w:rPr>
          <w:lang w:val="pl-PL"/>
        </w:rPr>
      </w:pPr>
      <w:hyperlink r:id="rId2689" w:history="1">
        <w:r w:rsidR="000425B4">
          <w:rPr>
            <w:i/>
            <w:iCs/>
            <w:color w:val="0072BC"/>
            <w:lang w:val="pl"/>
          </w:rPr>
          <w:t>Shishanov p. Republice Mołdawii</w:t>
        </w:r>
        <w:r w:rsidR="000425B4">
          <w:rPr>
            <w:lang w:val="pl"/>
          </w:rPr>
          <w:t>,</w:t>
        </w:r>
      </w:hyperlink>
      <w:r w:rsidR="000425B4">
        <w:rPr>
          <w:lang w:val="pl"/>
        </w:rPr>
        <w:t xml:space="preserve"> nr 11353/06, 15 września 2015 r.</w:t>
      </w:r>
    </w:p>
    <w:p w:rsidR="00B71A20" w:rsidRPr="000625F6" w:rsidRDefault="0093676E">
      <w:pPr>
        <w:pStyle w:val="Teksttreci0"/>
        <w:spacing w:after="0"/>
        <w:rPr>
          <w:lang w:val="pl-PL"/>
        </w:rPr>
      </w:pPr>
      <w:hyperlink r:id="rId2690" w:history="1">
        <w:r w:rsidR="000425B4">
          <w:rPr>
            <w:i/>
            <w:iCs/>
            <w:color w:val="0072BC"/>
            <w:lang w:val="pl"/>
          </w:rPr>
          <w:t xml:space="preserve">Shmelev i Inni p. Rosji </w:t>
        </w:r>
      </w:hyperlink>
      <w:r w:rsidR="000425B4">
        <w:rPr>
          <w:lang w:val="pl"/>
        </w:rPr>
        <w:t>(dec.), nr 41743/17 i 16 innych, 17 marca 2020 r.</w:t>
      </w:r>
    </w:p>
    <w:p w:rsidR="00B71A20" w:rsidRPr="000625F6" w:rsidRDefault="0093676E">
      <w:pPr>
        <w:pStyle w:val="Teksttreci0"/>
        <w:spacing w:after="0"/>
        <w:rPr>
          <w:lang w:val="pl-PL"/>
        </w:rPr>
      </w:pPr>
      <w:hyperlink r:id="rId2691" w:history="1">
        <w:r w:rsidR="000425B4">
          <w:rPr>
            <w:i/>
            <w:iCs/>
            <w:color w:val="0072BC"/>
            <w:lang w:val="pl"/>
          </w:rPr>
          <w:t>Shmorgunov i Inni p. Ukrainie</w:t>
        </w:r>
        <w:r w:rsidR="000425B4">
          <w:rPr>
            <w:lang w:val="pl"/>
          </w:rPr>
          <w:t>,</w:t>
        </w:r>
      </w:hyperlink>
      <w:r w:rsidR="000425B4">
        <w:rPr>
          <w:lang w:val="pl"/>
        </w:rPr>
        <w:t xml:space="preserve"> nr 15367/14 i 13 innych, 21 stycznia 2021 r.</w:t>
      </w:r>
    </w:p>
    <w:p w:rsidR="00B71A20" w:rsidRPr="000625F6" w:rsidRDefault="0093676E">
      <w:pPr>
        <w:pStyle w:val="Teksttreci0"/>
        <w:spacing w:after="0"/>
        <w:rPr>
          <w:lang w:val="pl-PL"/>
        </w:rPr>
      </w:pPr>
      <w:hyperlink r:id="rId2692" w:history="1">
        <w:r w:rsidR="000425B4">
          <w:rPr>
            <w:i/>
            <w:iCs/>
            <w:color w:val="0072BC"/>
            <w:lang w:val="pl"/>
          </w:rPr>
          <w:t>Shortall i Inni p. Irlandii</w:t>
        </w:r>
        <w:r w:rsidR="000425B4">
          <w:rPr>
            <w:color w:val="0072BC"/>
            <w:lang w:val="pl"/>
          </w:rPr>
          <w:t xml:space="preserve"> </w:t>
        </w:r>
      </w:hyperlink>
      <w:r w:rsidR="000425B4">
        <w:rPr>
          <w:lang w:val="pl"/>
        </w:rPr>
        <w:t>(dec.), nr. 50272/18, 19 października 2021 r.</w:t>
      </w:r>
    </w:p>
    <w:p w:rsidR="00B71A20" w:rsidRPr="000625F6" w:rsidRDefault="0093676E">
      <w:pPr>
        <w:pStyle w:val="Teksttreci0"/>
        <w:spacing w:after="0"/>
        <w:rPr>
          <w:lang w:val="pl-PL"/>
        </w:rPr>
      </w:pPr>
      <w:hyperlink r:id="rId2693" w:history="1">
        <w:r w:rsidR="000425B4">
          <w:rPr>
            <w:i/>
            <w:iCs/>
            <w:color w:val="0072BC"/>
            <w:lang w:val="pl"/>
          </w:rPr>
          <w:t xml:space="preserve">Shtefan i Inni p. Ukrainie </w:t>
        </w:r>
      </w:hyperlink>
      <w:r w:rsidR="000425B4">
        <w:rPr>
          <w:lang w:val="pl"/>
        </w:rPr>
        <w:t>[Komitet], nr 36762/06 i 249 innych, 31 lipca 2014 r.</w:t>
      </w:r>
    </w:p>
    <w:p w:rsidR="00B71A20" w:rsidRPr="000625F6" w:rsidRDefault="0093676E">
      <w:pPr>
        <w:pStyle w:val="Teksttreci0"/>
        <w:spacing w:after="0"/>
        <w:rPr>
          <w:lang w:val="pl-PL"/>
        </w:rPr>
      </w:pPr>
      <w:hyperlink r:id="rId2694" w:history="1">
        <w:r w:rsidR="000425B4">
          <w:rPr>
            <w:i/>
            <w:iCs/>
            <w:color w:val="0072BC"/>
            <w:lang w:val="pl"/>
          </w:rPr>
          <w:t>Shtukaturov p. Rosji</w:t>
        </w:r>
        <w:r w:rsidR="000425B4">
          <w:rPr>
            <w:lang w:val="pl"/>
          </w:rPr>
          <w:t>,</w:t>
        </w:r>
      </w:hyperlink>
      <w:r w:rsidR="000425B4">
        <w:rPr>
          <w:lang w:val="pl"/>
        </w:rPr>
        <w:t xml:space="preserve"> nr 44009/05, ECHR 2008</w:t>
      </w:r>
    </w:p>
    <w:p w:rsidR="00B71A20" w:rsidRPr="000625F6" w:rsidRDefault="0093676E">
      <w:pPr>
        <w:pStyle w:val="Teksttreci0"/>
        <w:spacing w:after="0"/>
        <w:rPr>
          <w:lang w:val="pl-PL"/>
        </w:rPr>
      </w:pPr>
      <w:hyperlink r:id="rId2695" w:history="1">
        <w:r w:rsidR="000425B4">
          <w:rPr>
            <w:i/>
            <w:iCs/>
            <w:color w:val="0072BC"/>
            <w:lang w:val="pl"/>
          </w:rPr>
          <w:t>Siemaszko i Olszyński p. Polsce</w:t>
        </w:r>
        <w:r w:rsidR="000425B4">
          <w:rPr>
            <w:lang w:val="pl"/>
          </w:rPr>
          <w:t>,</w:t>
        </w:r>
      </w:hyperlink>
      <w:r w:rsidR="000425B4">
        <w:rPr>
          <w:lang w:val="pl"/>
        </w:rPr>
        <w:t xml:space="preserve"> nr 60975/08 i 35410/09, 13 września 2016 r.</w:t>
      </w:r>
    </w:p>
    <w:p w:rsidR="00B71A20" w:rsidRPr="000625F6" w:rsidRDefault="0093676E">
      <w:pPr>
        <w:pStyle w:val="Teksttreci0"/>
        <w:spacing w:after="0"/>
        <w:rPr>
          <w:lang w:val="pl-PL"/>
        </w:rPr>
      </w:pPr>
      <w:hyperlink r:id="rId2696" w:history="1">
        <w:r w:rsidR="000425B4">
          <w:rPr>
            <w:i/>
            <w:iCs/>
            <w:color w:val="0072BC"/>
            <w:lang w:val="pl"/>
          </w:rPr>
          <w:t>Siliadin p. Francji</w:t>
        </w:r>
        <w:r w:rsidR="000425B4">
          <w:rPr>
            <w:lang w:val="pl"/>
          </w:rPr>
          <w:t>,</w:t>
        </w:r>
      </w:hyperlink>
      <w:r w:rsidR="000425B4">
        <w:rPr>
          <w:lang w:val="pl"/>
        </w:rPr>
        <w:t xml:space="preserve"> nr 73316/01, ECHR 2005-VII</w:t>
      </w:r>
    </w:p>
    <w:p w:rsidR="00B71A20" w:rsidRPr="000625F6" w:rsidRDefault="0093676E">
      <w:pPr>
        <w:pStyle w:val="Teksttreci0"/>
        <w:spacing w:after="0"/>
        <w:rPr>
          <w:lang w:val="pl-PL"/>
        </w:rPr>
      </w:pPr>
      <w:hyperlink r:id="rId2697" w:history="1">
        <w:r w:rsidR="000425B4">
          <w:rPr>
            <w:i/>
            <w:iCs/>
            <w:color w:val="0072BC"/>
            <w:lang w:val="pl"/>
          </w:rPr>
          <w:t xml:space="preserve">Šilih p. Słowenii </w:t>
        </w:r>
      </w:hyperlink>
      <w:r w:rsidR="000425B4">
        <w:rPr>
          <w:lang w:val="pl"/>
        </w:rPr>
        <w:t>[WI], nr 71463/01, 9 kwietnia 2009 r.</w:t>
      </w:r>
    </w:p>
    <w:p w:rsidR="00B71A20" w:rsidRPr="000625F6" w:rsidRDefault="0093676E">
      <w:pPr>
        <w:pStyle w:val="Teksttreci0"/>
        <w:spacing w:after="0"/>
        <w:rPr>
          <w:lang w:val="pl-PL"/>
        </w:rPr>
      </w:pPr>
      <w:hyperlink r:id="rId2698" w:history="1">
        <w:r w:rsidR="000425B4">
          <w:rPr>
            <w:i/>
            <w:iCs/>
            <w:color w:val="0072BC"/>
            <w:lang w:val="pl"/>
          </w:rPr>
          <w:t xml:space="preserve">Simitzi-Papachristou i Inni p. Grecji </w:t>
        </w:r>
      </w:hyperlink>
      <w:r w:rsidR="000425B4">
        <w:rPr>
          <w:lang w:val="pl"/>
        </w:rPr>
        <w:t>(dec.), nr 50634/11 i 18 innych, 5 listopada 2013 r.</w:t>
      </w:r>
    </w:p>
    <w:p w:rsidR="00B71A20" w:rsidRPr="000625F6" w:rsidRDefault="0093676E">
      <w:pPr>
        <w:pStyle w:val="Teksttreci0"/>
        <w:spacing w:after="0"/>
        <w:rPr>
          <w:lang w:val="pl-PL"/>
        </w:rPr>
      </w:pPr>
      <w:hyperlink r:id="rId2699" w:history="1">
        <w:r w:rsidR="000425B4">
          <w:rPr>
            <w:i/>
            <w:iCs/>
            <w:color w:val="0072BC"/>
            <w:lang w:val="pl"/>
          </w:rPr>
          <w:t xml:space="preserve">Şimşek, Andiç i Boğatekin p. Turcji </w:t>
        </w:r>
      </w:hyperlink>
      <w:r w:rsidR="000425B4">
        <w:rPr>
          <w:lang w:val="pl"/>
        </w:rPr>
        <w:t>(dec.), nr 75845/12 i 2 inne, 17 marca 2020 r.</w:t>
      </w:r>
    </w:p>
    <w:p w:rsidR="00B71A20" w:rsidRDefault="0093676E">
      <w:pPr>
        <w:pStyle w:val="Teksttreci0"/>
        <w:spacing w:after="0"/>
      </w:pPr>
      <w:hyperlink r:id="rId2700" w:history="1">
        <w:r w:rsidR="000425B4" w:rsidRPr="000625F6">
          <w:rPr>
            <w:i/>
            <w:iCs/>
            <w:color w:val="0072BC"/>
            <w:lang w:val="en-GB"/>
          </w:rPr>
          <w:t xml:space="preserve">Sindicatul Păstorul cel Bun p. Rumunii </w:t>
        </w:r>
      </w:hyperlink>
      <w:r w:rsidR="000425B4" w:rsidRPr="000625F6">
        <w:rPr>
          <w:lang w:val="en-GB"/>
        </w:rPr>
        <w:t>[WI], nr 2330/09, ECHR 2013</w:t>
      </w:r>
    </w:p>
    <w:p w:rsidR="00B71A20" w:rsidRDefault="0093676E">
      <w:pPr>
        <w:pStyle w:val="Teksttreci0"/>
        <w:spacing w:after="0"/>
      </w:pPr>
      <w:hyperlink r:id="rId2701" w:history="1">
        <w:r w:rsidR="000425B4" w:rsidRPr="000625F6">
          <w:rPr>
            <w:i/>
            <w:iCs/>
            <w:color w:val="0072BC"/>
          </w:rPr>
          <w:t>Sine Tsaggarakis A.E.E. p. Grecji</w:t>
        </w:r>
        <w:r w:rsidR="000425B4" w:rsidRPr="000625F6">
          <w:t>,</w:t>
        </w:r>
      </w:hyperlink>
      <w:r w:rsidR="000425B4" w:rsidRPr="000625F6">
        <w:t xml:space="preserve"> nr 17257/13, 23 maja 2019 r.</w:t>
      </w:r>
    </w:p>
    <w:p w:rsidR="00B71A20" w:rsidRPr="000625F6" w:rsidRDefault="0093676E">
      <w:pPr>
        <w:pStyle w:val="Teksttreci0"/>
        <w:spacing w:after="0"/>
        <w:rPr>
          <w:lang w:val="pl-PL"/>
        </w:rPr>
      </w:pPr>
      <w:hyperlink r:id="rId2702" w:history="1">
        <w:r w:rsidR="000425B4">
          <w:rPr>
            <w:i/>
            <w:iCs/>
            <w:color w:val="0072BC"/>
            <w:lang w:val="pl"/>
          </w:rPr>
          <w:t xml:space="preserve">Sisojeva i Inni p. Łotwie </w:t>
        </w:r>
      </w:hyperlink>
      <w:r w:rsidR="000425B4">
        <w:rPr>
          <w:lang w:val="pl"/>
        </w:rPr>
        <w:t>(skreślenie) [WI], nr 60654/00, ECHR 2007-I</w:t>
      </w:r>
    </w:p>
    <w:p w:rsidR="00B71A20" w:rsidRPr="000625F6" w:rsidRDefault="0093676E">
      <w:pPr>
        <w:pStyle w:val="Teksttreci0"/>
        <w:spacing w:after="0"/>
        <w:rPr>
          <w:lang w:val="pl-PL"/>
        </w:rPr>
      </w:pPr>
      <w:hyperlink r:id="rId2703" w:history="1">
        <w:r w:rsidR="000425B4">
          <w:rPr>
            <w:i/>
            <w:iCs/>
            <w:color w:val="0072BC"/>
            <w:lang w:val="pl"/>
          </w:rPr>
          <w:t>Škorjanec p. Chorwacji</w:t>
        </w:r>
        <w:r w:rsidR="000425B4">
          <w:rPr>
            <w:lang w:val="pl"/>
          </w:rPr>
          <w:t>,</w:t>
        </w:r>
      </w:hyperlink>
      <w:r w:rsidR="000425B4">
        <w:rPr>
          <w:lang w:val="pl"/>
        </w:rPr>
        <w:t xml:space="preserve"> nr 25536/14, 28 marca 2017 r.</w:t>
      </w:r>
    </w:p>
    <w:p w:rsidR="00B71A20" w:rsidRPr="000625F6" w:rsidRDefault="0093676E">
      <w:pPr>
        <w:pStyle w:val="Teksttreci0"/>
        <w:spacing w:after="0"/>
        <w:rPr>
          <w:lang w:val="pl-PL"/>
        </w:rPr>
      </w:pPr>
      <w:hyperlink r:id="rId2704" w:history="1">
        <w:r w:rsidR="000425B4">
          <w:rPr>
            <w:i/>
            <w:iCs/>
            <w:color w:val="0072BC"/>
            <w:lang w:val="pl"/>
          </w:rPr>
          <w:t>Skrlj p. Chorwacji</w:t>
        </w:r>
        <w:r w:rsidR="000425B4">
          <w:rPr>
            <w:lang w:val="pl"/>
          </w:rPr>
          <w:t>,</w:t>
        </w:r>
      </w:hyperlink>
      <w:r w:rsidR="000425B4">
        <w:rPr>
          <w:lang w:val="pl"/>
        </w:rPr>
        <w:t xml:space="preserve"> nr 32953/13, 11 lipca 2019 r.</w:t>
      </w:r>
    </w:p>
    <w:p w:rsidR="00B71A20" w:rsidRPr="000625F6" w:rsidRDefault="0093676E">
      <w:pPr>
        <w:pStyle w:val="Teksttreci0"/>
        <w:spacing w:after="0"/>
        <w:rPr>
          <w:lang w:val="pl-PL"/>
        </w:rPr>
      </w:pPr>
      <w:hyperlink r:id="rId2705" w:history="1">
        <w:r w:rsidR="000425B4">
          <w:rPr>
            <w:i/>
            <w:iCs/>
            <w:color w:val="0072BC"/>
            <w:lang w:val="pl"/>
          </w:rPr>
          <w:t xml:space="preserve">Slavgorodski p. Estonii </w:t>
        </w:r>
      </w:hyperlink>
      <w:r w:rsidR="000425B4">
        <w:rPr>
          <w:lang w:val="pl"/>
        </w:rPr>
        <w:t>(dec.), nr 37043/97, ECHR 1999-II</w:t>
      </w:r>
    </w:p>
    <w:p w:rsidR="00B71A20" w:rsidRPr="000625F6" w:rsidRDefault="0093676E">
      <w:pPr>
        <w:pStyle w:val="Teksttreci0"/>
        <w:spacing w:after="0"/>
        <w:rPr>
          <w:lang w:val="pl-PL"/>
        </w:rPr>
      </w:pPr>
      <w:hyperlink r:id="rId2706" w:history="1">
        <w:r w:rsidR="000425B4">
          <w:rPr>
            <w:i/>
            <w:iCs/>
            <w:color w:val="0072BC"/>
            <w:lang w:val="pl"/>
          </w:rPr>
          <w:t xml:space="preserve">Slaviček p. Chorwacji </w:t>
        </w:r>
      </w:hyperlink>
      <w:r w:rsidR="000425B4">
        <w:rPr>
          <w:lang w:val="pl"/>
        </w:rPr>
        <w:t>(dec.), nr 20862/02, ECHR 2002-VII</w:t>
      </w:r>
    </w:p>
    <w:p w:rsidR="00B71A20" w:rsidRPr="000625F6" w:rsidRDefault="0093676E">
      <w:pPr>
        <w:pStyle w:val="Teksttreci0"/>
        <w:spacing w:after="0"/>
        <w:rPr>
          <w:lang w:val="pl-PL"/>
        </w:rPr>
      </w:pPr>
      <w:hyperlink r:id="rId2707" w:history="1">
        <w:r w:rsidR="000425B4">
          <w:rPr>
            <w:i/>
            <w:iCs/>
            <w:color w:val="0072BC"/>
            <w:lang w:val="pl"/>
          </w:rPr>
          <w:t xml:space="preserve">Slivenko i Inni p. Łotwie </w:t>
        </w:r>
      </w:hyperlink>
      <w:r w:rsidR="000425B4">
        <w:rPr>
          <w:lang w:val="pl"/>
        </w:rPr>
        <w:t>(dec.) [WI], nr 48321/99, ECHR 2002-II</w:t>
      </w:r>
    </w:p>
    <w:p w:rsidR="00B71A20" w:rsidRPr="000625F6" w:rsidRDefault="0093676E">
      <w:pPr>
        <w:pStyle w:val="Teksttreci0"/>
        <w:spacing w:after="0"/>
        <w:rPr>
          <w:lang w:val="pl-PL"/>
        </w:rPr>
      </w:pPr>
      <w:hyperlink r:id="rId2708" w:history="1">
        <w:r w:rsidR="000425B4">
          <w:rPr>
            <w:i/>
            <w:iCs/>
            <w:color w:val="0072BC"/>
            <w:lang w:val="pl"/>
          </w:rPr>
          <w:t xml:space="preserve">Słowenia p. Chorwacji </w:t>
        </w:r>
      </w:hyperlink>
      <w:r w:rsidR="000425B4">
        <w:rPr>
          <w:lang w:val="pl"/>
        </w:rPr>
        <w:t>[WI] (dec.), nr 54155/16, 18 listopada 2020 r.</w:t>
      </w:r>
    </w:p>
    <w:p w:rsidR="00B71A20" w:rsidRPr="000625F6" w:rsidRDefault="0093676E">
      <w:pPr>
        <w:pStyle w:val="Teksttreci0"/>
        <w:spacing w:after="0"/>
        <w:rPr>
          <w:lang w:val="pl-PL"/>
        </w:rPr>
      </w:pPr>
      <w:hyperlink r:id="rId2709" w:history="1">
        <w:r w:rsidR="000425B4">
          <w:rPr>
            <w:i/>
            <w:iCs/>
            <w:color w:val="0072BC"/>
            <w:lang w:val="pl"/>
          </w:rPr>
          <w:t xml:space="preserve">Smirnov p. Rosji </w:t>
        </w:r>
      </w:hyperlink>
      <w:r w:rsidR="000425B4">
        <w:rPr>
          <w:lang w:val="pl"/>
        </w:rPr>
        <w:t>(dec.), nr 14085/04, 6 lipca 2006 r.</w:t>
      </w:r>
    </w:p>
    <w:p w:rsidR="00B71A20" w:rsidRPr="000625F6" w:rsidRDefault="0093676E">
      <w:pPr>
        <w:pStyle w:val="Teksttreci0"/>
        <w:spacing w:after="0"/>
        <w:rPr>
          <w:lang w:val="pl-PL"/>
        </w:rPr>
      </w:pPr>
      <w:hyperlink r:id="rId2710" w:history="1">
        <w:r w:rsidR="000425B4">
          <w:rPr>
            <w:i/>
            <w:iCs/>
            <w:color w:val="0072BC"/>
            <w:lang w:val="pl"/>
          </w:rPr>
          <w:t>Sociedad Anónima del Ucieza p. Hiszpanii</w:t>
        </w:r>
        <w:r w:rsidR="000425B4">
          <w:rPr>
            <w:lang w:val="pl"/>
          </w:rPr>
          <w:t>,</w:t>
        </w:r>
      </w:hyperlink>
      <w:r w:rsidR="000425B4">
        <w:rPr>
          <w:lang w:val="pl"/>
        </w:rPr>
        <w:t xml:space="preserve"> nr 38963/08, 4 listopada 2014 r.</w:t>
      </w:r>
    </w:p>
    <w:p w:rsidR="00B71A20" w:rsidRPr="000625F6" w:rsidRDefault="0093676E">
      <w:pPr>
        <w:pStyle w:val="Teksttreci0"/>
        <w:spacing w:after="0"/>
        <w:rPr>
          <w:lang w:val="pl-PL"/>
        </w:rPr>
      </w:pPr>
      <w:hyperlink r:id="rId2711" w:history="1">
        <w:r w:rsidR="000425B4">
          <w:rPr>
            <w:i/>
            <w:iCs/>
            <w:color w:val="0072BC"/>
            <w:lang w:val="pl"/>
          </w:rPr>
          <w:t xml:space="preserve">Söderman p. Szwecji </w:t>
        </w:r>
      </w:hyperlink>
      <w:r w:rsidR="000425B4">
        <w:rPr>
          <w:lang w:val="pl"/>
        </w:rPr>
        <w:t>[WI], nr 5786/08, ECHR 2013</w:t>
      </w:r>
    </w:p>
    <w:p w:rsidR="00B71A20" w:rsidRPr="000625F6" w:rsidRDefault="0093676E">
      <w:pPr>
        <w:pStyle w:val="Teksttreci0"/>
        <w:spacing w:after="0"/>
        <w:rPr>
          <w:lang w:val="pl-PL"/>
        </w:rPr>
      </w:pPr>
      <w:hyperlink r:id="rId2712" w:history="1">
        <w:r w:rsidR="000425B4">
          <w:rPr>
            <w:i/>
            <w:iCs/>
            <w:color w:val="0072BC"/>
            <w:lang w:val="pl"/>
          </w:rPr>
          <w:t>Soering p. Wielkiej Brytanii</w:t>
        </w:r>
        <w:r w:rsidR="000425B4">
          <w:rPr>
            <w:lang w:val="pl"/>
          </w:rPr>
          <w:t>,</w:t>
        </w:r>
      </w:hyperlink>
      <w:r w:rsidR="000425B4">
        <w:rPr>
          <w:lang w:val="pl"/>
        </w:rPr>
        <w:t xml:space="preserve"> 7 lipca 1989, Seria A nr 161</w:t>
      </w:r>
    </w:p>
    <w:p w:rsidR="00B71A20" w:rsidRPr="000625F6" w:rsidRDefault="0093676E">
      <w:pPr>
        <w:pStyle w:val="Teksttreci0"/>
        <w:spacing w:after="0"/>
        <w:rPr>
          <w:lang w:val="pl-PL"/>
        </w:rPr>
      </w:pPr>
      <w:hyperlink r:id="rId2713" w:history="1">
        <w:r w:rsidR="000425B4">
          <w:rPr>
            <w:i/>
            <w:iCs/>
            <w:color w:val="0072BC"/>
            <w:lang w:val="pl"/>
          </w:rPr>
          <w:t xml:space="preserve">Sokolov i Inni p. Serbii </w:t>
        </w:r>
      </w:hyperlink>
      <w:r w:rsidR="000425B4">
        <w:rPr>
          <w:lang w:val="pl"/>
        </w:rPr>
        <w:t>(dec.), nr 30859/10 i 6 innych, 14 stycznia 2014 r.</w:t>
      </w:r>
    </w:p>
    <w:p w:rsidR="00B71A20" w:rsidRPr="000625F6" w:rsidRDefault="0093676E">
      <w:pPr>
        <w:pStyle w:val="Teksttreci0"/>
        <w:spacing w:after="0"/>
        <w:rPr>
          <w:lang w:val="pl-PL"/>
        </w:rPr>
      </w:pPr>
      <w:hyperlink r:id="rId2714" w:history="1">
        <w:r w:rsidR="000425B4">
          <w:rPr>
            <w:i/>
            <w:iCs/>
            <w:color w:val="0072BC"/>
            <w:lang w:val="pl"/>
          </w:rPr>
          <w:t>Solmaz p. Turcji</w:t>
        </w:r>
        <w:r w:rsidR="000425B4">
          <w:rPr>
            <w:lang w:val="pl"/>
          </w:rPr>
          <w:t>,</w:t>
        </w:r>
      </w:hyperlink>
      <w:r w:rsidR="000425B4">
        <w:rPr>
          <w:lang w:val="pl"/>
        </w:rPr>
        <w:t xml:space="preserve"> nr 27561/02, 16 stycznia 2007 r.</w:t>
      </w:r>
    </w:p>
    <w:p w:rsidR="00B71A20" w:rsidRPr="000625F6" w:rsidRDefault="0093676E">
      <w:pPr>
        <w:pStyle w:val="Teksttreci0"/>
        <w:spacing w:after="0"/>
        <w:rPr>
          <w:lang w:val="pl-PL"/>
        </w:rPr>
      </w:pPr>
      <w:hyperlink r:id="rId2715" w:history="1">
        <w:r w:rsidR="000425B4">
          <w:rPr>
            <w:i/>
            <w:iCs/>
            <w:color w:val="0072BC"/>
            <w:lang w:val="pl"/>
          </w:rPr>
          <w:t xml:space="preserve">Solonskiy i Petrova p. Rosji </w:t>
        </w:r>
      </w:hyperlink>
      <w:r w:rsidR="000425B4">
        <w:rPr>
          <w:lang w:val="pl"/>
        </w:rPr>
        <w:t>(dec.), nr 3752/08 i 22723/09, 17 marca 2020 r.</w:t>
      </w:r>
    </w:p>
    <w:p w:rsidR="00B71A20" w:rsidRPr="000625F6" w:rsidRDefault="0093676E">
      <w:pPr>
        <w:pStyle w:val="Teksttreci0"/>
        <w:spacing w:after="0" w:line="230" w:lineRule="auto"/>
        <w:rPr>
          <w:lang w:val="pl-PL"/>
        </w:rPr>
      </w:pPr>
      <w:hyperlink r:id="rId2716" w:history="1">
        <w:r w:rsidR="000425B4">
          <w:rPr>
            <w:i/>
            <w:iCs/>
            <w:color w:val="0072BC"/>
            <w:lang w:val="pl"/>
          </w:rPr>
          <w:t xml:space="preserve">Spycher p. Szwajcarii </w:t>
        </w:r>
      </w:hyperlink>
      <w:r w:rsidR="000425B4">
        <w:rPr>
          <w:lang w:val="pl"/>
        </w:rPr>
        <w:t>(dec.), nr 26275/12, 17 listopada 2015 r.</w:t>
      </w:r>
    </w:p>
    <w:p w:rsidR="00B71A20" w:rsidRPr="000625F6" w:rsidRDefault="0093676E">
      <w:pPr>
        <w:pStyle w:val="Teksttreci0"/>
        <w:spacing w:after="0"/>
        <w:rPr>
          <w:lang w:val="pl-PL"/>
        </w:rPr>
      </w:pPr>
      <w:hyperlink r:id="rId2717" w:history="1">
        <w:r w:rsidR="000425B4">
          <w:rPr>
            <w:i/>
            <w:iCs/>
            <w:color w:val="0072BC"/>
            <w:lang w:val="pl"/>
          </w:rPr>
          <w:t>Stamoulakatos p. Grecji (nr 1)</w:t>
        </w:r>
        <w:r w:rsidR="000425B4">
          <w:rPr>
            <w:lang w:val="pl"/>
          </w:rPr>
          <w:t>,</w:t>
        </w:r>
      </w:hyperlink>
      <w:r w:rsidR="000425B4">
        <w:rPr>
          <w:lang w:val="pl"/>
        </w:rPr>
        <w:t xml:space="preserve"> 26 października 1993 r., Seria A nr 271</w:t>
      </w:r>
    </w:p>
    <w:p w:rsidR="00B71A20" w:rsidRPr="000625F6" w:rsidRDefault="0093676E">
      <w:pPr>
        <w:pStyle w:val="Teksttreci0"/>
        <w:spacing w:after="0"/>
        <w:rPr>
          <w:lang w:val="pl-PL"/>
        </w:rPr>
      </w:pPr>
      <w:hyperlink r:id="rId2718" w:history="1">
        <w:r w:rsidR="000425B4">
          <w:rPr>
            <w:i/>
            <w:iCs/>
            <w:color w:val="0072BC"/>
            <w:lang w:val="pl"/>
          </w:rPr>
          <w:t>Stamoulakatos p. Wielkiej Brytanii</w:t>
        </w:r>
        <w:r w:rsidR="000425B4">
          <w:rPr>
            <w:lang w:val="pl"/>
          </w:rPr>
          <w:t>,</w:t>
        </w:r>
      </w:hyperlink>
      <w:r w:rsidR="000425B4">
        <w:rPr>
          <w:lang w:val="pl"/>
        </w:rPr>
        <w:t xml:space="preserve"> nr 27567/95, decyzja Komisji z dnia 9 kwietnia 1997 r.</w:t>
      </w:r>
    </w:p>
    <w:p w:rsidR="00B71A20" w:rsidRPr="000625F6" w:rsidRDefault="0093676E">
      <w:pPr>
        <w:pStyle w:val="Teksttreci0"/>
        <w:spacing w:after="0"/>
        <w:rPr>
          <w:lang w:val="pl-PL"/>
        </w:rPr>
      </w:pPr>
      <w:hyperlink r:id="rId2719" w:history="1">
        <w:r w:rsidR="000425B4">
          <w:rPr>
            <w:i/>
            <w:iCs/>
            <w:color w:val="0072BC"/>
            <w:lang w:val="pl"/>
          </w:rPr>
          <w:t xml:space="preserve">Star Cate – Epilekta Gevmata i Inni p. Grecji </w:t>
        </w:r>
      </w:hyperlink>
      <w:r w:rsidR="000425B4">
        <w:rPr>
          <w:lang w:val="pl"/>
        </w:rPr>
        <w:t>(dec.), nr 54111/07, 6 lipca 2010 r.</w:t>
      </w:r>
    </w:p>
    <w:p w:rsidR="00B71A20" w:rsidRDefault="0093676E">
      <w:pPr>
        <w:pStyle w:val="Teksttreci0"/>
        <w:spacing w:after="0"/>
      </w:pPr>
      <w:hyperlink r:id="rId2720" w:history="1">
        <w:r w:rsidR="000425B4" w:rsidRPr="000625F6">
          <w:rPr>
            <w:i/>
            <w:iCs/>
            <w:color w:val="0072BC"/>
            <w:lang w:val="en-GB"/>
          </w:rPr>
          <w:t xml:space="preserve">State Holding Company Luganskvugillya p. Ukrainie </w:t>
        </w:r>
      </w:hyperlink>
      <w:r w:rsidR="000425B4" w:rsidRPr="000625F6">
        <w:rPr>
          <w:lang w:val="en-GB"/>
        </w:rPr>
        <w:t>(dec.), nr 23938/05, 27 stycznia 2009 r.</w:t>
      </w:r>
    </w:p>
    <w:p w:rsidR="00B71A20" w:rsidRPr="000625F6" w:rsidRDefault="0093676E">
      <w:pPr>
        <w:pStyle w:val="Teksttreci0"/>
        <w:spacing w:after="0"/>
        <w:rPr>
          <w:lang w:val="pl-PL"/>
        </w:rPr>
      </w:pPr>
      <w:hyperlink r:id="rId2721" w:history="1">
        <w:r w:rsidR="000425B4">
          <w:rPr>
            <w:i/>
            <w:iCs/>
            <w:color w:val="0072BC"/>
            <w:lang w:val="pl"/>
          </w:rPr>
          <w:t>Statileo p. Chorwacji</w:t>
        </w:r>
        <w:r w:rsidR="000425B4">
          <w:rPr>
            <w:lang w:val="pl"/>
          </w:rPr>
          <w:t>,</w:t>
        </w:r>
      </w:hyperlink>
      <w:r w:rsidR="000425B4">
        <w:rPr>
          <w:lang w:val="pl"/>
        </w:rPr>
        <w:t xml:space="preserve"> nr 12027/10, 10 lipca 2014 r.</w:t>
      </w:r>
    </w:p>
    <w:p w:rsidR="00B71A20" w:rsidRPr="000625F6" w:rsidRDefault="0093676E">
      <w:pPr>
        <w:pStyle w:val="Teksttreci0"/>
        <w:spacing w:after="0"/>
        <w:rPr>
          <w:lang w:val="pl-PL"/>
        </w:rPr>
      </w:pPr>
      <w:hyperlink r:id="rId2722" w:history="1">
        <w:r w:rsidR="000425B4">
          <w:rPr>
            <w:i/>
            <w:iCs/>
            <w:color w:val="0072BC"/>
            <w:lang w:val="pl"/>
          </w:rPr>
          <w:t>Stavropoulos i Inni p. Grecji</w:t>
        </w:r>
        <w:r w:rsidR="000425B4">
          <w:rPr>
            <w:lang w:val="pl"/>
          </w:rPr>
          <w:t>,</w:t>
        </w:r>
      </w:hyperlink>
      <w:r w:rsidR="000425B4">
        <w:rPr>
          <w:lang w:val="pl"/>
        </w:rPr>
        <w:t xml:space="preserve"> nr 52484/18, 25 czerwca 2020 r.</w:t>
      </w:r>
    </w:p>
    <w:p w:rsidR="00B71A20" w:rsidRPr="000625F6" w:rsidRDefault="0093676E">
      <w:pPr>
        <w:pStyle w:val="Teksttreci0"/>
        <w:spacing w:after="0"/>
        <w:rPr>
          <w:lang w:val="pl-PL"/>
        </w:rPr>
      </w:pPr>
      <w:hyperlink r:id="rId2723" w:history="1">
        <w:r w:rsidR="000425B4">
          <w:rPr>
            <w:i/>
            <w:iCs/>
            <w:color w:val="0072BC"/>
            <w:lang w:val="pl"/>
          </w:rPr>
          <w:t xml:space="preserve">Ştefănescu p. Rumunii </w:t>
        </w:r>
      </w:hyperlink>
      <w:r w:rsidR="000425B4">
        <w:rPr>
          <w:lang w:val="pl"/>
        </w:rPr>
        <w:t>(dec.), nr 11774/04, 12 kwietnia 2011 r.</w:t>
      </w:r>
    </w:p>
    <w:p w:rsidR="00B71A20" w:rsidRPr="000625F6" w:rsidRDefault="0093676E">
      <w:pPr>
        <w:pStyle w:val="Teksttreci0"/>
        <w:spacing w:after="0"/>
        <w:rPr>
          <w:lang w:val="pl-PL"/>
        </w:rPr>
      </w:pPr>
      <w:hyperlink r:id="rId2724" w:history="1">
        <w:r w:rsidR="000425B4">
          <w:rPr>
            <w:i/>
            <w:iCs/>
            <w:color w:val="0072BC"/>
            <w:lang w:val="pl"/>
          </w:rPr>
          <w:t xml:space="preserve">Stella i Inni p. Włochom </w:t>
        </w:r>
      </w:hyperlink>
      <w:r w:rsidR="000425B4">
        <w:rPr>
          <w:lang w:val="pl"/>
        </w:rPr>
        <w:t>(dec.), nr 49169/09 i 10 innych, 16 września 2014 r.</w:t>
      </w:r>
    </w:p>
    <w:p w:rsidR="00B71A20" w:rsidRPr="000625F6" w:rsidRDefault="0093676E">
      <w:pPr>
        <w:pStyle w:val="Teksttreci0"/>
        <w:spacing w:after="0"/>
        <w:rPr>
          <w:lang w:val="pl-PL"/>
        </w:rPr>
      </w:pPr>
      <w:hyperlink r:id="rId2725" w:history="1">
        <w:r w:rsidR="000425B4">
          <w:rPr>
            <w:i/>
            <w:iCs/>
            <w:color w:val="0072BC"/>
            <w:lang w:val="pl"/>
          </w:rPr>
          <w:t>Stepanian p. Rumunii</w:t>
        </w:r>
        <w:r w:rsidR="000425B4">
          <w:rPr>
            <w:lang w:val="pl"/>
          </w:rPr>
          <w:t>,</w:t>
        </w:r>
      </w:hyperlink>
      <w:r w:rsidR="000425B4">
        <w:rPr>
          <w:lang w:val="pl"/>
        </w:rPr>
        <w:t xml:space="preserve"> nr 60103/11, 14 czerwca 2016 r.</w:t>
      </w:r>
    </w:p>
    <w:p w:rsidR="009221CB" w:rsidRDefault="0093676E">
      <w:pPr>
        <w:pStyle w:val="Teksttreci0"/>
        <w:spacing w:after="0"/>
        <w:rPr>
          <w:lang w:val="pl"/>
        </w:rPr>
      </w:pPr>
      <w:hyperlink r:id="rId2726" w:history="1">
        <w:r w:rsidR="000425B4">
          <w:rPr>
            <w:i/>
            <w:iCs/>
            <w:color w:val="0072BC"/>
            <w:lang w:val="pl"/>
          </w:rPr>
          <w:t xml:space="preserve">Stephens p. Cyprowi, Turcji i Organizacji Narodów Zjednoczonych </w:t>
        </w:r>
      </w:hyperlink>
      <w:r w:rsidR="000425B4">
        <w:rPr>
          <w:lang w:val="pl"/>
        </w:rPr>
        <w:t xml:space="preserve">(dec.), </w:t>
      </w:r>
    </w:p>
    <w:p w:rsidR="00B71A20" w:rsidRPr="000625F6" w:rsidRDefault="000425B4" w:rsidP="009221CB">
      <w:pPr>
        <w:pStyle w:val="Teksttreci0"/>
        <w:spacing w:after="0"/>
        <w:ind w:firstLine="567"/>
        <w:rPr>
          <w:lang w:val="pl-PL"/>
        </w:rPr>
      </w:pPr>
      <w:r>
        <w:rPr>
          <w:lang w:val="pl"/>
        </w:rPr>
        <w:t>nr 45267/06, 11 grudnia 2008 r.</w:t>
      </w:r>
    </w:p>
    <w:p w:rsidR="00B71A20" w:rsidRPr="000625F6" w:rsidRDefault="0093676E">
      <w:pPr>
        <w:pStyle w:val="Teksttreci0"/>
        <w:spacing w:after="0"/>
        <w:rPr>
          <w:lang w:val="pl-PL"/>
        </w:rPr>
      </w:pPr>
      <w:hyperlink r:id="rId2727" w:history="1">
        <w:r w:rsidR="000425B4">
          <w:rPr>
            <w:i/>
            <w:iCs/>
            <w:color w:val="0072BC"/>
            <w:lang w:val="pl"/>
          </w:rPr>
          <w:t>Stephens p. Malcie (nr 1)</w:t>
        </w:r>
        <w:r w:rsidR="000425B4">
          <w:rPr>
            <w:lang w:val="pl"/>
          </w:rPr>
          <w:t>,</w:t>
        </w:r>
      </w:hyperlink>
      <w:r w:rsidR="000425B4">
        <w:rPr>
          <w:lang w:val="pl"/>
        </w:rPr>
        <w:t xml:space="preserve"> nr 11956/07, 21 kwietnia 2009 r.</w:t>
      </w:r>
    </w:p>
    <w:p w:rsidR="00B71A20" w:rsidRPr="000625F6" w:rsidRDefault="0093676E">
      <w:pPr>
        <w:pStyle w:val="Teksttreci0"/>
        <w:spacing w:after="0"/>
        <w:rPr>
          <w:lang w:val="pl-PL"/>
        </w:rPr>
      </w:pPr>
      <w:hyperlink r:id="rId2728" w:history="1">
        <w:r w:rsidR="000425B4">
          <w:rPr>
            <w:i/>
            <w:iCs/>
            <w:color w:val="0072BC"/>
            <w:lang w:val="pl"/>
          </w:rPr>
          <w:t>Stojkovic p. Byłej Jugosłowiańskiej RepubliceMacedonii</w:t>
        </w:r>
        <w:r w:rsidR="000425B4">
          <w:rPr>
            <w:lang w:val="pl"/>
          </w:rPr>
          <w:t>,</w:t>
        </w:r>
      </w:hyperlink>
      <w:r w:rsidR="000425B4">
        <w:rPr>
          <w:lang w:val="pl"/>
        </w:rPr>
        <w:t xml:space="preserve"> nr 14818/02, 8 listopada 2007 r.</w:t>
      </w:r>
    </w:p>
    <w:p w:rsidR="00B71A20" w:rsidRPr="000625F6" w:rsidRDefault="0093676E">
      <w:pPr>
        <w:pStyle w:val="Teksttreci0"/>
        <w:spacing w:after="0"/>
        <w:rPr>
          <w:lang w:val="pl-PL"/>
        </w:rPr>
      </w:pPr>
      <w:hyperlink r:id="rId2729" w:history="1">
        <w:r w:rsidR="000425B4">
          <w:rPr>
            <w:i/>
            <w:iCs/>
            <w:color w:val="0072BC"/>
            <w:lang w:val="pl"/>
          </w:rPr>
          <w:t>Story i Inni p. Malcie</w:t>
        </w:r>
        <w:r w:rsidR="000425B4">
          <w:rPr>
            <w:lang w:val="pl"/>
          </w:rPr>
          <w:t>,</w:t>
        </w:r>
      </w:hyperlink>
      <w:r w:rsidR="000425B4">
        <w:rPr>
          <w:lang w:val="pl"/>
        </w:rPr>
        <w:t xml:space="preserve"> nr 56854/13 i 2 inne, 29 października 2015 r.</w:t>
      </w:r>
    </w:p>
    <w:p w:rsidR="00B71A20" w:rsidRPr="000625F6" w:rsidRDefault="0093676E">
      <w:pPr>
        <w:pStyle w:val="Teksttreci0"/>
        <w:spacing w:after="0"/>
        <w:rPr>
          <w:lang w:val="pl-PL"/>
        </w:rPr>
      </w:pPr>
      <w:hyperlink r:id="rId2730" w:history="1">
        <w:r w:rsidR="000425B4">
          <w:rPr>
            <w:i/>
            <w:iCs/>
            <w:color w:val="0072BC"/>
            <w:lang w:val="pl"/>
          </w:rPr>
          <w:t>Strand Lobben i Inni p. Norwegii</w:t>
        </w:r>
        <w:r w:rsidR="000425B4">
          <w:rPr>
            <w:color w:val="0072BC"/>
            <w:lang w:val="pl"/>
          </w:rPr>
          <w:t xml:space="preserve"> </w:t>
        </w:r>
      </w:hyperlink>
      <w:r w:rsidR="000425B4">
        <w:rPr>
          <w:lang w:val="pl"/>
        </w:rPr>
        <w:t>[WI], nr 37283/13, 10 września 2019 r.</w:t>
      </w:r>
    </w:p>
    <w:p w:rsidR="00B71A20" w:rsidRPr="000625F6" w:rsidRDefault="0093676E">
      <w:pPr>
        <w:pStyle w:val="Teksttreci0"/>
        <w:spacing w:after="0"/>
        <w:rPr>
          <w:lang w:val="pl-PL"/>
        </w:rPr>
      </w:pPr>
      <w:hyperlink r:id="rId2731" w:history="1">
        <w:r w:rsidR="000425B4">
          <w:rPr>
            <w:i/>
            <w:iCs/>
            <w:color w:val="0072BC"/>
            <w:lang w:val="pl"/>
          </w:rPr>
          <w:t>Strazimiri p. Albanii</w:t>
        </w:r>
        <w:r w:rsidR="000425B4">
          <w:rPr>
            <w:lang w:val="pl"/>
          </w:rPr>
          <w:t>,</w:t>
        </w:r>
      </w:hyperlink>
      <w:r w:rsidR="000425B4">
        <w:rPr>
          <w:lang w:val="pl"/>
        </w:rPr>
        <w:t xml:space="preserve"> nr 34602/16, 21 stycznia 2020 r.</w:t>
      </w:r>
    </w:p>
    <w:p w:rsidR="00B71A20" w:rsidRPr="000625F6" w:rsidRDefault="0093676E">
      <w:pPr>
        <w:pStyle w:val="Teksttreci0"/>
        <w:spacing w:after="0"/>
        <w:rPr>
          <w:lang w:val="pl-PL"/>
        </w:rPr>
      </w:pPr>
      <w:hyperlink r:id="rId2732" w:history="1">
        <w:r w:rsidR="000425B4">
          <w:rPr>
            <w:i/>
            <w:iCs/>
            <w:color w:val="0072BC"/>
            <w:lang w:val="pl"/>
          </w:rPr>
          <w:t>Strezovski i Inni p. Macedonii Północnej</w:t>
        </w:r>
        <w:r w:rsidR="000425B4">
          <w:rPr>
            <w:lang w:val="pl"/>
          </w:rPr>
          <w:t>,</w:t>
        </w:r>
      </w:hyperlink>
      <w:r w:rsidR="000425B4">
        <w:rPr>
          <w:lang w:val="pl"/>
        </w:rPr>
        <w:t xml:space="preserve"> nr 14460/16 i 7 innych, 27 lutego 2020 r.</w:t>
      </w:r>
    </w:p>
    <w:p w:rsidR="00B71A20" w:rsidRPr="000625F6" w:rsidRDefault="0093676E">
      <w:pPr>
        <w:pStyle w:val="Teksttreci0"/>
        <w:spacing w:after="0"/>
        <w:rPr>
          <w:lang w:val="pl-PL"/>
        </w:rPr>
      </w:pPr>
      <w:hyperlink r:id="rId2733" w:history="1">
        <w:r w:rsidR="000425B4">
          <w:rPr>
            <w:i/>
            <w:iCs/>
            <w:color w:val="0072BC"/>
            <w:lang w:val="pl"/>
          </w:rPr>
          <w:t>Studio Monitori i Inni p. Gruzji</w:t>
        </w:r>
        <w:r w:rsidR="000425B4">
          <w:rPr>
            <w:lang w:val="pl"/>
          </w:rPr>
          <w:t>,</w:t>
        </w:r>
      </w:hyperlink>
      <w:r w:rsidR="000425B4">
        <w:rPr>
          <w:lang w:val="pl"/>
        </w:rPr>
        <w:t xml:space="preserve"> nr 44920/09 i 8942/10, 30 stycznia 2020 r.</w:t>
      </w:r>
    </w:p>
    <w:p w:rsidR="00B71A20" w:rsidRPr="000625F6" w:rsidRDefault="0093676E">
      <w:pPr>
        <w:pStyle w:val="Teksttreci0"/>
        <w:spacing w:after="0"/>
        <w:rPr>
          <w:lang w:val="pl-PL"/>
        </w:rPr>
      </w:pPr>
      <w:hyperlink r:id="rId2734" w:history="1">
        <w:r w:rsidR="000425B4">
          <w:rPr>
            <w:i/>
            <w:iCs/>
            <w:color w:val="0072BC"/>
            <w:lang w:val="pl"/>
          </w:rPr>
          <w:t>Stukus i Inni p. Polsce</w:t>
        </w:r>
        <w:r w:rsidR="000425B4">
          <w:rPr>
            <w:lang w:val="pl"/>
          </w:rPr>
          <w:t>,</w:t>
        </w:r>
      </w:hyperlink>
      <w:r w:rsidR="000425B4">
        <w:rPr>
          <w:lang w:val="pl"/>
        </w:rPr>
        <w:t xml:space="preserve"> nr 12534/03, 1 kwietnia 2008 r.</w:t>
      </w:r>
    </w:p>
    <w:p w:rsidR="00B71A20" w:rsidRPr="000625F6" w:rsidRDefault="0093676E">
      <w:pPr>
        <w:pStyle w:val="Teksttreci0"/>
        <w:spacing w:after="0"/>
        <w:rPr>
          <w:lang w:val="pl-PL"/>
        </w:rPr>
      </w:pPr>
      <w:hyperlink r:id="rId2735" w:history="1">
        <w:r w:rsidR="000425B4">
          <w:rPr>
            <w:i/>
            <w:iCs/>
            <w:color w:val="0072BC"/>
            <w:lang w:val="pl"/>
          </w:rPr>
          <w:t>Sultygov i Inni p. Rosji</w:t>
        </w:r>
        <w:r w:rsidR="000425B4">
          <w:rPr>
            <w:lang w:val="pl"/>
          </w:rPr>
          <w:t>,</w:t>
        </w:r>
      </w:hyperlink>
      <w:r w:rsidR="000425B4">
        <w:rPr>
          <w:lang w:val="pl"/>
        </w:rPr>
        <w:t xml:space="preserve"> nr 42575/07 i 11 innych, 9 października 2014 r.</w:t>
      </w:r>
    </w:p>
    <w:p w:rsidR="00B71A20" w:rsidRPr="000625F6" w:rsidRDefault="0093676E">
      <w:pPr>
        <w:pStyle w:val="Teksttreci0"/>
        <w:spacing w:after="0" w:line="230" w:lineRule="auto"/>
        <w:rPr>
          <w:lang w:val="pl-PL"/>
        </w:rPr>
      </w:pPr>
      <w:hyperlink r:id="rId2736" w:history="1">
        <w:r w:rsidR="000425B4">
          <w:rPr>
            <w:i/>
            <w:iCs/>
            <w:color w:val="0072BC"/>
            <w:lang w:val="pl"/>
          </w:rPr>
          <w:t xml:space="preserve">Šumbera p. Czechom </w:t>
        </w:r>
      </w:hyperlink>
      <w:r w:rsidR="000425B4">
        <w:rPr>
          <w:lang w:val="pl"/>
        </w:rPr>
        <w:t>(dec.), nr 48228/08, 21 lutego 2012 r.</w:t>
      </w:r>
    </w:p>
    <w:p w:rsidR="00B71A20" w:rsidRPr="000625F6" w:rsidRDefault="0093676E">
      <w:pPr>
        <w:pStyle w:val="Teksttreci0"/>
        <w:spacing w:after="0"/>
        <w:rPr>
          <w:lang w:val="pl-PL"/>
        </w:rPr>
      </w:pPr>
      <w:hyperlink r:id="rId2737" w:history="1">
        <w:r w:rsidR="000425B4">
          <w:rPr>
            <w:i/>
            <w:iCs/>
            <w:color w:val="0072BC"/>
            <w:lang w:val="pl"/>
          </w:rPr>
          <w:t>Sürmeli p. Niemcom</w:t>
        </w:r>
        <w:r w:rsidR="000425B4">
          <w:rPr>
            <w:color w:val="0072BC"/>
            <w:lang w:val="pl"/>
          </w:rPr>
          <w:t xml:space="preserve"> </w:t>
        </w:r>
      </w:hyperlink>
      <w:r w:rsidR="000425B4">
        <w:rPr>
          <w:lang w:val="pl"/>
        </w:rPr>
        <w:t>(dec.), nr 75529/01, 29 kwietnia 2004 r.</w:t>
      </w:r>
    </w:p>
    <w:p w:rsidR="00B71A20" w:rsidRPr="000625F6" w:rsidRDefault="0093676E">
      <w:pPr>
        <w:pStyle w:val="Teksttreci0"/>
        <w:spacing w:after="0"/>
        <w:rPr>
          <w:lang w:val="pl-PL"/>
        </w:rPr>
      </w:pPr>
      <w:hyperlink r:id="rId2738" w:history="1">
        <w:r w:rsidR="000425B4">
          <w:rPr>
            <w:i/>
            <w:iCs/>
            <w:color w:val="0072BC"/>
            <w:lang w:val="pl"/>
          </w:rPr>
          <w:t xml:space="preserve">Sürmeli p. Niemcom </w:t>
        </w:r>
      </w:hyperlink>
      <w:r w:rsidR="000425B4">
        <w:rPr>
          <w:lang w:val="pl"/>
        </w:rPr>
        <w:t>[WI], nr 75529/01, ECHR 2006-VII</w:t>
      </w:r>
    </w:p>
    <w:p w:rsidR="00B71A20" w:rsidRPr="000625F6" w:rsidRDefault="0093676E">
      <w:pPr>
        <w:pStyle w:val="Teksttreci0"/>
        <w:spacing w:after="0"/>
        <w:rPr>
          <w:lang w:val="pl-PL"/>
        </w:rPr>
      </w:pPr>
      <w:hyperlink r:id="rId2739" w:history="1">
        <w:r w:rsidR="000425B4">
          <w:rPr>
            <w:i/>
            <w:iCs/>
            <w:color w:val="0072BC"/>
            <w:lang w:val="pl"/>
          </w:rPr>
          <w:t xml:space="preserve">Svinarenko i Slydanev p. Rosji </w:t>
        </w:r>
      </w:hyperlink>
      <w:r w:rsidR="000425B4">
        <w:rPr>
          <w:lang w:val="pl"/>
        </w:rPr>
        <w:t>[WI], nr 32541/08 i 43441/08, ECHR 2014</w:t>
      </w:r>
    </w:p>
    <w:p w:rsidR="00B71A20" w:rsidRPr="000625F6" w:rsidRDefault="0093676E">
      <w:pPr>
        <w:pStyle w:val="Teksttreci0"/>
        <w:spacing w:after="0"/>
        <w:rPr>
          <w:lang w:val="pl-PL"/>
        </w:rPr>
      </w:pPr>
      <w:hyperlink r:id="rId2740" w:history="1">
        <w:r w:rsidR="000425B4">
          <w:rPr>
            <w:i/>
            <w:iCs/>
            <w:color w:val="0072BC"/>
            <w:lang w:val="pl"/>
          </w:rPr>
          <w:t>Sy p. Włochom</w:t>
        </w:r>
        <w:r w:rsidR="000425B4">
          <w:rPr>
            <w:lang w:val="pl"/>
          </w:rPr>
          <w:t>,</w:t>
        </w:r>
      </w:hyperlink>
      <w:r w:rsidR="000425B4">
        <w:rPr>
          <w:lang w:val="pl"/>
        </w:rPr>
        <w:t xml:space="preserve"> nr 11791/20, 24 stycznia 2022 r.</w:t>
      </w:r>
    </w:p>
    <w:p w:rsidR="00B71A20" w:rsidRPr="000625F6" w:rsidRDefault="0093676E">
      <w:pPr>
        <w:pStyle w:val="Teksttreci0"/>
        <w:spacing w:after="0"/>
        <w:rPr>
          <w:lang w:val="pl-PL"/>
        </w:rPr>
      </w:pPr>
      <w:hyperlink r:id="rId2741" w:history="1">
        <w:r w:rsidR="000425B4">
          <w:rPr>
            <w:i/>
            <w:iCs/>
            <w:color w:val="0072BC"/>
            <w:lang w:val="pl"/>
          </w:rPr>
          <w:t xml:space="preserve">Sylka p. Polsce </w:t>
        </w:r>
      </w:hyperlink>
      <w:r w:rsidR="000425B4">
        <w:rPr>
          <w:lang w:val="pl"/>
        </w:rPr>
        <w:t>(dec.), nr 19219/07, 3 czerwca 2014 r.</w:t>
      </w:r>
    </w:p>
    <w:p w:rsidR="00B71A20" w:rsidRPr="000625F6" w:rsidRDefault="0093676E">
      <w:pPr>
        <w:pStyle w:val="Teksttreci0"/>
        <w:spacing w:after="460"/>
        <w:rPr>
          <w:lang w:val="pl-PL"/>
        </w:rPr>
      </w:pPr>
      <w:hyperlink r:id="rId2742" w:history="1">
        <w:r w:rsidR="000425B4">
          <w:rPr>
            <w:i/>
            <w:iCs/>
            <w:color w:val="0072BC"/>
            <w:lang w:val="pl"/>
          </w:rPr>
          <w:t xml:space="preserve">Szott-Medyńska i Inni p. Polsce </w:t>
        </w:r>
      </w:hyperlink>
      <w:r w:rsidR="000425B4">
        <w:rPr>
          <w:lang w:val="pl"/>
        </w:rPr>
        <w:t>(dec.), nr 47414/99, 9 października 2003 r.</w:t>
      </w:r>
    </w:p>
    <w:p w:rsidR="00B71A20" w:rsidRPr="000625F6" w:rsidRDefault="000425B4">
      <w:pPr>
        <w:pStyle w:val="Teksttreci30"/>
        <w:spacing w:after="120"/>
        <w:rPr>
          <w:lang w:val="pl-PL"/>
        </w:rPr>
      </w:pPr>
      <w:r>
        <w:rPr>
          <w:lang w:val="pl"/>
        </w:rPr>
        <w:t>—T—</w:t>
      </w:r>
    </w:p>
    <w:p w:rsidR="00B71A20" w:rsidRPr="000625F6" w:rsidRDefault="0093676E">
      <w:pPr>
        <w:pStyle w:val="Teksttreci0"/>
        <w:spacing w:after="0"/>
        <w:rPr>
          <w:lang w:val="pl-PL"/>
        </w:rPr>
      </w:pPr>
      <w:hyperlink r:id="rId2743" w:history="1">
        <w:r w:rsidR="000425B4">
          <w:rPr>
            <w:i/>
            <w:iCs/>
            <w:color w:val="0072BC"/>
            <w:lang w:val="pl"/>
          </w:rPr>
          <w:t>Tagiyev i Huseynov p. Azerbejdżanowi</w:t>
        </w:r>
        <w:r w:rsidR="000425B4">
          <w:rPr>
            <w:lang w:val="pl"/>
          </w:rPr>
          <w:t>,</w:t>
        </w:r>
      </w:hyperlink>
      <w:r w:rsidR="000425B4">
        <w:rPr>
          <w:lang w:val="pl"/>
        </w:rPr>
        <w:t xml:space="preserve"> nr 13274/08, 5 grudnia 2019 r.</w:t>
      </w:r>
    </w:p>
    <w:p w:rsidR="00B71A20" w:rsidRDefault="0093676E">
      <w:pPr>
        <w:pStyle w:val="Teksttreci0"/>
        <w:spacing w:after="0"/>
      </w:pPr>
      <w:hyperlink r:id="rId2744" w:history="1">
        <w:r w:rsidR="000425B4" w:rsidRPr="000625F6">
          <w:rPr>
            <w:i/>
            <w:iCs/>
            <w:color w:val="0072BC"/>
            <w:lang w:val="en-GB"/>
          </w:rPr>
          <w:t xml:space="preserve">Tahsin Acar p. Turcji </w:t>
        </w:r>
      </w:hyperlink>
      <w:r w:rsidR="000425B4" w:rsidRPr="000625F6">
        <w:rPr>
          <w:lang w:val="en-GB"/>
        </w:rPr>
        <w:t>[WI], nr 26307/95, ECHR 2004-III</w:t>
      </w:r>
    </w:p>
    <w:p w:rsidR="00B71A20" w:rsidRDefault="0093676E">
      <w:pPr>
        <w:pStyle w:val="Teksttreci0"/>
        <w:spacing w:after="0"/>
        <w:rPr>
          <w:lang w:val="pl"/>
        </w:rPr>
      </w:pPr>
      <w:hyperlink r:id="rId2745" w:history="1">
        <w:r w:rsidR="000425B4">
          <w:rPr>
            <w:i/>
            <w:iCs/>
            <w:color w:val="0072BC"/>
            <w:lang w:val="pl"/>
          </w:rPr>
          <w:t xml:space="preserve">Tănase p. Mołdawii </w:t>
        </w:r>
      </w:hyperlink>
      <w:r w:rsidR="000425B4">
        <w:rPr>
          <w:lang w:val="pl"/>
        </w:rPr>
        <w:t>[WI], nr 7/08, ECHR 2010</w:t>
      </w:r>
    </w:p>
    <w:p w:rsidR="00277B52" w:rsidRPr="000625F6" w:rsidRDefault="0093676E">
      <w:pPr>
        <w:pStyle w:val="Teksttreci0"/>
        <w:spacing w:after="0"/>
        <w:rPr>
          <w:lang w:val="pl-PL"/>
        </w:rPr>
      </w:pPr>
      <w:hyperlink r:id="rId2746" w:history="1">
        <w:r w:rsidR="00277B52" w:rsidRPr="000625F6">
          <w:rPr>
            <w:i/>
            <w:iCs/>
            <w:color w:val="0072BC"/>
            <w:lang w:val="pl"/>
          </w:rPr>
          <w:t>Taner Kılıç p. Turcji (nr 2)</w:t>
        </w:r>
      </w:hyperlink>
      <w:r w:rsidR="00277B52" w:rsidRPr="00277B52">
        <w:rPr>
          <w:iCs/>
          <w:color w:val="auto"/>
          <w:lang w:val="pl"/>
        </w:rPr>
        <w:t xml:space="preserve">, nr </w:t>
      </w:r>
      <w:r w:rsidR="00277B52">
        <w:rPr>
          <w:iCs/>
          <w:color w:val="auto"/>
          <w:lang w:val="pl"/>
        </w:rPr>
        <w:t>208/18, 31 maja 2022 r.</w:t>
      </w:r>
    </w:p>
    <w:p w:rsidR="00B71A20" w:rsidRPr="000625F6" w:rsidRDefault="0093676E">
      <w:pPr>
        <w:pStyle w:val="Teksttreci0"/>
        <w:spacing w:after="0"/>
        <w:rPr>
          <w:lang w:val="pl-PL"/>
        </w:rPr>
      </w:pPr>
      <w:hyperlink r:id="rId2747" w:history="1">
        <w:r w:rsidR="000425B4">
          <w:rPr>
            <w:i/>
            <w:iCs/>
            <w:color w:val="0072BC"/>
            <w:lang w:val="pl"/>
          </w:rPr>
          <w:t xml:space="preserve">Tanrıkulu p. Turcji </w:t>
        </w:r>
      </w:hyperlink>
      <w:r w:rsidR="000425B4">
        <w:rPr>
          <w:lang w:val="pl"/>
        </w:rPr>
        <w:t>[WI], nr 23763/94, ECHR 1999-IV</w:t>
      </w:r>
    </w:p>
    <w:p w:rsidR="00B71A20" w:rsidRPr="000625F6" w:rsidRDefault="0093676E">
      <w:pPr>
        <w:pStyle w:val="Teksttreci0"/>
        <w:spacing w:after="0" w:line="230" w:lineRule="auto"/>
        <w:rPr>
          <w:lang w:val="pl-PL"/>
        </w:rPr>
      </w:pPr>
      <w:hyperlink r:id="rId2748" w:history="1">
        <w:r w:rsidR="000425B4">
          <w:rPr>
            <w:i/>
            <w:iCs/>
            <w:color w:val="0072BC"/>
            <w:lang w:val="pl"/>
          </w:rPr>
          <w:t xml:space="preserve">Tarakhel p. Szwajcarii </w:t>
        </w:r>
      </w:hyperlink>
      <w:r w:rsidR="000425B4">
        <w:rPr>
          <w:lang w:val="pl"/>
        </w:rPr>
        <w:t>[WI], nr 29217/12, ECHR 2014</w:t>
      </w:r>
    </w:p>
    <w:p w:rsidR="00B71A20" w:rsidRPr="000625F6" w:rsidRDefault="0093676E">
      <w:pPr>
        <w:pStyle w:val="Teksttreci0"/>
        <w:spacing w:after="0"/>
        <w:rPr>
          <w:lang w:val="pl-PL"/>
        </w:rPr>
      </w:pPr>
      <w:hyperlink r:id="rId2749" w:history="1">
        <w:r w:rsidR="000425B4">
          <w:rPr>
            <w:i/>
            <w:iCs/>
            <w:color w:val="0072BC"/>
            <w:lang w:val="pl"/>
          </w:rPr>
          <w:t xml:space="preserve">Techniki Olympiaki A.E. p. Grecji </w:t>
        </w:r>
      </w:hyperlink>
      <w:r w:rsidR="000425B4">
        <w:rPr>
          <w:lang w:val="pl"/>
        </w:rPr>
        <w:t>(dec.), nr 40547/10, 1 października 2013 r.</w:t>
      </w:r>
    </w:p>
    <w:p w:rsidR="00B71A20" w:rsidRPr="000625F6" w:rsidRDefault="0093676E">
      <w:pPr>
        <w:pStyle w:val="Teksttreci0"/>
        <w:spacing w:after="0"/>
        <w:rPr>
          <w:lang w:val="pl-PL"/>
        </w:rPr>
      </w:pPr>
      <w:hyperlink r:id="rId2750" w:history="1">
        <w:r w:rsidR="000425B4">
          <w:rPr>
            <w:i/>
            <w:iCs/>
            <w:color w:val="0072BC"/>
            <w:lang w:val="pl"/>
          </w:rPr>
          <w:t>Tempel p. Czechom</w:t>
        </w:r>
        <w:r w:rsidR="000425B4">
          <w:rPr>
            <w:lang w:val="pl"/>
          </w:rPr>
          <w:t>,</w:t>
        </w:r>
      </w:hyperlink>
      <w:r w:rsidR="000425B4">
        <w:rPr>
          <w:lang w:val="pl"/>
        </w:rPr>
        <w:t xml:space="preserve"> nr 21429/14 i 9 innych, 21 stycznia 2021 r.</w:t>
      </w:r>
    </w:p>
    <w:p w:rsidR="00B71A20" w:rsidRPr="000625F6" w:rsidRDefault="0093676E">
      <w:pPr>
        <w:pStyle w:val="Teksttreci0"/>
        <w:spacing w:after="0"/>
        <w:rPr>
          <w:lang w:val="pl-PL"/>
        </w:rPr>
      </w:pPr>
      <w:hyperlink r:id="rId2751" w:history="1">
        <w:r w:rsidR="000425B4">
          <w:rPr>
            <w:i/>
            <w:iCs/>
            <w:color w:val="0072BC"/>
            <w:lang w:val="pl"/>
          </w:rPr>
          <w:t>The Holy Monasteries p. Grecji</w:t>
        </w:r>
        <w:r w:rsidR="000425B4">
          <w:rPr>
            <w:lang w:val="pl"/>
          </w:rPr>
          <w:t>,</w:t>
        </w:r>
      </w:hyperlink>
      <w:r w:rsidR="000425B4">
        <w:rPr>
          <w:lang w:val="pl"/>
        </w:rPr>
        <w:t xml:space="preserve"> 9 grudnia 1994 r., Seria A nr 301-A</w:t>
      </w:r>
    </w:p>
    <w:p w:rsidR="00B71A20" w:rsidRDefault="0093676E">
      <w:pPr>
        <w:pStyle w:val="Teksttreci0"/>
        <w:spacing w:after="0"/>
        <w:rPr>
          <w:lang w:val="pl"/>
        </w:rPr>
      </w:pPr>
      <w:hyperlink r:id="rId2752" w:history="1">
        <w:r w:rsidR="000425B4">
          <w:rPr>
            <w:i/>
            <w:iCs/>
            <w:color w:val="0072BC"/>
            <w:lang w:val="pl"/>
          </w:rPr>
          <w:t xml:space="preserve">Thévenon p. Francji </w:t>
        </w:r>
      </w:hyperlink>
      <w:r w:rsidR="000425B4">
        <w:rPr>
          <w:lang w:val="pl"/>
        </w:rPr>
        <w:t>(dec.), nr 2476/02, ECHR 2006-III</w:t>
      </w:r>
    </w:p>
    <w:p w:rsidR="009221CB" w:rsidRPr="000625F6" w:rsidRDefault="0093676E">
      <w:pPr>
        <w:pStyle w:val="Teksttreci0"/>
        <w:spacing w:after="0"/>
        <w:rPr>
          <w:lang w:val="pl-PL"/>
        </w:rPr>
      </w:pPr>
      <w:hyperlink r:id="rId2753" w:history="1">
        <w:r w:rsidR="009221CB">
          <w:rPr>
            <w:i/>
            <w:iCs/>
            <w:color w:val="0072BC"/>
            <w:lang w:val="pl"/>
          </w:rPr>
          <w:t>Thibaut p. </w:t>
        </w:r>
        <w:r w:rsidR="009221CB" w:rsidRPr="000625F6">
          <w:rPr>
            <w:i/>
            <w:iCs/>
            <w:color w:val="0072BC"/>
            <w:lang w:val="pl"/>
          </w:rPr>
          <w:t>Francji</w:t>
        </w:r>
      </w:hyperlink>
      <w:r w:rsidR="009221CB">
        <w:rPr>
          <w:lang w:val="pl"/>
        </w:rPr>
        <w:t xml:space="preserve"> (dec.), nr 41892/19, 14 czerwca 2022 r.</w:t>
      </w:r>
    </w:p>
    <w:p w:rsidR="00B71A20" w:rsidRPr="000625F6" w:rsidRDefault="0093676E">
      <w:pPr>
        <w:pStyle w:val="Teksttreci0"/>
        <w:spacing w:after="0"/>
        <w:rPr>
          <w:lang w:val="pl-PL"/>
        </w:rPr>
      </w:pPr>
      <w:hyperlink r:id="rId2754" w:history="1">
        <w:r w:rsidR="000425B4">
          <w:rPr>
            <w:i/>
            <w:iCs/>
            <w:color w:val="0072BC"/>
            <w:lang w:val="pl"/>
          </w:rPr>
          <w:t>Tomaszewscy p. Polsce</w:t>
        </w:r>
        <w:r w:rsidR="000425B4">
          <w:rPr>
            <w:lang w:val="pl"/>
          </w:rPr>
          <w:t>,</w:t>
        </w:r>
      </w:hyperlink>
      <w:r w:rsidR="000425B4">
        <w:rPr>
          <w:lang w:val="pl"/>
        </w:rPr>
        <w:t xml:space="preserve"> nr 8933/05, 15 kwietnia 2014 r.</w:t>
      </w:r>
    </w:p>
    <w:p w:rsidR="00B71A20" w:rsidRPr="000625F6" w:rsidRDefault="0093676E">
      <w:pPr>
        <w:pStyle w:val="Teksttreci0"/>
        <w:spacing w:after="0"/>
        <w:rPr>
          <w:lang w:val="pl-PL"/>
        </w:rPr>
      </w:pPr>
      <w:hyperlink r:id="rId2755" w:history="1">
        <w:r w:rsidR="000425B4">
          <w:rPr>
            <w:i/>
            <w:iCs/>
            <w:color w:val="0072BC"/>
            <w:lang w:val="pl"/>
          </w:rPr>
          <w:t>Torreggiani i Inni p. Włochom</w:t>
        </w:r>
        <w:r w:rsidR="000425B4">
          <w:rPr>
            <w:lang w:val="pl"/>
          </w:rPr>
          <w:t>,</w:t>
        </w:r>
      </w:hyperlink>
      <w:r w:rsidR="000425B4">
        <w:rPr>
          <w:lang w:val="pl"/>
        </w:rPr>
        <w:t xml:space="preserve"> nr 43517/09 i 6 innych, 8 stycznia 2013 r.</w:t>
      </w:r>
    </w:p>
    <w:p w:rsidR="00B71A20" w:rsidRPr="000625F6" w:rsidRDefault="0093676E">
      <w:pPr>
        <w:pStyle w:val="Teksttreci0"/>
        <w:spacing w:after="0"/>
        <w:rPr>
          <w:lang w:val="pl-PL"/>
        </w:rPr>
      </w:pPr>
      <w:hyperlink r:id="rId2756" w:history="1">
        <w:r w:rsidR="000425B4">
          <w:rPr>
            <w:i/>
            <w:iCs/>
            <w:color w:val="0072BC"/>
            <w:lang w:val="pl"/>
          </w:rPr>
          <w:t xml:space="preserve">Transpetrol, a.s., p. Słowacji </w:t>
        </w:r>
      </w:hyperlink>
      <w:r w:rsidR="000425B4">
        <w:rPr>
          <w:lang w:val="pl"/>
        </w:rPr>
        <w:t>(dec.), nr 28502/08, 15 listopada 2011 r.</w:t>
      </w:r>
    </w:p>
    <w:p w:rsidR="00B71A20" w:rsidRPr="000625F6" w:rsidRDefault="0093676E">
      <w:pPr>
        <w:pStyle w:val="Teksttreci0"/>
        <w:spacing w:after="0"/>
        <w:rPr>
          <w:lang w:val="pl-PL"/>
        </w:rPr>
      </w:pPr>
      <w:hyperlink r:id="rId2757" w:history="1">
        <w:r w:rsidR="000425B4">
          <w:rPr>
            <w:i/>
            <w:iCs/>
            <w:color w:val="0072BC"/>
            <w:lang w:val="pl"/>
          </w:rPr>
          <w:t xml:space="preserve">Treska p. Albanii i Włochom </w:t>
        </w:r>
      </w:hyperlink>
      <w:r w:rsidR="000425B4">
        <w:rPr>
          <w:lang w:val="pl"/>
        </w:rPr>
        <w:t>(dec.), nr 26937/04, ECHR 2006-XI</w:t>
      </w:r>
    </w:p>
    <w:p w:rsidR="00B71A20" w:rsidRPr="000625F6" w:rsidRDefault="0093676E">
      <w:pPr>
        <w:pStyle w:val="Teksttreci0"/>
        <w:spacing w:after="0"/>
        <w:rPr>
          <w:lang w:val="pl-PL"/>
        </w:rPr>
      </w:pPr>
      <w:hyperlink r:id="rId2758" w:history="1">
        <w:r w:rsidR="000425B4">
          <w:rPr>
            <w:i/>
            <w:iCs/>
            <w:color w:val="0072BC"/>
            <w:lang w:val="pl"/>
          </w:rPr>
          <w:t>Trivkanović p. Chorwacji</w:t>
        </w:r>
        <w:r w:rsidR="000425B4">
          <w:rPr>
            <w:lang w:val="pl"/>
          </w:rPr>
          <w:t>,</w:t>
        </w:r>
      </w:hyperlink>
      <w:r w:rsidR="000425B4">
        <w:rPr>
          <w:lang w:val="pl"/>
        </w:rPr>
        <w:t xml:space="preserve"> nr 12986/13, 6 lipca 2017 r.</w:t>
      </w:r>
    </w:p>
    <w:p w:rsidR="00B71A20" w:rsidRPr="000625F6" w:rsidRDefault="0093676E">
      <w:pPr>
        <w:pStyle w:val="Teksttreci0"/>
        <w:spacing w:after="0"/>
        <w:rPr>
          <w:lang w:val="pl-PL"/>
        </w:rPr>
      </w:pPr>
      <w:hyperlink r:id="rId2759" w:history="1">
        <w:r w:rsidR="000425B4">
          <w:rPr>
            <w:i/>
            <w:iCs/>
            <w:color w:val="0072BC"/>
            <w:lang w:val="pl"/>
          </w:rPr>
          <w:t xml:space="preserve">Trofimchuk p. Ukrainie </w:t>
        </w:r>
      </w:hyperlink>
      <w:r w:rsidR="000425B4">
        <w:rPr>
          <w:lang w:val="pl"/>
        </w:rPr>
        <w:t>(dec.), nr 4241/03, 31 maja 2005 r.</w:t>
      </w:r>
    </w:p>
    <w:p w:rsidR="00B71A20" w:rsidRPr="000625F6" w:rsidRDefault="0093676E">
      <w:pPr>
        <w:pStyle w:val="Teksttreci0"/>
        <w:spacing w:after="0"/>
        <w:rPr>
          <w:lang w:val="pl-PL"/>
        </w:rPr>
      </w:pPr>
      <w:hyperlink r:id="rId2760" w:history="1">
        <w:r w:rsidR="000425B4">
          <w:rPr>
            <w:i/>
            <w:iCs/>
            <w:color w:val="0072BC"/>
            <w:lang w:val="pl"/>
          </w:rPr>
          <w:t>Trubnikov p. Rosji</w:t>
        </w:r>
        <w:r w:rsidR="000425B4">
          <w:rPr>
            <w:lang w:val="pl"/>
          </w:rPr>
          <w:t>,</w:t>
        </w:r>
      </w:hyperlink>
      <w:r w:rsidR="000425B4">
        <w:rPr>
          <w:lang w:val="pl"/>
        </w:rPr>
        <w:t xml:space="preserve"> nr 49790/99, 5 lipca 2005 r.</w:t>
      </w:r>
    </w:p>
    <w:p w:rsidR="00B71A20" w:rsidRPr="000625F6" w:rsidRDefault="0093676E" w:rsidP="009221CB">
      <w:pPr>
        <w:pStyle w:val="Teksttreci0"/>
        <w:spacing w:after="0"/>
        <w:rPr>
          <w:lang w:val="pl-PL"/>
        </w:rPr>
      </w:pPr>
      <w:hyperlink r:id="rId2761" w:history="1">
        <w:r w:rsidR="000425B4">
          <w:rPr>
            <w:i/>
            <w:iCs/>
            <w:color w:val="0072BC"/>
            <w:lang w:val="pl"/>
          </w:rPr>
          <w:t>Tsalikidis i Inni p. Grecji</w:t>
        </w:r>
        <w:r w:rsidR="000425B4">
          <w:rPr>
            <w:lang w:val="pl"/>
          </w:rPr>
          <w:t>,</w:t>
        </w:r>
      </w:hyperlink>
      <w:r w:rsidR="000425B4">
        <w:rPr>
          <w:lang w:val="pl"/>
        </w:rPr>
        <w:t xml:space="preserve"> nr 73974/14, 16 listopada 2017 r.</w:t>
      </w:r>
    </w:p>
    <w:p w:rsidR="00B71A20" w:rsidRPr="000625F6" w:rsidRDefault="0093676E">
      <w:pPr>
        <w:pStyle w:val="Teksttreci0"/>
        <w:spacing w:after="0"/>
        <w:rPr>
          <w:lang w:val="pl-PL"/>
        </w:rPr>
      </w:pPr>
      <w:hyperlink r:id="rId2762" w:history="1">
        <w:r w:rsidR="000425B4">
          <w:rPr>
            <w:i/>
            <w:iCs/>
            <w:color w:val="0072BC"/>
            <w:lang w:val="pl"/>
          </w:rPr>
          <w:t xml:space="preserve">Tucka p. Wielkiej Brytanii (nr 1) </w:t>
        </w:r>
      </w:hyperlink>
      <w:r w:rsidR="000425B4">
        <w:rPr>
          <w:lang w:val="pl"/>
        </w:rPr>
        <w:t>(dec.), nr 34586/10, 18 stycznia 2011 r.</w:t>
      </w:r>
    </w:p>
    <w:p w:rsidR="00B71A20" w:rsidRPr="000625F6" w:rsidRDefault="0093676E">
      <w:pPr>
        <w:pStyle w:val="Teksttreci0"/>
        <w:spacing w:after="0"/>
        <w:rPr>
          <w:lang w:val="pl-PL"/>
        </w:rPr>
      </w:pPr>
      <w:hyperlink r:id="rId2763" w:history="1">
        <w:r w:rsidR="000425B4">
          <w:rPr>
            <w:i/>
            <w:iCs/>
            <w:color w:val="0072BC"/>
            <w:lang w:val="pl"/>
          </w:rPr>
          <w:t>Tuna p. Turcji</w:t>
        </w:r>
        <w:r w:rsidR="000425B4">
          <w:rPr>
            <w:lang w:val="pl"/>
          </w:rPr>
          <w:t>,</w:t>
        </w:r>
      </w:hyperlink>
      <w:r w:rsidR="000425B4">
        <w:rPr>
          <w:lang w:val="pl"/>
        </w:rPr>
        <w:t xml:space="preserve"> nr 22339/03, 19 stycznia 2010 r.</w:t>
      </w:r>
    </w:p>
    <w:p w:rsidR="00B71A20" w:rsidRPr="000625F6" w:rsidRDefault="0093676E">
      <w:pPr>
        <w:pStyle w:val="Teksttreci0"/>
        <w:spacing w:after="0"/>
        <w:rPr>
          <w:lang w:val="pl-PL"/>
        </w:rPr>
      </w:pPr>
      <w:hyperlink r:id="rId2764" w:history="1">
        <w:r w:rsidR="000425B4">
          <w:rPr>
            <w:i/>
            <w:iCs/>
            <w:color w:val="0072BC"/>
            <w:lang w:val="pl"/>
          </w:rPr>
          <w:t>Tunç p. Turcji</w:t>
        </w:r>
        <w:r w:rsidR="000425B4">
          <w:rPr>
            <w:color w:val="0072BC"/>
            <w:lang w:val="pl"/>
          </w:rPr>
          <w:t xml:space="preserve"> </w:t>
        </w:r>
      </w:hyperlink>
      <w:r w:rsidR="000425B4">
        <w:rPr>
          <w:lang w:val="pl"/>
        </w:rPr>
        <w:t>(dec.), nr 45801/19, 22 lutego 2022 r.</w:t>
      </w:r>
    </w:p>
    <w:p w:rsidR="00B71A20" w:rsidRPr="000625F6" w:rsidRDefault="0093676E">
      <w:pPr>
        <w:pStyle w:val="Teksttreci0"/>
        <w:spacing w:after="0"/>
        <w:rPr>
          <w:lang w:val="pl-PL"/>
        </w:rPr>
      </w:pPr>
      <w:hyperlink r:id="rId2765" w:history="1">
        <w:r w:rsidR="000425B4">
          <w:rPr>
            <w:i/>
            <w:iCs/>
            <w:color w:val="0072BC"/>
            <w:lang w:val="pl"/>
          </w:rPr>
          <w:t>Turgut i Inni p. Turcji</w:t>
        </w:r>
        <w:r w:rsidR="000425B4">
          <w:rPr>
            <w:lang w:val="pl"/>
          </w:rPr>
          <w:t>,</w:t>
        </w:r>
      </w:hyperlink>
      <w:r w:rsidR="000425B4">
        <w:rPr>
          <w:lang w:val="pl"/>
        </w:rPr>
        <w:t xml:space="preserve"> nr 1411/03, 8 lipca 2008 r.</w:t>
      </w:r>
    </w:p>
    <w:p w:rsidR="00B71A20" w:rsidRPr="000625F6" w:rsidRDefault="0093676E">
      <w:pPr>
        <w:pStyle w:val="Teksttreci0"/>
        <w:spacing w:after="0"/>
        <w:ind w:left="580" w:hanging="580"/>
        <w:rPr>
          <w:lang w:val="pl-PL"/>
        </w:rPr>
      </w:pPr>
      <w:hyperlink r:id="rId2766" w:history="1">
        <w:r w:rsidR="000425B4">
          <w:rPr>
            <w:i/>
            <w:iCs/>
            <w:color w:val="0072BC"/>
            <w:lang w:val="pl"/>
          </w:rPr>
          <w:t>Turturica i Casian p. Republice Mołdawii i Rosji</w:t>
        </w:r>
        <w:r w:rsidR="000425B4">
          <w:rPr>
            <w:lang w:val="pl"/>
          </w:rPr>
          <w:t>,</w:t>
        </w:r>
      </w:hyperlink>
      <w:r w:rsidR="000425B4">
        <w:rPr>
          <w:lang w:val="pl"/>
        </w:rPr>
        <w:t xml:space="preserve"> nr 28648/06 i 18832/07, 30 sierpnia 2016 r.</w:t>
      </w:r>
    </w:p>
    <w:p w:rsidR="00B71A20" w:rsidRPr="000625F6" w:rsidRDefault="0093676E">
      <w:pPr>
        <w:pStyle w:val="Teksttreci0"/>
        <w:spacing w:after="460"/>
        <w:rPr>
          <w:lang w:val="pl-PL"/>
        </w:rPr>
      </w:pPr>
      <w:hyperlink r:id="rId2767" w:history="1">
        <w:r w:rsidR="000425B4">
          <w:rPr>
            <w:i/>
            <w:iCs/>
            <w:color w:val="0072BC"/>
            <w:lang w:val="pl"/>
          </w:rPr>
          <w:t>Tyrer p. Wielkiej Brytanii</w:t>
        </w:r>
        <w:r w:rsidR="000425B4">
          <w:rPr>
            <w:lang w:val="pl"/>
          </w:rPr>
          <w:t>,</w:t>
        </w:r>
      </w:hyperlink>
      <w:r w:rsidR="000425B4">
        <w:rPr>
          <w:lang w:val="pl"/>
        </w:rPr>
        <w:t xml:space="preserve"> 25 kwietnia 1978 r., Seria A nr 26</w:t>
      </w:r>
    </w:p>
    <w:p w:rsidR="00B71A20" w:rsidRPr="000625F6" w:rsidRDefault="000425B4">
      <w:pPr>
        <w:pStyle w:val="Teksttreci30"/>
        <w:spacing w:after="100"/>
        <w:rPr>
          <w:lang w:val="pl-PL"/>
        </w:rPr>
      </w:pPr>
      <w:r>
        <w:rPr>
          <w:lang w:val="pl"/>
        </w:rPr>
        <w:t>—U—</w:t>
      </w:r>
    </w:p>
    <w:p w:rsidR="00B71A20" w:rsidRPr="000625F6" w:rsidRDefault="0093676E">
      <w:pPr>
        <w:pStyle w:val="Teksttreci0"/>
        <w:spacing w:after="0"/>
        <w:rPr>
          <w:lang w:val="pl-PL"/>
        </w:rPr>
      </w:pPr>
      <w:hyperlink r:id="rId2768" w:history="1">
        <w:r w:rsidR="000425B4">
          <w:rPr>
            <w:i/>
            <w:iCs/>
            <w:color w:val="0072BC"/>
            <w:lang w:val="pl"/>
          </w:rPr>
          <w:t xml:space="preserve">Ukraina p. Rosji (dot. Krymu) </w:t>
        </w:r>
      </w:hyperlink>
      <w:r w:rsidR="000425B4">
        <w:rPr>
          <w:lang w:val="pl"/>
        </w:rPr>
        <w:t>(dec.) [WI], nr 20958/14 i 38334/18, 16 grudnia 2020 r.</w:t>
      </w:r>
    </w:p>
    <w:p w:rsidR="00B71A20" w:rsidRPr="000625F6" w:rsidRDefault="0093676E">
      <w:pPr>
        <w:pStyle w:val="Teksttreci0"/>
        <w:spacing w:after="0"/>
        <w:rPr>
          <w:lang w:val="pl-PL"/>
        </w:rPr>
      </w:pPr>
      <w:hyperlink r:id="rId2769" w:history="1">
        <w:r w:rsidR="000425B4">
          <w:rPr>
            <w:i/>
            <w:iCs/>
            <w:color w:val="0072BC"/>
            <w:lang w:val="pl"/>
          </w:rPr>
          <w:t>Ukraine-Tyumen p. Ukrainie</w:t>
        </w:r>
        <w:r w:rsidR="000425B4">
          <w:rPr>
            <w:lang w:val="pl"/>
          </w:rPr>
          <w:t>,</w:t>
        </w:r>
      </w:hyperlink>
      <w:r w:rsidR="000425B4">
        <w:rPr>
          <w:lang w:val="pl"/>
        </w:rPr>
        <w:t xml:space="preserve"> nr 22603/02, 22 listopada 2007 r.</w:t>
      </w:r>
    </w:p>
    <w:p w:rsidR="00B71A20" w:rsidRPr="000625F6" w:rsidRDefault="0093676E">
      <w:pPr>
        <w:pStyle w:val="Teksttreci0"/>
        <w:spacing w:after="0"/>
        <w:rPr>
          <w:lang w:val="pl-PL"/>
        </w:rPr>
      </w:pPr>
      <w:hyperlink r:id="rId2770" w:history="1">
        <w:r w:rsidR="000425B4">
          <w:rPr>
            <w:i/>
            <w:iCs/>
            <w:color w:val="0072BC"/>
            <w:lang w:val="pl"/>
          </w:rPr>
          <w:t>Ulemek p. Chorwacji</w:t>
        </w:r>
        <w:r w:rsidR="000425B4">
          <w:rPr>
            <w:lang w:val="pl"/>
          </w:rPr>
          <w:t>,</w:t>
        </w:r>
      </w:hyperlink>
      <w:r w:rsidR="000425B4">
        <w:rPr>
          <w:lang w:val="pl"/>
        </w:rPr>
        <w:t xml:space="preserve"> nr 21613/16, 31 października 2019 r.</w:t>
      </w:r>
    </w:p>
    <w:p w:rsidR="00B71A20" w:rsidRPr="000625F6" w:rsidRDefault="0093676E">
      <w:pPr>
        <w:pStyle w:val="Teksttreci0"/>
        <w:spacing w:after="0"/>
        <w:rPr>
          <w:lang w:val="pl-PL"/>
        </w:rPr>
      </w:pPr>
      <w:hyperlink r:id="rId2771" w:history="1">
        <w:r w:rsidR="000425B4">
          <w:rPr>
            <w:i/>
            <w:iCs/>
            <w:color w:val="0072BC"/>
            <w:lang w:val="pl"/>
          </w:rPr>
          <w:t xml:space="preserve">Ülke p. Turcji </w:t>
        </w:r>
      </w:hyperlink>
      <w:r w:rsidR="000425B4">
        <w:rPr>
          <w:lang w:val="pl"/>
        </w:rPr>
        <w:t>(dec.), nr 39437/98, 1 czerwca 2004 r.</w:t>
      </w:r>
    </w:p>
    <w:p w:rsidR="00B71A20" w:rsidRPr="000625F6" w:rsidRDefault="0093676E">
      <w:pPr>
        <w:pStyle w:val="Teksttreci0"/>
        <w:spacing w:after="0"/>
        <w:rPr>
          <w:lang w:val="pl-PL"/>
        </w:rPr>
      </w:pPr>
      <w:hyperlink r:id="rId2772" w:history="1">
        <w:r w:rsidR="000425B4">
          <w:rPr>
            <w:i/>
            <w:iCs/>
            <w:color w:val="0072BC"/>
            <w:lang w:val="pl"/>
          </w:rPr>
          <w:t>Unédic p. Francji</w:t>
        </w:r>
        <w:r w:rsidR="000425B4">
          <w:rPr>
            <w:lang w:val="pl"/>
          </w:rPr>
          <w:t>,</w:t>
        </w:r>
      </w:hyperlink>
      <w:r w:rsidR="000425B4">
        <w:rPr>
          <w:lang w:val="pl"/>
        </w:rPr>
        <w:t xml:space="preserve"> nr 20153/04, 18 grudnia 2008 r.</w:t>
      </w:r>
    </w:p>
    <w:p w:rsidR="00B71A20" w:rsidRDefault="0093676E">
      <w:pPr>
        <w:pStyle w:val="Teksttreci0"/>
        <w:spacing w:after="0"/>
      </w:pPr>
      <w:hyperlink r:id="rId2773" w:history="1">
        <w:r w:rsidR="000425B4" w:rsidRPr="000625F6">
          <w:rPr>
            <w:i/>
            <w:iCs/>
            <w:color w:val="0072BC"/>
            <w:lang w:val="en-GB"/>
          </w:rPr>
          <w:t>Unifaun Theatre Productions Limited i Inni p. Malcie</w:t>
        </w:r>
        <w:r w:rsidR="000425B4" w:rsidRPr="000625F6">
          <w:rPr>
            <w:lang w:val="en-GB"/>
          </w:rPr>
          <w:t>,</w:t>
        </w:r>
      </w:hyperlink>
      <w:r w:rsidR="000425B4" w:rsidRPr="000625F6">
        <w:rPr>
          <w:lang w:val="en-GB"/>
        </w:rPr>
        <w:t xml:space="preserve"> nr 37326/13, 15 maja 2018 r.</w:t>
      </w:r>
    </w:p>
    <w:p w:rsidR="00B71A20" w:rsidRPr="000625F6" w:rsidRDefault="0093676E">
      <w:pPr>
        <w:pStyle w:val="Teksttreci0"/>
        <w:spacing w:after="460"/>
        <w:rPr>
          <w:lang w:val="pl-PL"/>
        </w:rPr>
      </w:pPr>
      <w:hyperlink r:id="rId2774" w:history="1">
        <w:r w:rsidR="000425B4">
          <w:rPr>
            <w:i/>
            <w:iCs/>
            <w:color w:val="0072BC"/>
            <w:lang w:val="pl"/>
          </w:rPr>
          <w:t xml:space="preserve">Uzun p. Turcji </w:t>
        </w:r>
      </w:hyperlink>
      <w:r w:rsidR="000425B4">
        <w:rPr>
          <w:lang w:val="pl"/>
        </w:rPr>
        <w:t>(dec.), nr 10755/13, 30 kwietnia 2013 r.</w:t>
      </w:r>
    </w:p>
    <w:p w:rsidR="00B71A20" w:rsidRDefault="000425B4">
      <w:pPr>
        <w:pStyle w:val="Teksttreci30"/>
        <w:spacing w:after="100"/>
      </w:pPr>
      <w:r>
        <w:rPr>
          <w:lang w:val="pl"/>
        </w:rPr>
        <w:t>—V—</w:t>
      </w:r>
    </w:p>
    <w:p w:rsidR="00B71A20" w:rsidRPr="000625F6" w:rsidRDefault="0093676E" w:rsidP="00115011">
      <w:pPr>
        <w:pStyle w:val="Teksttreci0"/>
        <w:numPr>
          <w:ilvl w:val="0"/>
          <w:numId w:val="104"/>
        </w:numPr>
        <w:tabs>
          <w:tab w:val="left" w:pos="310"/>
        </w:tabs>
        <w:spacing w:after="0"/>
        <w:rPr>
          <w:lang w:val="pl-PL"/>
        </w:rPr>
      </w:pPr>
      <w:hyperlink r:id="rId2775" w:history="1">
        <w:r w:rsidR="000425B4">
          <w:rPr>
            <w:i/>
            <w:iCs/>
            <w:color w:val="0072BC"/>
            <w:lang w:val="pl"/>
          </w:rPr>
          <w:t>V.D. p. Chorwacji (nr 2)</w:t>
        </w:r>
        <w:r w:rsidR="000425B4">
          <w:rPr>
            <w:lang w:val="pl"/>
          </w:rPr>
          <w:t>,</w:t>
        </w:r>
      </w:hyperlink>
      <w:r w:rsidR="000425B4">
        <w:rPr>
          <w:lang w:val="pl"/>
        </w:rPr>
        <w:t xml:space="preserve"> nr 19421/15, 15 listopada 2018 r.</w:t>
      </w:r>
    </w:p>
    <w:p w:rsidR="00B71A20" w:rsidRPr="000625F6" w:rsidRDefault="0093676E" w:rsidP="00115011">
      <w:pPr>
        <w:pStyle w:val="Teksttreci0"/>
        <w:numPr>
          <w:ilvl w:val="0"/>
          <w:numId w:val="104"/>
        </w:numPr>
        <w:tabs>
          <w:tab w:val="left" w:pos="310"/>
        </w:tabs>
        <w:spacing w:after="0"/>
        <w:rPr>
          <w:lang w:val="pl-PL"/>
        </w:rPr>
      </w:pPr>
      <w:hyperlink r:id="rId2776" w:history="1">
        <w:r w:rsidR="000425B4">
          <w:rPr>
            <w:i/>
            <w:iCs/>
            <w:color w:val="0072BC"/>
            <w:lang w:val="pl"/>
          </w:rPr>
          <w:t>V.D. i Inni p. Rosji</w:t>
        </w:r>
        <w:r w:rsidR="000425B4">
          <w:rPr>
            <w:lang w:val="pl"/>
          </w:rPr>
          <w:t>,</w:t>
        </w:r>
      </w:hyperlink>
      <w:r w:rsidR="000425B4">
        <w:rPr>
          <w:lang w:val="pl"/>
        </w:rPr>
        <w:t xml:space="preserve"> nr 72931/10, 9 kwietnia 2019 r.</w:t>
      </w:r>
    </w:p>
    <w:p w:rsidR="00B71A20" w:rsidRPr="000625F6" w:rsidRDefault="0093676E" w:rsidP="00115011">
      <w:pPr>
        <w:pStyle w:val="Teksttreci0"/>
        <w:numPr>
          <w:ilvl w:val="0"/>
          <w:numId w:val="104"/>
        </w:numPr>
        <w:tabs>
          <w:tab w:val="left" w:pos="310"/>
        </w:tabs>
        <w:spacing w:after="0"/>
        <w:rPr>
          <w:lang w:val="pl-PL"/>
        </w:rPr>
      </w:pPr>
      <w:hyperlink r:id="rId2777" w:history="1">
        <w:r w:rsidR="000425B4">
          <w:rPr>
            <w:i/>
            <w:iCs/>
            <w:color w:val="0072BC"/>
            <w:lang w:val="pl"/>
          </w:rPr>
          <w:t xml:space="preserve">V.P. p. Estonii </w:t>
        </w:r>
      </w:hyperlink>
      <w:r w:rsidR="000425B4">
        <w:rPr>
          <w:lang w:val="pl"/>
        </w:rPr>
        <w:t>(dec.), nr 14185/14, 10 października 2017 r.</w:t>
      </w:r>
    </w:p>
    <w:p w:rsidR="00B71A20" w:rsidRPr="000625F6" w:rsidRDefault="0093676E">
      <w:pPr>
        <w:pStyle w:val="Teksttreci0"/>
        <w:spacing w:after="0"/>
        <w:rPr>
          <w:lang w:val="pl-PL"/>
        </w:rPr>
      </w:pPr>
      <w:hyperlink r:id="rId2778" w:history="1">
        <w:r w:rsidR="000425B4">
          <w:rPr>
            <w:i/>
            <w:iCs/>
            <w:color w:val="0072BC"/>
            <w:lang w:val="pl"/>
          </w:rPr>
          <w:t xml:space="preserve">Vallianatos i Inni p. Grecji </w:t>
        </w:r>
      </w:hyperlink>
      <w:r w:rsidR="000425B4">
        <w:rPr>
          <w:lang w:val="pl"/>
        </w:rPr>
        <w:t>[WI], nr 29381/09 i 32684/09, ECHR 2013</w:t>
      </w:r>
    </w:p>
    <w:p w:rsidR="00B71A20" w:rsidRPr="000625F6" w:rsidRDefault="0093676E">
      <w:pPr>
        <w:pStyle w:val="Teksttreci0"/>
        <w:spacing w:after="0"/>
        <w:rPr>
          <w:lang w:val="pl-PL"/>
        </w:rPr>
      </w:pPr>
      <w:hyperlink r:id="rId2779" w:history="1">
        <w:r w:rsidR="000425B4">
          <w:rPr>
            <w:i/>
            <w:iCs/>
            <w:color w:val="0072BC"/>
            <w:lang w:val="pl"/>
          </w:rPr>
          <w:t>Van Colle p. Wielkiej Brytanii</w:t>
        </w:r>
        <w:r w:rsidR="000425B4">
          <w:rPr>
            <w:lang w:val="pl"/>
          </w:rPr>
          <w:t>,</w:t>
        </w:r>
      </w:hyperlink>
      <w:r w:rsidR="000425B4">
        <w:rPr>
          <w:lang w:val="pl"/>
        </w:rPr>
        <w:t xml:space="preserve"> nr 7678/09, 13 listopada 2012 r.</w:t>
      </w:r>
    </w:p>
    <w:p w:rsidR="00B71A20" w:rsidRDefault="0093676E">
      <w:pPr>
        <w:pStyle w:val="Teksttreci0"/>
        <w:spacing w:after="0"/>
      </w:pPr>
      <w:hyperlink r:id="rId2780" w:history="1">
        <w:r w:rsidR="000425B4" w:rsidRPr="000625F6">
          <w:rPr>
            <w:i/>
            <w:iCs/>
            <w:color w:val="0072BC"/>
            <w:lang w:val="en-GB"/>
          </w:rPr>
          <w:t xml:space="preserve">Van der Putten p. Holandii </w:t>
        </w:r>
      </w:hyperlink>
      <w:r w:rsidR="000425B4" w:rsidRPr="000625F6">
        <w:rPr>
          <w:lang w:val="en-GB"/>
        </w:rPr>
        <w:t>(dec.), nr 15909/13, 27 sierpnia 2013 r.</w:t>
      </w:r>
    </w:p>
    <w:p w:rsidR="00B71A20" w:rsidRDefault="0093676E">
      <w:pPr>
        <w:pStyle w:val="Teksttreci0"/>
        <w:spacing w:after="0"/>
      </w:pPr>
      <w:hyperlink r:id="rId2781" w:history="1">
        <w:r w:rsidR="000425B4" w:rsidRPr="000625F6">
          <w:rPr>
            <w:i/>
            <w:iCs/>
            <w:color w:val="0072BC"/>
          </w:rPr>
          <w:t>Van der Tang p. Hiszpanii</w:t>
        </w:r>
        <w:r w:rsidR="000425B4" w:rsidRPr="000625F6">
          <w:t>,</w:t>
        </w:r>
      </w:hyperlink>
      <w:r w:rsidR="000425B4" w:rsidRPr="000625F6">
        <w:t xml:space="preserve"> 13 lipca 1995 r., Seria A nr 321</w:t>
      </w:r>
    </w:p>
    <w:p w:rsidR="00B71A20" w:rsidRDefault="0093676E">
      <w:pPr>
        <w:pStyle w:val="Teksttreci0"/>
        <w:spacing w:after="0"/>
      </w:pPr>
      <w:hyperlink r:id="rId2782" w:history="1">
        <w:r w:rsidR="000425B4" w:rsidRPr="000625F6">
          <w:rPr>
            <w:i/>
            <w:iCs/>
            <w:color w:val="0072BC"/>
          </w:rPr>
          <w:t>Van Oosterwijck p. Belgii</w:t>
        </w:r>
        <w:r w:rsidR="000425B4" w:rsidRPr="000625F6">
          <w:t>,</w:t>
        </w:r>
      </w:hyperlink>
      <w:r w:rsidR="000425B4" w:rsidRPr="000625F6">
        <w:t xml:space="preserve"> 6 listopada 1980 r., Seria A nr 40</w:t>
      </w:r>
    </w:p>
    <w:p w:rsidR="00B71A20" w:rsidRDefault="0093676E">
      <w:pPr>
        <w:pStyle w:val="Teksttreci0"/>
        <w:spacing w:after="0"/>
      </w:pPr>
      <w:hyperlink r:id="rId2783" w:history="1">
        <w:r w:rsidR="000425B4" w:rsidRPr="000625F6">
          <w:rPr>
            <w:i/>
            <w:iCs/>
            <w:color w:val="0072BC"/>
          </w:rPr>
          <w:t>Van Velden p. Holandii</w:t>
        </w:r>
        <w:r w:rsidR="000425B4" w:rsidRPr="000625F6">
          <w:t>,</w:t>
        </w:r>
      </w:hyperlink>
      <w:r w:rsidR="000425B4" w:rsidRPr="000625F6">
        <w:t xml:space="preserve"> nr 30666/08, 19 lipca 2011 r.</w:t>
      </w:r>
    </w:p>
    <w:p w:rsidR="00B71A20" w:rsidRPr="000625F6" w:rsidRDefault="0093676E">
      <w:pPr>
        <w:pStyle w:val="Teksttreci0"/>
        <w:spacing w:after="0"/>
        <w:rPr>
          <w:lang w:val="pl-PL"/>
        </w:rPr>
      </w:pPr>
      <w:hyperlink r:id="rId2784" w:history="1">
        <w:r w:rsidR="000425B4">
          <w:rPr>
            <w:i/>
            <w:iCs/>
            <w:color w:val="0072BC"/>
            <w:lang w:val="pl"/>
          </w:rPr>
          <w:t>Varadinov p. Bułgarii</w:t>
        </w:r>
        <w:r w:rsidR="000425B4">
          <w:rPr>
            <w:lang w:val="pl"/>
          </w:rPr>
          <w:t>,</w:t>
        </w:r>
      </w:hyperlink>
      <w:r w:rsidR="000425B4">
        <w:rPr>
          <w:lang w:val="pl"/>
        </w:rPr>
        <w:t xml:space="preserve"> nr 15347/08, 5 października 2017 r.</w:t>
      </w:r>
    </w:p>
    <w:p w:rsidR="00B71A20" w:rsidRPr="000625F6" w:rsidRDefault="0093676E">
      <w:pPr>
        <w:pStyle w:val="Teksttreci0"/>
        <w:spacing w:after="0"/>
        <w:rPr>
          <w:lang w:val="pl-PL"/>
        </w:rPr>
      </w:pPr>
      <w:hyperlink r:id="rId2785" w:history="1">
        <w:r w:rsidR="000425B4">
          <w:rPr>
            <w:i/>
            <w:iCs/>
            <w:color w:val="0072BC"/>
            <w:lang w:val="pl"/>
          </w:rPr>
          <w:t>Varbanov p. Bułgarii</w:t>
        </w:r>
        <w:r w:rsidR="000425B4">
          <w:rPr>
            <w:lang w:val="pl"/>
          </w:rPr>
          <w:t>,</w:t>
        </w:r>
      </w:hyperlink>
      <w:r w:rsidR="000425B4">
        <w:rPr>
          <w:lang w:val="pl"/>
        </w:rPr>
        <w:t xml:space="preserve"> nr 31365/96, ECHR 2000-X</w:t>
      </w:r>
    </w:p>
    <w:p w:rsidR="00B71A20" w:rsidRPr="000625F6" w:rsidRDefault="0093676E">
      <w:pPr>
        <w:pStyle w:val="Teksttreci0"/>
        <w:spacing w:after="0"/>
        <w:rPr>
          <w:lang w:val="pl-PL"/>
        </w:rPr>
      </w:pPr>
      <w:hyperlink r:id="rId2786" w:history="1">
        <w:r w:rsidR="000425B4">
          <w:rPr>
            <w:i/>
            <w:iCs/>
            <w:color w:val="0072BC"/>
            <w:lang w:val="pl"/>
          </w:rPr>
          <w:t xml:space="preserve">Varnava i Inni p. Turcji </w:t>
        </w:r>
      </w:hyperlink>
      <w:r w:rsidR="000425B4">
        <w:rPr>
          <w:lang w:val="pl"/>
        </w:rPr>
        <w:t>[WI], nr 16064/90 i nast., ECHR 2009</w:t>
      </w:r>
    </w:p>
    <w:p w:rsidR="00B71A20" w:rsidRPr="000625F6" w:rsidRDefault="0093676E">
      <w:pPr>
        <w:pStyle w:val="Teksttreci0"/>
        <w:spacing w:after="0"/>
        <w:rPr>
          <w:lang w:val="pl-PL"/>
        </w:rPr>
      </w:pPr>
      <w:hyperlink r:id="rId2787" w:history="1">
        <w:r w:rsidR="000425B4">
          <w:rPr>
            <w:i/>
            <w:iCs/>
            <w:color w:val="0072BC"/>
            <w:lang w:val="pl"/>
          </w:rPr>
          <w:t>Vartic p. Rumunii (nr 2)</w:t>
        </w:r>
        <w:r w:rsidR="000425B4">
          <w:rPr>
            <w:lang w:val="pl"/>
          </w:rPr>
          <w:t>,</w:t>
        </w:r>
      </w:hyperlink>
      <w:r w:rsidR="000425B4">
        <w:rPr>
          <w:lang w:val="pl"/>
        </w:rPr>
        <w:t xml:space="preserve"> nr 14150/08, 17 grudnia 2013 r.</w:t>
      </w:r>
    </w:p>
    <w:p w:rsidR="00B71A20" w:rsidRPr="000625F6" w:rsidRDefault="0093676E">
      <w:pPr>
        <w:pStyle w:val="Teksttreci0"/>
        <w:spacing w:after="0"/>
        <w:rPr>
          <w:lang w:val="pl-PL"/>
        </w:rPr>
      </w:pPr>
      <w:hyperlink r:id="rId2788" w:history="1">
        <w:r w:rsidR="000425B4">
          <w:rPr>
            <w:i/>
            <w:iCs/>
            <w:color w:val="0072BC"/>
            <w:lang w:val="pl"/>
          </w:rPr>
          <w:t>Vasilchenko p. Rosji</w:t>
        </w:r>
        <w:r w:rsidR="000425B4">
          <w:rPr>
            <w:lang w:val="pl"/>
          </w:rPr>
          <w:t>,</w:t>
        </w:r>
      </w:hyperlink>
      <w:r w:rsidR="000425B4">
        <w:rPr>
          <w:lang w:val="pl"/>
        </w:rPr>
        <w:t xml:space="preserve"> nr 34784/02, 23 września 2010 r.</w:t>
      </w:r>
    </w:p>
    <w:p w:rsidR="00B71A20" w:rsidRPr="000625F6" w:rsidRDefault="0093676E">
      <w:pPr>
        <w:pStyle w:val="Teksttreci0"/>
        <w:spacing w:after="0"/>
        <w:rPr>
          <w:lang w:val="pl-PL"/>
        </w:rPr>
      </w:pPr>
      <w:hyperlink r:id="rId2789" w:history="1">
        <w:r w:rsidR="000425B4">
          <w:rPr>
            <w:i/>
            <w:iCs/>
            <w:color w:val="0072BC"/>
            <w:lang w:val="pl"/>
          </w:rPr>
          <w:t>Vasilescu p. Belgii</w:t>
        </w:r>
        <w:r w:rsidR="000425B4">
          <w:rPr>
            <w:lang w:val="pl"/>
          </w:rPr>
          <w:t>,</w:t>
        </w:r>
      </w:hyperlink>
      <w:r w:rsidR="000425B4">
        <w:rPr>
          <w:lang w:val="pl"/>
        </w:rPr>
        <w:t xml:space="preserve"> nr 64682/12, 25 listopada 2014 r.</w:t>
      </w:r>
    </w:p>
    <w:p w:rsidR="00B71A20" w:rsidRPr="000625F6" w:rsidRDefault="0093676E">
      <w:pPr>
        <w:pStyle w:val="Teksttreci0"/>
        <w:spacing w:after="0"/>
        <w:rPr>
          <w:lang w:val="pl-PL"/>
        </w:rPr>
      </w:pPr>
      <w:hyperlink r:id="rId2790" w:history="1">
        <w:r w:rsidR="000425B4">
          <w:rPr>
            <w:i/>
            <w:iCs/>
            <w:color w:val="0072BC"/>
            <w:lang w:val="pl"/>
          </w:rPr>
          <w:t xml:space="preserve">Vasiliauskas p. Litwie </w:t>
        </w:r>
      </w:hyperlink>
      <w:r w:rsidR="000425B4">
        <w:rPr>
          <w:lang w:val="pl"/>
        </w:rPr>
        <w:t>[WI], nr 35343/05, ECHR 2015</w:t>
      </w:r>
    </w:p>
    <w:p w:rsidR="00B71A20" w:rsidRPr="000625F6" w:rsidRDefault="0093676E">
      <w:pPr>
        <w:pStyle w:val="Teksttreci0"/>
        <w:spacing w:after="0"/>
        <w:rPr>
          <w:lang w:val="pl-PL"/>
        </w:rPr>
      </w:pPr>
      <w:hyperlink r:id="rId2791" w:history="1">
        <w:r w:rsidR="000425B4">
          <w:rPr>
            <w:i/>
            <w:iCs/>
            <w:color w:val="0072BC"/>
            <w:lang w:val="pl"/>
          </w:rPr>
          <w:t>Vasiliciuc p. Republice Mołdawii</w:t>
        </w:r>
        <w:r w:rsidR="000425B4">
          <w:rPr>
            <w:lang w:val="pl"/>
          </w:rPr>
          <w:t>,</w:t>
        </w:r>
      </w:hyperlink>
      <w:r w:rsidR="000425B4">
        <w:rPr>
          <w:lang w:val="pl"/>
        </w:rPr>
        <w:t xml:space="preserve"> nr 15944/11, 2 maja 2017 r.</w:t>
      </w:r>
    </w:p>
    <w:p w:rsidR="00B71A20" w:rsidRPr="000625F6" w:rsidRDefault="0093676E">
      <w:pPr>
        <w:pStyle w:val="Teksttreci0"/>
        <w:spacing w:after="0"/>
        <w:rPr>
          <w:lang w:val="pl-PL"/>
        </w:rPr>
      </w:pPr>
      <w:hyperlink r:id="rId2792" w:history="1">
        <w:r w:rsidR="000425B4">
          <w:rPr>
            <w:i/>
            <w:iCs/>
            <w:color w:val="0072BC"/>
            <w:lang w:val="pl"/>
          </w:rPr>
          <w:t>Vasiliy Ivashchenko p. Ukrainie</w:t>
        </w:r>
        <w:r w:rsidR="000425B4">
          <w:rPr>
            <w:lang w:val="pl"/>
          </w:rPr>
          <w:t>,</w:t>
        </w:r>
      </w:hyperlink>
      <w:r w:rsidR="000425B4">
        <w:rPr>
          <w:lang w:val="pl"/>
        </w:rPr>
        <w:t xml:space="preserve"> nr 760/03, 26 lipca 2012 r.</w:t>
      </w:r>
    </w:p>
    <w:p w:rsidR="00B71A20" w:rsidRPr="000625F6" w:rsidRDefault="0093676E">
      <w:pPr>
        <w:pStyle w:val="Teksttreci0"/>
        <w:spacing w:after="0"/>
        <w:rPr>
          <w:lang w:val="pl-PL"/>
        </w:rPr>
      </w:pPr>
      <w:hyperlink r:id="rId2793" w:history="1">
        <w:r w:rsidR="000425B4">
          <w:rPr>
            <w:i/>
            <w:iCs/>
            <w:color w:val="0072BC"/>
            <w:lang w:val="pl"/>
          </w:rPr>
          <w:t>Vasilkoski i Inni p. Byłej Jugosłowiańskiej Republice Macedonii</w:t>
        </w:r>
        <w:r w:rsidR="000425B4">
          <w:rPr>
            <w:lang w:val="pl"/>
          </w:rPr>
          <w:t>,</w:t>
        </w:r>
      </w:hyperlink>
      <w:r w:rsidR="000425B4">
        <w:rPr>
          <w:lang w:val="pl"/>
        </w:rPr>
        <w:t xml:space="preserve"> nr 28169/08, 28 października 2010 r.</w:t>
      </w:r>
    </w:p>
    <w:p w:rsidR="00B71A20" w:rsidRPr="000625F6" w:rsidRDefault="0093676E">
      <w:pPr>
        <w:pStyle w:val="Teksttreci0"/>
        <w:spacing w:after="0"/>
        <w:rPr>
          <w:lang w:val="pl-PL"/>
        </w:rPr>
      </w:pPr>
      <w:hyperlink r:id="rId2794" w:history="1">
        <w:r w:rsidR="000425B4">
          <w:rPr>
            <w:i/>
            <w:iCs/>
            <w:color w:val="0072BC"/>
            <w:lang w:val="pl"/>
          </w:rPr>
          <w:t>Vassilios Athanasiou i Inni p. Grecji</w:t>
        </w:r>
        <w:r w:rsidR="000425B4">
          <w:rPr>
            <w:lang w:val="pl"/>
          </w:rPr>
          <w:t>,</w:t>
        </w:r>
      </w:hyperlink>
      <w:r w:rsidR="000425B4">
        <w:rPr>
          <w:lang w:val="pl"/>
        </w:rPr>
        <w:t xml:space="preserve"> nr 50973/08, 21 grudnia 2010 r.</w:t>
      </w:r>
    </w:p>
    <w:p w:rsidR="00B71A20" w:rsidRPr="000625F6" w:rsidRDefault="0093676E">
      <w:pPr>
        <w:pStyle w:val="Teksttreci0"/>
        <w:spacing w:after="0"/>
        <w:rPr>
          <w:lang w:val="pl-PL"/>
        </w:rPr>
      </w:pPr>
      <w:hyperlink r:id="rId2795" w:history="1">
        <w:r w:rsidR="000425B4">
          <w:rPr>
            <w:i/>
            <w:iCs/>
            <w:color w:val="0072BC"/>
            <w:lang w:val="pl"/>
          </w:rPr>
          <w:t xml:space="preserve">Vasyanovich p. Rosji </w:t>
        </w:r>
      </w:hyperlink>
      <w:r w:rsidR="000425B4">
        <w:rPr>
          <w:lang w:val="pl"/>
        </w:rPr>
        <w:t>(dec.), nr 9791/05, 27 września 2016 r.</w:t>
      </w:r>
    </w:p>
    <w:p w:rsidR="00B71A20" w:rsidRPr="000625F6" w:rsidRDefault="0093676E">
      <w:pPr>
        <w:pStyle w:val="Teksttreci0"/>
        <w:spacing w:after="0"/>
        <w:rPr>
          <w:lang w:val="pl-PL"/>
        </w:rPr>
      </w:pPr>
      <w:hyperlink r:id="rId2796" w:history="1">
        <w:r w:rsidR="000425B4">
          <w:rPr>
            <w:i/>
            <w:iCs/>
            <w:color w:val="0072BC"/>
            <w:lang w:val="pl"/>
          </w:rPr>
          <w:t>Vatandaş p. Turcji</w:t>
        </w:r>
        <w:r w:rsidR="000425B4">
          <w:rPr>
            <w:lang w:val="pl"/>
          </w:rPr>
          <w:t>,</w:t>
        </w:r>
      </w:hyperlink>
      <w:r w:rsidR="000425B4">
        <w:rPr>
          <w:lang w:val="pl"/>
        </w:rPr>
        <w:t xml:space="preserve"> nr 37869/08, 15 maja 2018 r.</w:t>
      </w:r>
    </w:p>
    <w:p w:rsidR="00B71A20" w:rsidRPr="000625F6" w:rsidRDefault="0093676E">
      <w:pPr>
        <w:pStyle w:val="Teksttreci0"/>
        <w:spacing w:after="0"/>
        <w:rPr>
          <w:lang w:val="pl-PL"/>
        </w:rPr>
      </w:pPr>
      <w:hyperlink r:id="rId2797" w:history="1">
        <w:r w:rsidR="000425B4">
          <w:rPr>
            <w:i/>
            <w:iCs/>
            <w:color w:val="0072BC"/>
            <w:lang w:val="pl"/>
          </w:rPr>
          <w:t>Veeber p. Estonii (nr 1)</w:t>
        </w:r>
        <w:r w:rsidR="000425B4">
          <w:rPr>
            <w:lang w:val="pl"/>
          </w:rPr>
          <w:t>,</w:t>
        </w:r>
      </w:hyperlink>
      <w:r w:rsidR="000425B4">
        <w:rPr>
          <w:lang w:val="pl"/>
        </w:rPr>
        <w:t xml:space="preserve"> nr 37571/97, 7 listopada 2002 r.</w:t>
      </w:r>
    </w:p>
    <w:p w:rsidR="00B71A20" w:rsidRPr="000625F6" w:rsidRDefault="0093676E">
      <w:pPr>
        <w:pStyle w:val="Teksttreci0"/>
        <w:spacing w:after="0"/>
        <w:rPr>
          <w:lang w:val="pl-PL"/>
        </w:rPr>
      </w:pPr>
      <w:hyperlink r:id="rId2798" w:history="1">
        <w:r w:rsidR="000425B4">
          <w:rPr>
            <w:i/>
            <w:iCs/>
            <w:color w:val="0072BC"/>
            <w:lang w:val="pl"/>
          </w:rPr>
          <w:t>Velev p. Bułgarii</w:t>
        </w:r>
        <w:r w:rsidR="000425B4">
          <w:rPr>
            <w:lang w:val="pl"/>
          </w:rPr>
          <w:t>,</w:t>
        </w:r>
      </w:hyperlink>
      <w:r w:rsidR="000425B4">
        <w:rPr>
          <w:lang w:val="pl"/>
        </w:rPr>
        <w:t xml:space="preserve"> nr 43531/08, 16 kwietnia 2013 r.</w:t>
      </w:r>
    </w:p>
    <w:p w:rsidR="00B71A20" w:rsidRPr="000625F6" w:rsidRDefault="0093676E">
      <w:pPr>
        <w:pStyle w:val="Teksttreci0"/>
        <w:spacing w:after="0"/>
        <w:rPr>
          <w:lang w:val="pl-PL"/>
        </w:rPr>
      </w:pPr>
      <w:hyperlink r:id="rId2799" w:history="1">
        <w:r w:rsidR="000425B4">
          <w:rPr>
            <w:i/>
            <w:iCs/>
            <w:color w:val="0072BC"/>
            <w:lang w:val="pl"/>
          </w:rPr>
          <w:t xml:space="preserve">Velikova p. Bułgarii </w:t>
        </w:r>
      </w:hyperlink>
      <w:r w:rsidR="000425B4">
        <w:rPr>
          <w:lang w:val="pl"/>
        </w:rPr>
        <w:t>(dec.), nr 41488/98, ECHR 1999-V</w:t>
      </w:r>
    </w:p>
    <w:p w:rsidR="00B71A20" w:rsidRPr="000625F6" w:rsidRDefault="0093676E">
      <w:pPr>
        <w:pStyle w:val="Teksttreci0"/>
        <w:spacing w:after="0"/>
        <w:rPr>
          <w:lang w:val="pl-PL"/>
        </w:rPr>
      </w:pPr>
      <w:hyperlink r:id="rId2800" w:history="1">
        <w:r w:rsidR="000425B4">
          <w:rPr>
            <w:i/>
            <w:iCs/>
            <w:color w:val="0072BC"/>
            <w:lang w:val="pl"/>
          </w:rPr>
          <w:t>Velikova p. Bułgarii</w:t>
        </w:r>
        <w:r w:rsidR="000425B4">
          <w:rPr>
            <w:lang w:val="pl"/>
          </w:rPr>
          <w:t>,</w:t>
        </w:r>
      </w:hyperlink>
      <w:r w:rsidR="000425B4">
        <w:rPr>
          <w:lang w:val="pl"/>
        </w:rPr>
        <w:t xml:space="preserve"> nr 41488/98, ECHR 2000-VI</w:t>
      </w:r>
    </w:p>
    <w:p w:rsidR="00B71A20" w:rsidRDefault="0093676E">
      <w:pPr>
        <w:pStyle w:val="Teksttreci0"/>
        <w:spacing w:after="0"/>
      </w:pPr>
      <w:hyperlink r:id="rId2801" w:history="1">
        <w:r w:rsidR="000425B4" w:rsidRPr="000625F6">
          <w:rPr>
            <w:i/>
            <w:iCs/>
            <w:color w:val="0072BC"/>
            <w:lang w:val="en-GB"/>
          </w:rPr>
          <w:t xml:space="preserve">Verein gegen Tierfabriken Schweiz (VgT) p. Szwajcarii (nr 2) </w:t>
        </w:r>
      </w:hyperlink>
      <w:r w:rsidR="000425B4" w:rsidRPr="000625F6">
        <w:rPr>
          <w:lang w:val="en-GB"/>
        </w:rPr>
        <w:t>[WI], nr 32772/02, ECHR 2009</w:t>
      </w:r>
    </w:p>
    <w:p w:rsidR="00B71A20" w:rsidRPr="000625F6" w:rsidRDefault="0093676E">
      <w:pPr>
        <w:pStyle w:val="Teksttreci0"/>
        <w:spacing w:after="0"/>
        <w:rPr>
          <w:lang w:val="pl-PL"/>
        </w:rPr>
      </w:pPr>
      <w:hyperlink r:id="rId2802" w:history="1">
        <w:r w:rsidR="000425B4">
          <w:rPr>
            <w:i/>
            <w:iCs/>
            <w:color w:val="0072BC"/>
            <w:lang w:val="pl"/>
          </w:rPr>
          <w:t>Veriter p. Francji</w:t>
        </w:r>
        <w:r w:rsidR="000425B4">
          <w:rPr>
            <w:lang w:val="pl"/>
          </w:rPr>
          <w:t>,</w:t>
        </w:r>
      </w:hyperlink>
      <w:r w:rsidR="000425B4">
        <w:rPr>
          <w:lang w:val="pl"/>
        </w:rPr>
        <w:t xml:space="preserve"> nr 31508/07, 14 października 2010 r.</w:t>
      </w:r>
    </w:p>
    <w:p w:rsidR="00B71A20" w:rsidRPr="000625F6" w:rsidRDefault="0093676E">
      <w:pPr>
        <w:pStyle w:val="Teksttreci0"/>
        <w:spacing w:after="0"/>
        <w:rPr>
          <w:lang w:val="pl-PL"/>
        </w:rPr>
      </w:pPr>
      <w:hyperlink r:id="rId2803" w:history="1">
        <w:r w:rsidR="000425B4">
          <w:rPr>
            <w:i/>
            <w:iCs/>
            <w:color w:val="0072BC"/>
            <w:lang w:val="pl"/>
          </w:rPr>
          <w:t>Vernillo p. Francji</w:t>
        </w:r>
        <w:r w:rsidR="000425B4">
          <w:rPr>
            <w:lang w:val="pl"/>
          </w:rPr>
          <w:t>,</w:t>
        </w:r>
      </w:hyperlink>
      <w:r w:rsidR="000425B4">
        <w:rPr>
          <w:lang w:val="pl"/>
        </w:rPr>
        <w:t xml:space="preserve"> 20 lutego 1991 r., Seria A nr 198</w:t>
      </w:r>
    </w:p>
    <w:p w:rsidR="00B71A20" w:rsidRPr="000625F6" w:rsidRDefault="0093676E" w:rsidP="009221CB">
      <w:pPr>
        <w:pStyle w:val="Teksttreci0"/>
        <w:spacing w:after="0"/>
        <w:rPr>
          <w:lang w:val="pl-PL"/>
        </w:rPr>
      </w:pPr>
      <w:hyperlink r:id="rId2804" w:history="1">
        <w:r w:rsidR="000425B4">
          <w:rPr>
            <w:i/>
            <w:iCs/>
            <w:color w:val="0072BC"/>
            <w:lang w:val="pl"/>
          </w:rPr>
          <w:t>Veronica Ciobanu p. Republice Mołdawii</w:t>
        </w:r>
        <w:r w:rsidR="000425B4">
          <w:rPr>
            <w:lang w:val="pl"/>
          </w:rPr>
          <w:t>,</w:t>
        </w:r>
      </w:hyperlink>
      <w:r w:rsidR="000425B4">
        <w:rPr>
          <w:lang w:val="pl"/>
        </w:rPr>
        <w:t xml:space="preserve"> nr 69829/11, 9 lutego 2021 r.</w:t>
      </w:r>
    </w:p>
    <w:p w:rsidR="00B71A20" w:rsidRPr="000625F6" w:rsidRDefault="0093676E">
      <w:pPr>
        <w:pStyle w:val="Teksttreci0"/>
        <w:spacing w:after="0"/>
        <w:rPr>
          <w:lang w:val="pl-PL"/>
        </w:rPr>
      </w:pPr>
      <w:hyperlink r:id="rId2805" w:history="1">
        <w:r w:rsidR="000425B4">
          <w:rPr>
            <w:i/>
            <w:iCs/>
            <w:color w:val="0072BC"/>
            <w:lang w:val="pl"/>
          </w:rPr>
          <w:t xml:space="preserve">Vidu i Inni p. Rumunii </w:t>
        </w:r>
      </w:hyperlink>
      <w:r w:rsidR="000425B4">
        <w:rPr>
          <w:lang w:val="pl"/>
        </w:rPr>
        <w:t>(rewizja), nr 9835/02, 17 stycznia 2017 r.</w:t>
      </w:r>
    </w:p>
    <w:p w:rsidR="00B71A20" w:rsidRPr="000625F6" w:rsidRDefault="0093676E">
      <w:pPr>
        <w:pStyle w:val="Teksttreci0"/>
        <w:spacing w:after="0"/>
        <w:rPr>
          <w:lang w:val="pl-PL"/>
        </w:rPr>
      </w:pPr>
      <w:hyperlink r:id="rId2806" w:history="1">
        <w:r w:rsidR="000425B4">
          <w:rPr>
            <w:i/>
            <w:iCs/>
            <w:color w:val="0072BC"/>
            <w:lang w:val="pl"/>
          </w:rPr>
          <w:t>Vijayanathan i Pusparajah p. Francji</w:t>
        </w:r>
        <w:r w:rsidR="000425B4">
          <w:rPr>
            <w:lang w:val="pl"/>
          </w:rPr>
          <w:t>,</w:t>
        </w:r>
      </w:hyperlink>
      <w:r w:rsidR="000425B4">
        <w:rPr>
          <w:lang w:val="pl"/>
        </w:rPr>
        <w:t xml:space="preserve"> 27 sierpnia 1992 r., Seria A nr 241-B</w:t>
      </w:r>
    </w:p>
    <w:p w:rsidR="00B71A20" w:rsidRPr="000625F6" w:rsidRDefault="0093676E">
      <w:pPr>
        <w:pStyle w:val="Teksttreci0"/>
        <w:spacing w:after="0"/>
        <w:rPr>
          <w:lang w:val="pl-PL"/>
        </w:rPr>
      </w:pPr>
      <w:hyperlink r:id="rId2807" w:history="1">
        <w:r w:rsidR="000425B4">
          <w:rPr>
            <w:i/>
            <w:iCs/>
            <w:color w:val="0072BC"/>
            <w:lang w:val="pl"/>
          </w:rPr>
          <w:t xml:space="preserve">Vistiņš i Perepjolkins p. Łotwie </w:t>
        </w:r>
      </w:hyperlink>
      <w:r w:rsidR="000425B4">
        <w:rPr>
          <w:lang w:val="pl"/>
        </w:rPr>
        <w:t>[WI], nr 71243/01, 25 października 2012 r.</w:t>
      </w:r>
    </w:p>
    <w:p w:rsidR="00B71A20" w:rsidRPr="000625F6" w:rsidRDefault="0093676E">
      <w:pPr>
        <w:pStyle w:val="Teksttreci0"/>
        <w:spacing w:after="0"/>
        <w:rPr>
          <w:lang w:val="pl-PL"/>
        </w:rPr>
      </w:pPr>
      <w:hyperlink r:id="rId2808" w:history="1">
        <w:r w:rsidR="000425B4">
          <w:rPr>
            <w:i/>
            <w:iCs/>
            <w:color w:val="0072BC"/>
            <w:lang w:val="pl"/>
          </w:rPr>
          <w:t>Vladimir Romanov p. Rosji</w:t>
        </w:r>
        <w:r w:rsidR="000425B4">
          <w:rPr>
            <w:lang w:val="pl"/>
          </w:rPr>
          <w:t>,</w:t>
        </w:r>
      </w:hyperlink>
      <w:r w:rsidR="000425B4">
        <w:rPr>
          <w:lang w:val="pl"/>
        </w:rPr>
        <w:t xml:space="preserve"> nr 41461/02, 24 lipca 2008 r.</w:t>
      </w:r>
    </w:p>
    <w:p w:rsidR="00B71A20" w:rsidRPr="000625F6" w:rsidRDefault="0093676E">
      <w:pPr>
        <w:pStyle w:val="Teksttreci0"/>
        <w:spacing w:after="0" w:line="230" w:lineRule="auto"/>
        <w:rPr>
          <w:lang w:val="pl-PL"/>
        </w:rPr>
      </w:pPr>
      <w:hyperlink r:id="rId2809" w:history="1">
        <w:r w:rsidR="000425B4">
          <w:rPr>
            <w:i/>
            <w:iCs/>
            <w:color w:val="0072BC"/>
            <w:lang w:val="pl"/>
          </w:rPr>
          <w:t>Voggenreiter p. Niemcom</w:t>
        </w:r>
        <w:r w:rsidR="000425B4">
          <w:rPr>
            <w:lang w:val="pl"/>
          </w:rPr>
          <w:t>,</w:t>
        </w:r>
      </w:hyperlink>
      <w:r w:rsidR="000425B4">
        <w:rPr>
          <w:lang w:val="pl"/>
        </w:rPr>
        <w:t xml:space="preserve"> nr 47169/99, ECHR 2004-I</w:t>
      </w:r>
    </w:p>
    <w:p w:rsidR="00B71A20" w:rsidRPr="000625F6" w:rsidRDefault="0093676E">
      <w:pPr>
        <w:pStyle w:val="Teksttreci0"/>
        <w:spacing w:after="0"/>
        <w:rPr>
          <w:lang w:val="pl-PL"/>
        </w:rPr>
      </w:pPr>
      <w:hyperlink r:id="rId2810" w:history="1">
        <w:r w:rsidR="000425B4">
          <w:rPr>
            <w:i/>
            <w:iCs/>
            <w:color w:val="0072BC"/>
            <w:lang w:val="pl"/>
          </w:rPr>
          <w:t xml:space="preserve">Vojnović p. Chorwacji </w:t>
        </w:r>
      </w:hyperlink>
      <w:r w:rsidR="000425B4">
        <w:rPr>
          <w:lang w:val="pl"/>
        </w:rPr>
        <w:t>(dec.), nr 4819/10, 26 czerwca 2012 r.</w:t>
      </w:r>
    </w:p>
    <w:p w:rsidR="00B71A20" w:rsidRPr="000625F6" w:rsidRDefault="0093676E">
      <w:pPr>
        <w:pStyle w:val="Teksttreci0"/>
        <w:spacing w:after="0"/>
        <w:rPr>
          <w:lang w:val="pl-PL"/>
        </w:rPr>
      </w:pPr>
      <w:hyperlink r:id="rId2811" w:history="1">
        <w:r w:rsidR="000425B4">
          <w:rPr>
            <w:i/>
            <w:iCs/>
            <w:color w:val="0072BC"/>
            <w:lang w:val="pl"/>
          </w:rPr>
          <w:t>Volodina p. Rosji (nr 2)</w:t>
        </w:r>
        <w:r w:rsidR="000425B4">
          <w:rPr>
            <w:lang w:val="pl"/>
          </w:rPr>
          <w:t>,</w:t>
        </w:r>
      </w:hyperlink>
      <w:r w:rsidR="000425B4">
        <w:rPr>
          <w:lang w:val="pl"/>
        </w:rPr>
        <w:t xml:space="preserve"> nr 40419/19, 14 września 2021 r.</w:t>
      </w:r>
    </w:p>
    <w:p w:rsidR="00B71A20" w:rsidRPr="000625F6" w:rsidRDefault="0093676E">
      <w:pPr>
        <w:pStyle w:val="Teksttreci0"/>
        <w:spacing w:after="0"/>
        <w:rPr>
          <w:lang w:val="pl-PL"/>
        </w:rPr>
      </w:pPr>
      <w:hyperlink r:id="rId2812" w:history="1">
        <w:r w:rsidR="000425B4">
          <w:rPr>
            <w:i/>
            <w:iCs/>
            <w:color w:val="0072BC"/>
            <w:lang w:val="pl"/>
          </w:rPr>
          <w:t>Vovk i Bogdanov p. Rosji</w:t>
        </w:r>
        <w:r w:rsidR="000425B4">
          <w:rPr>
            <w:lang w:val="pl"/>
          </w:rPr>
          <w:t>,</w:t>
        </w:r>
      </w:hyperlink>
      <w:r w:rsidR="000425B4">
        <w:rPr>
          <w:lang w:val="pl"/>
        </w:rPr>
        <w:t xml:space="preserve"> nr 15613/10, 11 lutego 2020 r.</w:t>
      </w:r>
    </w:p>
    <w:p w:rsidR="00B71A20" w:rsidRPr="000625F6" w:rsidRDefault="0093676E" w:rsidP="001D348D">
      <w:pPr>
        <w:pStyle w:val="Teksttreci0"/>
        <w:spacing w:after="720"/>
        <w:rPr>
          <w:lang w:val="pl-PL"/>
        </w:rPr>
      </w:pPr>
      <w:hyperlink r:id="rId2813" w:history="1">
        <w:r w:rsidR="000425B4">
          <w:rPr>
            <w:i/>
            <w:iCs/>
            <w:color w:val="0072BC"/>
            <w:lang w:val="pl"/>
          </w:rPr>
          <w:t xml:space="preserve">Vučković i Inni p. Serbii </w:t>
        </w:r>
      </w:hyperlink>
      <w:r w:rsidR="000425B4">
        <w:rPr>
          <w:lang w:val="pl"/>
        </w:rPr>
        <w:t>(zastrzeżenie wstępne) [WI], nr 17153/11 i 29 innych, 25 marca 2014 r.</w:t>
      </w:r>
    </w:p>
    <w:p w:rsidR="00B71A20" w:rsidRPr="000625F6" w:rsidRDefault="000425B4">
      <w:pPr>
        <w:pStyle w:val="Teksttreci30"/>
        <w:spacing w:after="100"/>
        <w:rPr>
          <w:lang w:val="pl-PL"/>
        </w:rPr>
      </w:pPr>
      <w:r>
        <w:rPr>
          <w:lang w:val="pl"/>
        </w:rPr>
        <w:lastRenderedPageBreak/>
        <w:t>—W—</w:t>
      </w:r>
    </w:p>
    <w:p w:rsidR="00B71A20" w:rsidRPr="000625F6" w:rsidRDefault="0093676E">
      <w:pPr>
        <w:pStyle w:val="Teksttreci0"/>
        <w:spacing w:after="0"/>
        <w:rPr>
          <w:lang w:val="pl-PL"/>
        </w:rPr>
      </w:pPr>
      <w:hyperlink r:id="rId2814" w:history="1">
        <w:r w:rsidR="000425B4">
          <w:rPr>
            <w:i/>
            <w:iCs/>
            <w:color w:val="0072BC"/>
            <w:lang w:val="pl"/>
          </w:rPr>
          <w:t xml:space="preserve">Waite i Kennedy p. Niemcom </w:t>
        </w:r>
      </w:hyperlink>
      <w:r w:rsidR="000425B4">
        <w:rPr>
          <w:lang w:val="pl"/>
        </w:rPr>
        <w:t>[WI], nr 26083/94, ECHR 1999-I</w:t>
      </w:r>
    </w:p>
    <w:p w:rsidR="00B71A20" w:rsidRPr="000625F6" w:rsidRDefault="0093676E">
      <w:pPr>
        <w:pStyle w:val="Teksttreci0"/>
        <w:spacing w:after="0"/>
        <w:rPr>
          <w:lang w:val="pl-PL"/>
        </w:rPr>
      </w:pPr>
      <w:hyperlink r:id="rId2815" w:history="1">
        <w:r w:rsidR="000425B4">
          <w:rPr>
            <w:i/>
            <w:iCs/>
            <w:color w:val="0072BC"/>
            <w:lang w:val="pl"/>
          </w:rPr>
          <w:t xml:space="preserve">Weber i Saravia p. Niemcom </w:t>
        </w:r>
      </w:hyperlink>
      <w:r w:rsidR="000425B4">
        <w:rPr>
          <w:lang w:val="pl"/>
        </w:rPr>
        <w:t>(dec.), nr 54934/00, ECHR 2006-XI</w:t>
      </w:r>
    </w:p>
    <w:p w:rsidR="009221CB" w:rsidRDefault="0093676E" w:rsidP="009221CB">
      <w:pPr>
        <w:pStyle w:val="Teksttreci0"/>
        <w:spacing w:after="0"/>
        <w:rPr>
          <w:lang w:val="en-GB"/>
        </w:rPr>
      </w:pPr>
      <w:hyperlink r:id="rId2816" w:history="1">
        <w:r w:rsidR="000425B4" w:rsidRPr="000625F6">
          <w:rPr>
            <w:i/>
            <w:iCs/>
            <w:color w:val="0072BC"/>
            <w:lang w:val="en-GB"/>
          </w:rPr>
          <w:t>Wikimedia Foundation, Inc. p. Turcji</w:t>
        </w:r>
        <w:r w:rsidR="000425B4" w:rsidRPr="000625F6">
          <w:rPr>
            <w:color w:val="0072BC"/>
            <w:lang w:val="en-GB"/>
          </w:rPr>
          <w:t xml:space="preserve"> </w:t>
        </w:r>
      </w:hyperlink>
      <w:r w:rsidR="000425B4" w:rsidRPr="000625F6">
        <w:rPr>
          <w:lang w:val="en-GB"/>
        </w:rPr>
        <w:t>(dec.), nr 25479/19, 1 marca 2022 r.</w:t>
      </w:r>
    </w:p>
    <w:p w:rsidR="009221CB" w:rsidRDefault="0093676E" w:rsidP="009221CB">
      <w:pPr>
        <w:pStyle w:val="Teksttreci0"/>
        <w:spacing w:after="0"/>
        <w:rPr>
          <w:lang w:val="pl"/>
        </w:rPr>
      </w:pPr>
      <w:hyperlink r:id="rId2817" w:history="1">
        <w:r w:rsidR="000425B4">
          <w:rPr>
            <w:i/>
            <w:iCs/>
            <w:color w:val="0072BC"/>
            <w:lang w:val="pl"/>
          </w:rPr>
          <w:t xml:space="preserve">Williams p. Wielkiej Brytanii </w:t>
        </w:r>
      </w:hyperlink>
      <w:r w:rsidR="000425B4">
        <w:rPr>
          <w:lang w:val="pl"/>
        </w:rPr>
        <w:t>(dec.),</w:t>
      </w:r>
      <w:r w:rsidR="00C159A3">
        <w:rPr>
          <w:lang w:val="pl"/>
        </w:rPr>
        <w:t xml:space="preserve"> nr 32567/06, 17 lutego 2009 r.</w:t>
      </w:r>
    </w:p>
    <w:p w:rsidR="00B71A20" w:rsidRPr="000625F6" w:rsidRDefault="0093676E">
      <w:pPr>
        <w:pStyle w:val="Teksttreci0"/>
        <w:spacing w:after="460"/>
        <w:rPr>
          <w:lang w:val="pl-PL"/>
        </w:rPr>
      </w:pPr>
      <w:hyperlink r:id="rId2818" w:history="1">
        <w:r w:rsidR="000425B4">
          <w:rPr>
            <w:i/>
            <w:iCs/>
            <w:color w:val="0072BC"/>
            <w:lang w:val="pl"/>
          </w:rPr>
          <w:t>Worm p. Austrii</w:t>
        </w:r>
        <w:r w:rsidR="000425B4">
          <w:rPr>
            <w:lang w:val="pl"/>
          </w:rPr>
          <w:t>,</w:t>
        </w:r>
      </w:hyperlink>
      <w:r w:rsidR="000425B4">
        <w:rPr>
          <w:lang w:val="pl"/>
        </w:rPr>
        <w:t xml:space="preserve"> 29 sierpnia 1997 r., </w:t>
      </w:r>
      <w:r w:rsidR="000425B4">
        <w:rPr>
          <w:i/>
          <w:iCs/>
          <w:lang w:val="pl"/>
        </w:rPr>
        <w:t>Raporty</w:t>
      </w:r>
      <w:r w:rsidR="000425B4">
        <w:rPr>
          <w:lang w:val="pl"/>
        </w:rPr>
        <w:t xml:space="preserve"> 1997-V</w:t>
      </w:r>
    </w:p>
    <w:p w:rsidR="00B71A20" w:rsidRPr="000625F6" w:rsidRDefault="000425B4">
      <w:pPr>
        <w:pStyle w:val="Teksttreci30"/>
        <w:spacing w:after="100"/>
        <w:rPr>
          <w:lang w:val="pl-PL"/>
        </w:rPr>
      </w:pPr>
      <w:r>
        <w:rPr>
          <w:lang w:val="pl"/>
        </w:rPr>
        <w:t>—X—</w:t>
      </w:r>
    </w:p>
    <w:p w:rsidR="00B71A20" w:rsidRPr="000625F6" w:rsidRDefault="0093676E">
      <w:pPr>
        <w:pStyle w:val="Teksttreci0"/>
        <w:spacing w:after="0"/>
        <w:rPr>
          <w:lang w:val="pl-PL"/>
        </w:rPr>
      </w:pPr>
      <w:hyperlink r:id="rId2819" w:history="1">
        <w:r w:rsidR="000425B4">
          <w:rPr>
            <w:i/>
            <w:iCs/>
            <w:color w:val="0072BC"/>
            <w:lang w:val="pl"/>
          </w:rPr>
          <w:t>X p. Francji</w:t>
        </w:r>
        <w:r w:rsidR="000425B4">
          <w:rPr>
            <w:lang w:val="pl"/>
          </w:rPr>
          <w:t>,</w:t>
        </w:r>
      </w:hyperlink>
      <w:r w:rsidR="000425B4">
        <w:rPr>
          <w:lang w:val="pl"/>
        </w:rPr>
        <w:t xml:space="preserve"> 31 marca 1992 r., Seria A nr 234-C</w:t>
      </w:r>
    </w:p>
    <w:p w:rsidR="00B71A20" w:rsidRPr="000625F6" w:rsidRDefault="0093676E">
      <w:pPr>
        <w:pStyle w:val="Teksttreci0"/>
        <w:spacing w:after="0"/>
        <w:rPr>
          <w:lang w:val="pl-PL"/>
        </w:rPr>
      </w:pPr>
      <w:hyperlink r:id="rId2820" w:history="1">
        <w:r w:rsidR="000425B4">
          <w:rPr>
            <w:i/>
            <w:iCs/>
            <w:color w:val="0072BC"/>
            <w:lang w:val="pl"/>
          </w:rPr>
          <w:t>X i Y p. Rumunii</w:t>
        </w:r>
        <w:r w:rsidR="000425B4">
          <w:rPr>
            <w:lang w:val="pl"/>
          </w:rPr>
          <w:t>,</w:t>
        </w:r>
      </w:hyperlink>
      <w:r w:rsidR="000425B4">
        <w:rPr>
          <w:lang w:val="pl"/>
        </w:rPr>
        <w:t xml:space="preserve"> nr 2145/16, 19 stycznia 2021 r.</w:t>
      </w:r>
    </w:p>
    <w:p w:rsidR="00B71A20" w:rsidRPr="000625F6" w:rsidRDefault="0093676E">
      <w:pPr>
        <w:pStyle w:val="Teksttreci0"/>
        <w:spacing w:after="0"/>
        <w:rPr>
          <w:lang w:val="pl-PL"/>
        </w:rPr>
      </w:pPr>
      <w:hyperlink r:id="rId2821" w:history="1">
        <w:r w:rsidR="000425B4">
          <w:rPr>
            <w:i/>
            <w:iCs/>
            <w:color w:val="0072BC"/>
            <w:lang w:val="pl"/>
          </w:rPr>
          <w:t>X. p. Francji</w:t>
        </w:r>
        <w:r w:rsidR="000425B4">
          <w:rPr>
            <w:lang w:val="pl"/>
          </w:rPr>
          <w:t>,</w:t>
        </w:r>
      </w:hyperlink>
      <w:r w:rsidR="000425B4">
        <w:rPr>
          <w:lang w:val="pl"/>
        </w:rPr>
        <w:t xml:space="preserve"> nr 9587/81, decyzja Komisji z dnia 13 grudnia 1982 r., DR 29</w:t>
      </w:r>
    </w:p>
    <w:p w:rsidR="00B71A20" w:rsidRPr="000625F6" w:rsidRDefault="000425B4">
      <w:pPr>
        <w:pStyle w:val="Teksttreci0"/>
        <w:spacing w:after="0"/>
        <w:rPr>
          <w:lang w:val="pl-PL"/>
        </w:rPr>
      </w:pPr>
      <w:r>
        <w:rPr>
          <w:i/>
          <w:iCs/>
          <w:color w:val="0072BC"/>
          <w:lang w:val="pl"/>
        </w:rPr>
        <w:t>X. p. Niemcom</w:t>
      </w:r>
      <w:r>
        <w:rPr>
          <w:lang w:val="pl"/>
        </w:rPr>
        <w:t>, nr 1611/62, decyzja Komisji z dnia 25 września 1965 r.</w:t>
      </w:r>
    </w:p>
    <w:p w:rsidR="00B71A20" w:rsidRPr="000625F6" w:rsidRDefault="0093676E">
      <w:pPr>
        <w:pStyle w:val="Teksttreci0"/>
        <w:spacing w:after="0"/>
        <w:rPr>
          <w:lang w:val="pl-PL"/>
        </w:rPr>
      </w:pPr>
      <w:hyperlink r:id="rId2822" w:history="1">
        <w:r w:rsidR="000425B4">
          <w:rPr>
            <w:i/>
            <w:iCs/>
            <w:color w:val="0072BC"/>
            <w:lang w:val="pl"/>
          </w:rPr>
          <w:t>X. p. Niemcom</w:t>
        </w:r>
        <w:r w:rsidR="000425B4">
          <w:rPr>
            <w:lang w:val="pl"/>
          </w:rPr>
          <w:t>,</w:t>
        </w:r>
      </w:hyperlink>
      <w:r w:rsidR="000425B4">
        <w:rPr>
          <w:lang w:val="pl"/>
        </w:rPr>
        <w:t xml:space="preserve"> nr 7462/76, decyzja Komisji z dnia 7 marca 1977 r., DR 9</w:t>
      </w:r>
    </w:p>
    <w:p w:rsidR="00B71A20" w:rsidRPr="000625F6" w:rsidRDefault="0093676E">
      <w:pPr>
        <w:pStyle w:val="Teksttreci0"/>
        <w:spacing w:after="0"/>
        <w:rPr>
          <w:lang w:val="pl-PL"/>
        </w:rPr>
      </w:pPr>
      <w:hyperlink r:id="rId2823" w:history="1">
        <w:r w:rsidR="000425B4">
          <w:rPr>
            <w:i/>
            <w:iCs/>
            <w:color w:val="0072BC"/>
            <w:lang w:val="pl"/>
          </w:rPr>
          <w:t>X. p. Włochom</w:t>
        </w:r>
        <w:r w:rsidR="000425B4">
          <w:rPr>
            <w:lang w:val="pl"/>
          </w:rPr>
          <w:t>,</w:t>
        </w:r>
      </w:hyperlink>
      <w:r w:rsidR="000425B4">
        <w:rPr>
          <w:lang w:val="pl"/>
        </w:rPr>
        <w:t xml:space="preserve"> nr 6323/73, decyzja Komisji z dnia 4 marca 1976 r., DR 3</w:t>
      </w:r>
    </w:p>
    <w:p w:rsidR="00B71A20" w:rsidRPr="000625F6" w:rsidRDefault="0093676E">
      <w:pPr>
        <w:pStyle w:val="Teksttreci0"/>
        <w:spacing w:after="0"/>
        <w:rPr>
          <w:lang w:val="pl-PL"/>
        </w:rPr>
      </w:pPr>
      <w:hyperlink r:id="rId2824" w:history="1">
        <w:r w:rsidR="000425B4">
          <w:rPr>
            <w:i/>
            <w:iCs/>
            <w:color w:val="0072BC"/>
            <w:lang w:val="pl"/>
          </w:rPr>
          <w:t>X. p. Holandii</w:t>
        </w:r>
        <w:r w:rsidR="000425B4">
          <w:rPr>
            <w:lang w:val="pl"/>
          </w:rPr>
          <w:t>,</w:t>
        </w:r>
      </w:hyperlink>
      <w:r w:rsidR="000425B4">
        <w:rPr>
          <w:lang w:val="pl"/>
        </w:rPr>
        <w:t xml:space="preserve"> nr 7230/75, decyzja Komisji z dnia 4 października 1976 r., DR 7</w:t>
      </w:r>
    </w:p>
    <w:p w:rsidR="00B71A20" w:rsidRPr="000625F6" w:rsidRDefault="0093676E">
      <w:pPr>
        <w:pStyle w:val="Teksttreci0"/>
        <w:spacing w:after="0"/>
        <w:rPr>
          <w:lang w:val="pl-PL"/>
        </w:rPr>
      </w:pPr>
      <w:hyperlink r:id="rId2825" w:history="1">
        <w:r w:rsidR="000425B4">
          <w:rPr>
            <w:i/>
            <w:iCs/>
            <w:color w:val="0072BC"/>
            <w:lang w:val="pl"/>
          </w:rPr>
          <w:t>X. p. Wielkiej Brytanii</w:t>
        </w:r>
        <w:r w:rsidR="000425B4">
          <w:rPr>
            <w:lang w:val="pl"/>
          </w:rPr>
          <w:t>,</w:t>
        </w:r>
      </w:hyperlink>
      <w:r w:rsidR="000425B4">
        <w:rPr>
          <w:lang w:val="pl"/>
        </w:rPr>
        <w:t xml:space="preserve"> nr 6956/75, decyzja Komisji z dnia 10 grudnia 1976 r., DR 8</w:t>
      </w:r>
    </w:p>
    <w:p w:rsidR="00B71A20" w:rsidRPr="000625F6" w:rsidRDefault="0093676E">
      <w:pPr>
        <w:pStyle w:val="Teksttreci0"/>
        <w:spacing w:after="0"/>
        <w:rPr>
          <w:lang w:val="pl-PL"/>
        </w:rPr>
      </w:pPr>
      <w:hyperlink r:id="rId2826" w:history="1">
        <w:r w:rsidR="000425B4">
          <w:rPr>
            <w:i/>
            <w:iCs/>
            <w:color w:val="0072BC"/>
            <w:lang w:val="pl"/>
          </w:rPr>
          <w:t>X. p. Wielkiej Brytanii</w:t>
        </w:r>
        <w:r w:rsidR="000425B4">
          <w:rPr>
            <w:lang w:val="pl"/>
          </w:rPr>
          <w:t>,</w:t>
        </w:r>
      </w:hyperlink>
      <w:r w:rsidR="000425B4">
        <w:rPr>
          <w:lang w:val="pl"/>
        </w:rPr>
        <w:t xml:space="preserve"> nr 8206/78, decyzja Komisji z dnia 10 lipca 1981 r., DR 25</w:t>
      </w:r>
    </w:p>
    <w:p w:rsidR="00B71A20" w:rsidRPr="000625F6" w:rsidRDefault="0093676E">
      <w:pPr>
        <w:pStyle w:val="Teksttreci0"/>
        <w:spacing w:after="0"/>
        <w:rPr>
          <w:lang w:val="pl-PL"/>
        </w:rPr>
      </w:pPr>
      <w:hyperlink r:id="rId2827" w:history="1">
        <w:r w:rsidR="000425B4">
          <w:rPr>
            <w:i/>
            <w:iCs/>
            <w:color w:val="0072BC"/>
            <w:lang w:val="pl"/>
          </w:rPr>
          <w:t>Xenides-Arestis p. Turcji</w:t>
        </w:r>
        <w:r w:rsidR="000425B4">
          <w:rPr>
            <w:lang w:val="pl"/>
          </w:rPr>
          <w:t>,</w:t>
        </w:r>
      </w:hyperlink>
      <w:r w:rsidR="000425B4">
        <w:rPr>
          <w:lang w:val="pl"/>
        </w:rPr>
        <w:t xml:space="preserve"> nr 46347/99, 22 grudnia 2005 r.</w:t>
      </w:r>
    </w:p>
    <w:p w:rsidR="00B71A20" w:rsidRPr="000625F6" w:rsidRDefault="0093676E">
      <w:pPr>
        <w:pStyle w:val="Teksttreci0"/>
        <w:spacing w:after="460"/>
        <w:rPr>
          <w:lang w:val="pl-PL"/>
        </w:rPr>
      </w:pPr>
      <w:hyperlink r:id="rId2828" w:history="1">
        <w:r w:rsidR="000425B4">
          <w:rPr>
            <w:i/>
            <w:iCs/>
            <w:color w:val="0072BC"/>
            <w:lang w:val="pl"/>
          </w:rPr>
          <w:t>Xynos p. Grecji</w:t>
        </w:r>
        <w:r w:rsidR="000425B4">
          <w:rPr>
            <w:lang w:val="pl"/>
          </w:rPr>
          <w:t>,</w:t>
        </w:r>
      </w:hyperlink>
      <w:r w:rsidR="000425B4">
        <w:rPr>
          <w:lang w:val="pl"/>
        </w:rPr>
        <w:t xml:space="preserve"> nr 30226/09, 9 października 2014 r.</w:t>
      </w:r>
    </w:p>
    <w:p w:rsidR="00B71A20" w:rsidRPr="000625F6" w:rsidRDefault="000425B4">
      <w:pPr>
        <w:pStyle w:val="Teksttreci30"/>
        <w:spacing w:after="100"/>
        <w:rPr>
          <w:lang w:val="pl-PL"/>
        </w:rPr>
      </w:pPr>
      <w:r>
        <w:rPr>
          <w:lang w:val="pl"/>
        </w:rPr>
        <w:t>—Y—</w:t>
      </w:r>
    </w:p>
    <w:p w:rsidR="00B71A20" w:rsidRPr="000625F6" w:rsidRDefault="0093676E">
      <w:pPr>
        <w:pStyle w:val="Teksttreci0"/>
        <w:spacing w:after="0"/>
        <w:rPr>
          <w:lang w:val="pl-PL"/>
        </w:rPr>
      </w:pPr>
      <w:hyperlink r:id="rId2829" w:history="1">
        <w:r w:rsidR="000425B4">
          <w:rPr>
            <w:i/>
            <w:iCs/>
            <w:color w:val="0072BC"/>
            <w:lang w:val="pl"/>
          </w:rPr>
          <w:t>Y p. Łotwie</w:t>
        </w:r>
        <w:r w:rsidR="000425B4">
          <w:rPr>
            <w:lang w:val="pl"/>
          </w:rPr>
          <w:t>,</w:t>
        </w:r>
      </w:hyperlink>
      <w:r w:rsidR="000425B4">
        <w:rPr>
          <w:lang w:val="pl"/>
        </w:rPr>
        <w:t xml:space="preserve"> nr 61183/08, 21 października 2014 r.</w:t>
      </w:r>
    </w:p>
    <w:p w:rsidR="00B71A20" w:rsidRPr="000625F6" w:rsidRDefault="0093676E">
      <w:pPr>
        <w:pStyle w:val="Teksttreci0"/>
        <w:spacing w:after="0"/>
        <w:rPr>
          <w:lang w:val="pl-PL"/>
        </w:rPr>
      </w:pPr>
      <w:hyperlink r:id="rId2830" w:history="1">
        <w:r w:rsidR="000425B4">
          <w:rPr>
            <w:i/>
            <w:iCs/>
            <w:color w:val="0072BC"/>
            <w:lang w:val="pl"/>
          </w:rPr>
          <w:t>Y.F. p. Turcji</w:t>
        </w:r>
        <w:r w:rsidR="000425B4">
          <w:rPr>
            <w:lang w:val="pl"/>
          </w:rPr>
          <w:t>,</w:t>
        </w:r>
      </w:hyperlink>
      <w:r w:rsidR="000425B4">
        <w:rPr>
          <w:lang w:val="pl"/>
        </w:rPr>
        <w:t xml:space="preserve"> nr 24209/94, ECHR 2003-IX</w:t>
      </w:r>
    </w:p>
    <w:p w:rsidR="00B71A20" w:rsidRPr="000625F6" w:rsidRDefault="0093676E">
      <w:pPr>
        <w:pStyle w:val="Teksttreci0"/>
        <w:spacing w:after="0"/>
        <w:rPr>
          <w:lang w:val="pl-PL"/>
        </w:rPr>
      </w:pPr>
      <w:hyperlink r:id="rId2831" w:history="1">
        <w:r w:rsidR="000425B4">
          <w:rPr>
            <w:i/>
            <w:iCs/>
            <w:color w:val="0072BC"/>
            <w:lang w:val="pl"/>
          </w:rPr>
          <w:t>Y.Y. i Y.Y. p. Rosji</w:t>
        </w:r>
      </w:hyperlink>
      <w:r w:rsidR="000425B4">
        <w:rPr>
          <w:lang w:val="pl"/>
        </w:rPr>
        <w:t>, nr 43229/18, 8 marca 2022 r.</w:t>
      </w:r>
    </w:p>
    <w:p w:rsidR="00B71A20" w:rsidRPr="000625F6" w:rsidRDefault="0093676E">
      <w:pPr>
        <w:pStyle w:val="Teksttreci0"/>
        <w:spacing w:after="0"/>
        <w:rPr>
          <w:lang w:val="pl-PL"/>
        </w:rPr>
      </w:pPr>
      <w:hyperlink r:id="rId2832" w:history="1">
        <w:r w:rsidR="000425B4">
          <w:rPr>
            <w:i/>
            <w:iCs/>
            <w:color w:val="0072BC"/>
            <w:lang w:val="pl"/>
          </w:rPr>
          <w:t>Yam p. Wielkiej Brytanii</w:t>
        </w:r>
        <w:r w:rsidR="000425B4">
          <w:rPr>
            <w:lang w:val="pl"/>
          </w:rPr>
          <w:t>,</w:t>
        </w:r>
      </w:hyperlink>
      <w:r w:rsidR="000425B4">
        <w:rPr>
          <w:lang w:val="pl"/>
        </w:rPr>
        <w:t xml:space="preserve"> nr 31295/11, 16 stycznia 2020 r.</w:t>
      </w:r>
    </w:p>
    <w:p w:rsidR="00B71A20" w:rsidRPr="000625F6" w:rsidRDefault="0093676E">
      <w:pPr>
        <w:pStyle w:val="Teksttreci0"/>
        <w:spacing w:after="0"/>
        <w:rPr>
          <w:lang w:val="pl-PL"/>
        </w:rPr>
      </w:pPr>
      <w:hyperlink r:id="rId2833" w:history="1">
        <w:r w:rsidR="000425B4">
          <w:rPr>
            <w:i/>
            <w:iCs/>
            <w:color w:val="0072BC"/>
            <w:lang w:val="pl"/>
          </w:rPr>
          <w:t>Yaşa p. Turcji</w:t>
        </w:r>
        <w:r w:rsidR="000425B4">
          <w:rPr>
            <w:lang w:val="pl"/>
          </w:rPr>
          <w:t>,</w:t>
        </w:r>
      </w:hyperlink>
      <w:r w:rsidR="000425B4">
        <w:rPr>
          <w:lang w:val="pl"/>
        </w:rPr>
        <w:t xml:space="preserve"> 2 września 1998 r., </w:t>
      </w:r>
      <w:r w:rsidR="000425B4">
        <w:rPr>
          <w:i/>
          <w:iCs/>
          <w:lang w:val="pl"/>
        </w:rPr>
        <w:t>Raporty</w:t>
      </w:r>
      <w:r w:rsidR="000425B4">
        <w:rPr>
          <w:lang w:val="pl"/>
        </w:rPr>
        <w:t xml:space="preserve"> 1998-VI</w:t>
      </w:r>
    </w:p>
    <w:p w:rsidR="00B71A20" w:rsidRPr="000625F6" w:rsidRDefault="0093676E">
      <w:pPr>
        <w:pStyle w:val="Teksttreci0"/>
        <w:spacing w:after="0"/>
        <w:rPr>
          <w:lang w:val="pl-PL"/>
        </w:rPr>
      </w:pPr>
      <w:hyperlink r:id="rId2834" w:history="1">
        <w:r w:rsidR="000425B4">
          <w:rPr>
            <w:i/>
            <w:iCs/>
            <w:color w:val="0072BC"/>
            <w:lang w:val="pl"/>
          </w:rPr>
          <w:t>Yatsenko p. Ukrainie</w:t>
        </w:r>
        <w:r w:rsidR="000425B4">
          <w:rPr>
            <w:lang w:val="pl"/>
          </w:rPr>
          <w:t>,</w:t>
        </w:r>
      </w:hyperlink>
      <w:r w:rsidR="000425B4">
        <w:rPr>
          <w:lang w:val="pl"/>
        </w:rPr>
        <w:t xml:space="preserve"> nr 75345/01, 16 lutego 2012 r.</w:t>
      </w:r>
    </w:p>
    <w:p w:rsidR="00B71A20" w:rsidRPr="000625F6" w:rsidRDefault="0093676E">
      <w:pPr>
        <w:pStyle w:val="Teksttreci0"/>
        <w:spacing w:after="0"/>
        <w:rPr>
          <w:lang w:val="pl-PL"/>
        </w:rPr>
      </w:pPr>
      <w:hyperlink r:id="rId2835" w:history="1">
        <w:r w:rsidR="000425B4">
          <w:rPr>
            <w:i/>
            <w:iCs/>
            <w:color w:val="0072BC"/>
            <w:lang w:val="pl"/>
          </w:rPr>
          <w:t>Yavuz Selim Güler p. Turcji</w:t>
        </w:r>
        <w:r w:rsidR="000425B4">
          <w:rPr>
            <w:lang w:val="pl"/>
          </w:rPr>
          <w:t>,</w:t>
        </w:r>
      </w:hyperlink>
      <w:r w:rsidR="000425B4">
        <w:rPr>
          <w:lang w:val="pl"/>
        </w:rPr>
        <w:t xml:space="preserve"> nr 76476/12, 15 grudnia 2015 r.</w:t>
      </w:r>
    </w:p>
    <w:p w:rsidR="00B71A20" w:rsidRPr="000625F6" w:rsidRDefault="0093676E">
      <w:pPr>
        <w:pStyle w:val="Teksttreci0"/>
        <w:spacing w:after="0"/>
        <w:rPr>
          <w:lang w:val="pl-PL"/>
        </w:rPr>
      </w:pPr>
      <w:hyperlink r:id="rId2836" w:history="1">
        <w:r w:rsidR="000425B4">
          <w:rPr>
            <w:i/>
            <w:iCs/>
            <w:color w:val="0072BC"/>
            <w:lang w:val="pl"/>
          </w:rPr>
          <w:t>Yepishin p. Rosji</w:t>
        </w:r>
        <w:r w:rsidR="000425B4">
          <w:rPr>
            <w:lang w:val="pl"/>
          </w:rPr>
          <w:t>,</w:t>
        </w:r>
      </w:hyperlink>
      <w:r w:rsidR="000425B4">
        <w:rPr>
          <w:lang w:val="pl"/>
        </w:rPr>
        <w:t xml:space="preserve"> nr 591/07, 27 czerwca 2013 r.</w:t>
      </w:r>
    </w:p>
    <w:p w:rsidR="00B71A20" w:rsidRPr="000625F6" w:rsidRDefault="0093676E">
      <w:pPr>
        <w:pStyle w:val="Teksttreci0"/>
        <w:spacing w:after="0"/>
        <w:rPr>
          <w:lang w:val="pl-PL"/>
        </w:rPr>
      </w:pPr>
      <w:hyperlink r:id="rId2837" w:history="1">
        <w:r w:rsidR="000425B4">
          <w:rPr>
            <w:i/>
            <w:iCs/>
            <w:color w:val="0072BC"/>
            <w:lang w:val="pl"/>
          </w:rPr>
          <w:t>Yevgeniy Dmitriyev p. Rosji</w:t>
        </w:r>
        <w:r w:rsidR="000425B4">
          <w:rPr>
            <w:lang w:val="pl"/>
          </w:rPr>
          <w:t>,</w:t>
        </w:r>
      </w:hyperlink>
      <w:r w:rsidR="000425B4">
        <w:rPr>
          <w:lang w:val="pl"/>
        </w:rPr>
        <w:t xml:space="preserve"> nr 17840/06, 1 grudnia 2020 r.</w:t>
      </w:r>
    </w:p>
    <w:p w:rsidR="00B71A20" w:rsidRPr="000625F6" w:rsidRDefault="0093676E">
      <w:pPr>
        <w:pStyle w:val="Teksttreci0"/>
        <w:spacing w:after="0"/>
        <w:rPr>
          <w:lang w:val="pl-PL"/>
        </w:rPr>
      </w:pPr>
      <w:hyperlink r:id="rId2838" w:history="1">
        <w:r w:rsidR="000425B4">
          <w:rPr>
            <w:i/>
            <w:iCs/>
            <w:color w:val="0072BC"/>
            <w:lang w:val="pl"/>
          </w:rPr>
          <w:t xml:space="preserve">Yonghong p. Portugalii </w:t>
        </w:r>
      </w:hyperlink>
      <w:r w:rsidR="000425B4">
        <w:rPr>
          <w:lang w:val="pl"/>
        </w:rPr>
        <w:t>(dec.), nr 50887/99, ECHR 1999-IX</w:t>
      </w:r>
    </w:p>
    <w:p w:rsidR="00B71A20" w:rsidRPr="000625F6" w:rsidRDefault="0093676E">
      <w:pPr>
        <w:pStyle w:val="Teksttreci0"/>
        <w:spacing w:after="0"/>
        <w:rPr>
          <w:lang w:val="pl-PL"/>
        </w:rPr>
      </w:pPr>
      <w:hyperlink r:id="rId2839" w:history="1">
        <w:r w:rsidR="000425B4">
          <w:rPr>
            <w:i/>
            <w:iCs/>
            <w:color w:val="0072BC"/>
            <w:lang w:val="pl"/>
          </w:rPr>
          <w:t>Yordanovi p. Bułgarii</w:t>
        </w:r>
        <w:r w:rsidR="000425B4">
          <w:rPr>
            <w:lang w:val="pl"/>
          </w:rPr>
          <w:t>,</w:t>
        </w:r>
      </w:hyperlink>
      <w:r w:rsidR="000425B4">
        <w:rPr>
          <w:lang w:val="pl"/>
        </w:rPr>
        <w:t xml:space="preserve"> nr 11157/11, 3 września 2020 r.</w:t>
      </w:r>
    </w:p>
    <w:p w:rsidR="00B71A20" w:rsidRPr="000625F6" w:rsidRDefault="0093676E">
      <w:pPr>
        <w:pStyle w:val="Teksttreci0"/>
        <w:spacing w:after="0" w:line="230" w:lineRule="auto"/>
        <w:rPr>
          <w:lang w:val="pl-PL"/>
        </w:rPr>
      </w:pPr>
      <w:hyperlink r:id="rId2840" w:history="1">
        <w:r w:rsidR="000425B4">
          <w:rPr>
            <w:i/>
            <w:iCs/>
            <w:color w:val="0072BC"/>
            <w:lang w:val="pl"/>
          </w:rPr>
          <w:t>Yorgiyadis p. Turcji</w:t>
        </w:r>
        <w:r w:rsidR="000425B4">
          <w:rPr>
            <w:lang w:val="pl"/>
          </w:rPr>
          <w:t>,</w:t>
        </w:r>
      </w:hyperlink>
      <w:r w:rsidR="000425B4">
        <w:rPr>
          <w:lang w:val="pl"/>
        </w:rPr>
        <w:t xml:space="preserve"> nr 48057/99, 19 października 2004 r.</w:t>
      </w:r>
    </w:p>
    <w:p w:rsidR="00B71A20" w:rsidRPr="000625F6" w:rsidRDefault="0093676E" w:rsidP="00C159A3">
      <w:pPr>
        <w:pStyle w:val="Teksttreci0"/>
        <w:spacing w:after="0"/>
        <w:rPr>
          <w:lang w:val="pl-PL"/>
        </w:rPr>
      </w:pPr>
      <w:hyperlink r:id="rId2841" w:history="1">
        <w:r w:rsidR="000425B4">
          <w:rPr>
            <w:i/>
            <w:iCs/>
            <w:color w:val="0072BC"/>
            <w:lang w:val="pl"/>
          </w:rPr>
          <w:t>Yurttas p. Turcji</w:t>
        </w:r>
        <w:r w:rsidR="000425B4">
          <w:rPr>
            <w:lang w:val="pl"/>
          </w:rPr>
          <w:t>,</w:t>
        </w:r>
      </w:hyperlink>
      <w:r w:rsidR="000425B4">
        <w:rPr>
          <w:lang w:val="pl"/>
        </w:rPr>
        <w:t xml:space="preserve"> nr 25143/94 i 27098/95, 27 maja 2004 r.</w:t>
      </w:r>
    </w:p>
    <w:p w:rsidR="00B71A20" w:rsidRPr="000625F6" w:rsidRDefault="0093676E" w:rsidP="000625F6">
      <w:pPr>
        <w:pStyle w:val="Teksttreci0"/>
        <w:spacing w:after="460"/>
        <w:ind w:left="600" w:hanging="600"/>
        <w:rPr>
          <w:lang w:val="pl"/>
        </w:rPr>
      </w:pPr>
      <w:hyperlink r:id="rId2842" w:history="1">
        <w:r w:rsidR="000425B4">
          <w:rPr>
            <w:i/>
            <w:iCs/>
            <w:color w:val="0072BC"/>
            <w:lang w:val="pl"/>
          </w:rPr>
          <w:t>Yusufeli İlçesini Güzelleştirme Yaşatma Kültür Varlıklarını Koruma Derneği p. Turcji</w:t>
        </w:r>
        <w:r w:rsidR="000425B4">
          <w:rPr>
            <w:color w:val="0072BC"/>
            <w:lang w:val="pl"/>
          </w:rPr>
          <w:t xml:space="preserve"> </w:t>
        </w:r>
      </w:hyperlink>
      <w:r w:rsidR="000425B4">
        <w:rPr>
          <w:lang w:val="pl"/>
        </w:rPr>
        <w:t xml:space="preserve">(dec.), </w:t>
      </w:r>
      <w:r w:rsidR="000625F6">
        <w:rPr>
          <w:lang w:val="pl"/>
        </w:rPr>
        <w:br/>
        <w:t>nr</w:t>
      </w:r>
      <w:r w:rsidR="000425B4">
        <w:rPr>
          <w:lang w:val="pl"/>
        </w:rPr>
        <w:t xml:space="preserve"> 37857/14, 7 grudnia 2021 r.</w:t>
      </w:r>
    </w:p>
    <w:p w:rsidR="00B71A20" w:rsidRPr="000625F6" w:rsidRDefault="000425B4">
      <w:pPr>
        <w:pStyle w:val="Teksttreci30"/>
        <w:spacing w:after="100"/>
        <w:rPr>
          <w:lang w:val="pl-PL"/>
        </w:rPr>
      </w:pPr>
      <w:r>
        <w:rPr>
          <w:lang w:val="pl"/>
        </w:rPr>
        <w:t>—Z—</w:t>
      </w:r>
    </w:p>
    <w:p w:rsidR="00B71A20" w:rsidRPr="000625F6" w:rsidRDefault="0093676E">
      <w:pPr>
        <w:pStyle w:val="Teksttreci0"/>
        <w:spacing w:after="0"/>
        <w:rPr>
          <w:lang w:val="pl-PL"/>
        </w:rPr>
      </w:pPr>
      <w:hyperlink r:id="rId2843" w:history="1">
        <w:r w:rsidR="000425B4">
          <w:rPr>
            <w:i/>
            <w:iCs/>
            <w:color w:val="0072BC"/>
            <w:lang w:val="pl"/>
          </w:rPr>
          <w:t>Zakharkin p. Rosji</w:t>
        </w:r>
        <w:r w:rsidR="000425B4">
          <w:rPr>
            <w:lang w:val="pl"/>
          </w:rPr>
          <w:t>,</w:t>
        </w:r>
      </w:hyperlink>
      <w:r w:rsidR="000425B4">
        <w:rPr>
          <w:lang w:val="pl"/>
        </w:rPr>
        <w:t xml:space="preserve"> nr 1555/04, 10 czerwca 2010 r.</w:t>
      </w:r>
    </w:p>
    <w:p w:rsidR="00B71A20" w:rsidRPr="000625F6" w:rsidRDefault="0093676E">
      <w:pPr>
        <w:pStyle w:val="Teksttreci0"/>
        <w:spacing w:after="0"/>
        <w:rPr>
          <w:lang w:val="pl-PL"/>
        </w:rPr>
      </w:pPr>
      <w:hyperlink r:id="rId2844" w:history="1">
        <w:r w:rsidR="000425B4">
          <w:rPr>
            <w:i/>
            <w:iCs/>
            <w:color w:val="0072BC"/>
            <w:lang w:val="pl"/>
          </w:rPr>
          <w:t xml:space="preserve">Žáková p. Czechom </w:t>
        </w:r>
      </w:hyperlink>
      <w:r w:rsidR="000425B4">
        <w:rPr>
          <w:lang w:val="pl"/>
        </w:rPr>
        <w:t>(słuszne zadośćuczynienie), nr 2000/09, 6 kwietnia 2017 r.</w:t>
      </w:r>
    </w:p>
    <w:p w:rsidR="00B71A20" w:rsidRPr="000625F6" w:rsidRDefault="0093676E">
      <w:pPr>
        <w:pStyle w:val="Teksttreci0"/>
        <w:spacing w:after="0"/>
        <w:rPr>
          <w:lang w:val="pl-PL"/>
        </w:rPr>
      </w:pPr>
      <w:hyperlink r:id="rId2845" w:history="1">
        <w:r w:rsidR="000425B4">
          <w:rPr>
            <w:i/>
            <w:iCs/>
            <w:color w:val="0072BC"/>
            <w:lang w:val="pl"/>
          </w:rPr>
          <w:t>Zambrano p. Francji</w:t>
        </w:r>
        <w:r w:rsidR="000425B4">
          <w:rPr>
            <w:color w:val="0072BC"/>
            <w:lang w:val="pl"/>
          </w:rPr>
          <w:t xml:space="preserve"> </w:t>
        </w:r>
      </w:hyperlink>
      <w:r w:rsidR="000425B4">
        <w:rPr>
          <w:lang w:val="pl"/>
        </w:rPr>
        <w:t>(dec.), nr 41994/21, 21 września 2021 r.</w:t>
      </w:r>
    </w:p>
    <w:p w:rsidR="00B71A20" w:rsidRPr="000625F6" w:rsidRDefault="0093676E">
      <w:pPr>
        <w:pStyle w:val="Teksttreci0"/>
        <w:spacing w:after="0"/>
        <w:rPr>
          <w:lang w:val="pl-PL"/>
        </w:rPr>
      </w:pPr>
      <w:hyperlink r:id="rId2846" w:history="1">
        <w:r w:rsidR="000425B4">
          <w:rPr>
            <w:i/>
            <w:iCs/>
            <w:color w:val="0072BC"/>
            <w:lang w:val="pl"/>
          </w:rPr>
          <w:t>Zana p. Turcji</w:t>
        </w:r>
        <w:r w:rsidR="000425B4">
          <w:rPr>
            <w:lang w:val="pl"/>
          </w:rPr>
          <w:t>,</w:t>
        </w:r>
      </w:hyperlink>
      <w:r w:rsidR="000425B4">
        <w:rPr>
          <w:lang w:val="pl"/>
        </w:rPr>
        <w:t xml:space="preserve"> 25 listopada 1997 r., </w:t>
      </w:r>
      <w:r w:rsidR="000425B4">
        <w:rPr>
          <w:i/>
          <w:iCs/>
          <w:lang w:val="pl"/>
        </w:rPr>
        <w:t xml:space="preserve">Raporty </w:t>
      </w:r>
      <w:r w:rsidR="000425B4">
        <w:rPr>
          <w:lang w:val="pl"/>
        </w:rPr>
        <w:t>1997-VII</w:t>
      </w:r>
    </w:p>
    <w:p w:rsidR="00B71A20" w:rsidRPr="000625F6" w:rsidRDefault="0093676E">
      <w:pPr>
        <w:pStyle w:val="Teksttreci0"/>
        <w:spacing w:after="0"/>
        <w:rPr>
          <w:lang w:val="pl-PL"/>
        </w:rPr>
      </w:pPr>
      <w:hyperlink r:id="rId2847" w:history="1">
        <w:r w:rsidR="000425B4">
          <w:rPr>
            <w:i/>
            <w:iCs/>
            <w:color w:val="0072BC"/>
            <w:lang w:val="pl"/>
          </w:rPr>
          <w:t xml:space="preserve">Zastava It Turs p. Serbii </w:t>
        </w:r>
      </w:hyperlink>
      <w:r w:rsidR="000425B4">
        <w:rPr>
          <w:lang w:val="pl"/>
        </w:rPr>
        <w:t>(dec.), nr 24922/12, 9 kwietnia 2013 r.</w:t>
      </w:r>
    </w:p>
    <w:p w:rsidR="00B71A20" w:rsidRPr="000625F6" w:rsidRDefault="0093676E">
      <w:pPr>
        <w:pStyle w:val="Teksttreci0"/>
        <w:spacing w:after="0"/>
        <w:rPr>
          <w:lang w:val="pl-PL"/>
        </w:rPr>
      </w:pPr>
      <w:hyperlink r:id="rId2848" w:history="1">
        <w:r w:rsidR="000425B4">
          <w:rPr>
            <w:i/>
            <w:iCs/>
            <w:color w:val="0072BC"/>
            <w:lang w:val="pl"/>
          </w:rPr>
          <w:t>Zehentner p. Austrii</w:t>
        </w:r>
        <w:r w:rsidR="000425B4">
          <w:rPr>
            <w:lang w:val="pl"/>
          </w:rPr>
          <w:t>,</w:t>
        </w:r>
      </w:hyperlink>
      <w:r w:rsidR="000425B4">
        <w:rPr>
          <w:lang w:val="pl"/>
        </w:rPr>
        <w:t xml:space="preserve"> nr 20082/02, 16 lipca 2009 r.</w:t>
      </w:r>
    </w:p>
    <w:p w:rsidR="00B71A20" w:rsidRPr="000625F6" w:rsidRDefault="0093676E">
      <w:pPr>
        <w:pStyle w:val="Teksttreci0"/>
        <w:spacing w:after="0"/>
        <w:rPr>
          <w:lang w:val="pl-PL"/>
        </w:rPr>
      </w:pPr>
      <w:hyperlink r:id="rId2849" w:history="1">
        <w:r w:rsidR="000425B4">
          <w:rPr>
            <w:i/>
            <w:iCs/>
            <w:color w:val="0072BC"/>
            <w:lang w:val="pl"/>
          </w:rPr>
          <w:t>Zelčs p. Łotwie</w:t>
        </w:r>
        <w:r w:rsidR="000425B4">
          <w:rPr>
            <w:lang w:val="pl"/>
          </w:rPr>
          <w:t>,</w:t>
        </w:r>
      </w:hyperlink>
      <w:r w:rsidR="000425B4">
        <w:rPr>
          <w:lang w:val="pl"/>
        </w:rPr>
        <w:t xml:space="preserve"> nr 65367/16, 20 lutego 2020 r.</w:t>
      </w:r>
    </w:p>
    <w:p w:rsidR="00B71A20" w:rsidRPr="000625F6" w:rsidRDefault="0093676E">
      <w:pPr>
        <w:pStyle w:val="Teksttreci0"/>
        <w:spacing w:after="0"/>
        <w:rPr>
          <w:lang w:val="pl-PL"/>
        </w:rPr>
      </w:pPr>
      <w:hyperlink r:id="rId2850" w:history="1">
        <w:r w:rsidR="000425B4">
          <w:rPr>
            <w:i/>
            <w:iCs/>
            <w:color w:val="0072BC"/>
            <w:lang w:val="pl"/>
          </w:rPr>
          <w:t>Zhdanov i Inni p. Rosji</w:t>
        </w:r>
        <w:r w:rsidR="000425B4">
          <w:rPr>
            <w:lang w:val="pl"/>
          </w:rPr>
          <w:t>,</w:t>
        </w:r>
      </w:hyperlink>
      <w:r w:rsidR="000425B4">
        <w:rPr>
          <w:lang w:val="pl"/>
        </w:rPr>
        <w:t xml:space="preserve"> nr 12200/08 i 2 inne, 16 lipca 2019 r.</w:t>
      </w:r>
    </w:p>
    <w:p w:rsidR="00B71A20" w:rsidRPr="000625F6" w:rsidRDefault="0093676E">
      <w:pPr>
        <w:pStyle w:val="Teksttreci0"/>
        <w:spacing w:after="0"/>
        <w:rPr>
          <w:lang w:val="pl-PL"/>
        </w:rPr>
      </w:pPr>
      <w:hyperlink r:id="rId2851" w:history="1">
        <w:r w:rsidR="000425B4">
          <w:rPr>
            <w:i/>
            <w:iCs/>
            <w:color w:val="0072BC"/>
            <w:lang w:val="pl"/>
          </w:rPr>
          <w:t>Zhidov p. Rosji</w:t>
        </w:r>
        <w:r w:rsidR="000425B4">
          <w:rPr>
            <w:lang w:val="pl"/>
          </w:rPr>
          <w:t>,</w:t>
        </w:r>
      </w:hyperlink>
      <w:r w:rsidR="000425B4">
        <w:rPr>
          <w:lang w:val="pl"/>
        </w:rPr>
        <w:t xml:space="preserve"> nr 54490/10 i 3 inne, 16 października 2018 r.</w:t>
      </w:r>
    </w:p>
    <w:p w:rsidR="00B71A20" w:rsidRPr="000625F6" w:rsidRDefault="0093676E">
      <w:pPr>
        <w:pStyle w:val="Teksttreci0"/>
        <w:spacing w:after="0"/>
        <w:rPr>
          <w:lang w:val="pl-PL"/>
        </w:rPr>
      </w:pPr>
      <w:hyperlink r:id="rId2852" w:history="1">
        <w:r w:rsidR="000425B4">
          <w:rPr>
            <w:i/>
            <w:iCs/>
            <w:color w:val="0072BC"/>
            <w:lang w:val="pl"/>
          </w:rPr>
          <w:t>Ziętal p. Polsce</w:t>
        </w:r>
        <w:r w:rsidR="000425B4">
          <w:rPr>
            <w:lang w:val="pl"/>
          </w:rPr>
          <w:t>,</w:t>
        </w:r>
      </w:hyperlink>
      <w:r w:rsidR="000425B4">
        <w:rPr>
          <w:lang w:val="pl"/>
        </w:rPr>
        <w:t xml:space="preserve"> nr 64972/01, 12 maja 2009 r.</w:t>
      </w:r>
    </w:p>
    <w:p w:rsidR="00B71A20" w:rsidRPr="000625F6" w:rsidRDefault="0093676E">
      <w:pPr>
        <w:pStyle w:val="Teksttreci0"/>
        <w:spacing w:after="0"/>
        <w:rPr>
          <w:lang w:val="pl-PL"/>
        </w:rPr>
      </w:pPr>
      <w:hyperlink r:id="rId2853" w:history="1">
        <w:r w:rsidR="000425B4">
          <w:rPr>
            <w:i/>
            <w:iCs/>
            <w:color w:val="0072BC"/>
            <w:lang w:val="pl"/>
          </w:rPr>
          <w:t xml:space="preserve">Zihni p. Turcji </w:t>
        </w:r>
      </w:hyperlink>
      <w:r w:rsidR="000425B4">
        <w:rPr>
          <w:lang w:val="pl"/>
        </w:rPr>
        <w:t>(dec.), nr 59061/16, 29 listopada 2016 r.</w:t>
      </w:r>
    </w:p>
    <w:p w:rsidR="00B71A20" w:rsidRPr="000625F6" w:rsidRDefault="0093676E">
      <w:pPr>
        <w:pStyle w:val="Teksttreci0"/>
        <w:spacing w:after="0"/>
        <w:rPr>
          <w:lang w:val="pl-PL"/>
        </w:rPr>
      </w:pPr>
      <w:hyperlink r:id="rId2854" w:history="1">
        <w:r w:rsidR="000425B4">
          <w:rPr>
            <w:i/>
            <w:iCs/>
            <w:color w:val="0072BC"/>
            <w:lang w:val="pl"/>
          </w:rPr>
          <w:t>Živić p. Serbii</w:t>
        </w:r>
        <w:r w:rsidR="000425B4">
          <w:rPr>
            <w:lang w:val="pl"/>
          </w:rPr>
          <w:t>,</w:t>
        </w:r>
      </w:hyperlink>
      <w:r w:rsidR="000425B4">
        <w:rPr>
          <w:lang w:val="pl"/>
        </w:rPr>
        <w:t xml:space="preserve"> nr 37204/08, 13 września 2011 r.</w:t>
      </w:r>
    </w:p>
    <w:p w:rsidR="00B71A20" w:rsidRPr="000625F6" w:rsidRDefault="0093676E">
      <w:pPr>
        <w:pStyle w:val="Teksttreci0"/>
        <w:spacing w:after="0"/>
        <w:rPr>
          <w:lang w:val="pl-PL"/>
        </w:rPr>
      </w:pPr>
      <w:hyperlink r:id="rId2855" w:history="1">
        <w:r w:rsidR="000425B4">
          <w:rPr>
            <w:i/>
            <w:iCs/>
            <w:color w:val="0072BC"/>
            <w:lang w:val="pl"/>
          </w:rPr>
          <w:t>Zubkov i Inni p. Rosji</w:t>
        </w:r>
        <w:r w:rsidR="000425B4">
          <w:rPr>
            <w:lang w:val="pl"/>
          </w:rPr>
          <w:t>,</w:t>
        </w:r>
      </w:hyperlink>
      <w:r w:rsidR="000425B4">
        <w:rPr>
          <w:lang w:val="pl"/>
        </w:rPr>
        <w:t xml:space="preserve"> nr 29431/05 i 2 inne, 7 listopada 2017 r.</w:t>
      </w:r>
    </w:p>
    <w:p w:rsidR="00B71A20" w:rsidRPr="000625F6" w:rsidRDefault="0093676E">
      <w:pPr>
        <w:pStyle w:val="Teksttreci0"/>
        <w:spacing w:after="280"/>
        <w:rPr>
          <w:lang w:val="pl-PL"/>
        </w:rPr>
      </w:pPr>
      <w:hyperlink r:id="rId2856" w:history="1">
        <w:r w:rsidR="000425B4">
          <w:rPr>
            <w:i/>
            <w:iCs/>
            <w:color w:val="0072BC"/>
            <w:lang w:val="pl"/>
          </w:rPr>
          <w:t xml:space="preserve">Zwinkels p. Holandii </w:t>
        </w:r>
      </w:hyperlink>
      <w:r w:rsidR="000425B4">
        <w:rPr>
          <w:lang w:val="pl"/>
        </w:rPr>
        <w:t>(dec.), nr 16593/10, 9 października 2012 r.</w:t>
      </w:r>
    </w:p>
    <w:sectPr w:rsidR="00B71A20" w:rsidRPr="000625F6">
      <w:pgSz w:w="11900" w:h="16840"/>
      <w:pgMar w:top="1436" w:right="1514" w:bottom="1426" w:left="129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B2" w:rsidRDefault="008369B2">
      <w:r>
        <w:separator/>
      </w:r>
    </w:p>
  </w:endnote>
  <w:endnote w:type="continuationSeparator" w:id="0">
    <w:p w:rsidR="008369B2" w:rsidRDefault="0083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E" w:rsidRDefault="0093676E">
    <w:pPr>
      <w:spacing w:line="1" w:lineRule="exact"/>
    </w:pPr>
    <w:r>
      <w:rPr>
        <w:noProof/>
        <w:lang w:val="en-GB" w:eastAsia="en-GB" w:bidi="ar-SA"/>
      </w:rPr>
      <mc:AlternateContent>
        <mc:Choice Requires="wps">
          <w:drawing>
            <wp:anchor distT="0" distB="0" distL="0" distR="0" simplePos="0" relativeHeight="62914692" behindDoc="1" locked="0" layoutInCell="1" allowOverlap="1">
              <wp:simplePos x="0" y="0"/>
              <wp:positionH relativeFrom="page">
                <wp:posOffset>923925</wp:posOffset>
              </wp:positionH>
              <wp:positionV relativeFrom="page">
                <wp:posOffset>10211435</wp:posOffset>
              </wp:positionV>
              <wp:extent cx="5711825"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5711825" cy="113030"/>
                      </a:xfrm>
                      <a:prstGeom prst="rect">
                        <a:avLst/>
                      </a:prstGeom>
                      <a:noFill/>
                    </wps:spPr>
                    <wps:txbx>
                      <w:txbxContent>
                        <w:p w:rsidR="0093676E" w:rsidRPr="000625F6" w:rsidRDefault="0093676E">
                          <w:pPr>
                            <w:pStyle w:val="Nagweklubstopka20"/>
                            <w:tabs>
                              <w:tab w:val="right" w:pos="4795"/>
                              <w:tab w:val="right" w:pos="8995"/>
                            </w:tabs>
                            <w:rPr>
                              <w:lang w:val="pl-PL"/>
                            </w:rPr>
                          </w:pPr>
                          <w:r>
                            <w:rPr>
                              <w:rFonts w:ascii="Calibri" w:eastAsia="Calibri" w:hAnsi="Calibri" w:cs="Calibri"/>
                              <w:lang w:val="pl"/>
                            </w:rPr>
                            <w:t>Europejski Trybunał Praw Człowieka</w:t>
                          </w:r>
                          <w:r>
                            <w:rPr>
                              <w:rFonts w:ascii="Calibri" w:eastAsia="Calibri" w:hAnsi="Calibri" w:cs="Calibri"/>
                              <w:lang w:val="pl"/>
                            </w:rPr>
                            <w:tab/>
                          </w:r>
                          <w:r>
                            <w:fldChar w:fldCharType="begin"/>
                          </w:r>
                          <w:r w:rsidRPr="000625F6">
                            <w:rPr>
                              <w:lang w:val="pl-PL"/>
                            </w:rPr>
                            <w:instrText xml:space="preserve"> PAGE \* MERGEFORMAT </w:instrText>
                          </w:r>
                          <w:r>
                            <w:fldChar w:fldCharType="separate"/>
                          </w:r>
                          <w:r w:rsidR="00220724" w:rsidRPr="00220724">
                            <w:rPr>
                              <w:rFonts w:ascii="Calibri" w:eastAsia="Calibri" w:hAnsi="Calibri" w:cs="Calibri"/>
                              <w:noProof/>
                              <w:lang w:val="pl"/>
                            </w:rPr>
                            <w:t>3</w:t>
                          </w:r>
                          <w:r>
                            <w:rPr>
                              <w:rFonts w:ascii="Calibri" w:eastAsia="Calibri" w:hAnsi="Calibri" w:cs="Calibri"/>
                              <w:lang w:val="pl"/>
                            </w:rPr>
                            <w:fldChar w:fldCharType="end"/>
                          </w:r>
                          <w:r>
                            <w:rPr>
                              <w:rFonts w:ascii="Calibri" w:eastAsia="Calibri" w:hAnsi="Calibri" w:cs="Calibri"/>
                              <w:lang w:val="pl"/>
                            </w:rPr>
                            <w:t>/111</w:t>
                          </w:r>
                          <w:r>
                            <w:rPr>
                              <w:rFonts w:ascii="Calibri" w:eastAsia="Calibri" w:hAnsi="Calibri" w:cs="Calibri"/>
                              <w:lang w:val="pl"/>
                            </w:rPr>
                            <w:tab/>
                            <w:t>Ostatnia aktualizacja: 31.08.2022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72.75pt;margin-top:804.05pt;width:449.75pt;height:8.9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" filled="f" stroked="f">
              <v:textbox style="mso-fit-shape-to-text:t" inset="0,0,0,0">
                <w:txbxContent>
                  <w:p w:rsidR="0093676E" w:rsidRPr="000625F6" w:rsidRDefault="0093676E">
                    <w:pPr>
                      <w:pStyle w:val="Nagweklubstopka20"/>
                      <w:tabs>
                        <w:tab w:val="right" w:pos="4795"/>
                        <w:tab w:val="right" w:pos="8995"/>
                      </w:tabs>
                      <w:rPr>
                        <w:lang w:val="pl-PL"/>
                      </w:rPr>
                    </w:pPr>
                    <w:r>
                      <w:rPr>
                        <w:rFonts w:ascii="Calibri" w:eastAsia="Calibri" w:hAnsi="Calibri" w:cs="Calibri"/>
                        <w:lang w:val="pl"/>
                      </w:rPr>
                      <w:t>Europejski Trybunał Praw Człowieka</w:t>
                    </w:r>
                    <w:r>
                      <w:rPr>
                        <w:rFonts w:ascii="Calibri" w:eastAsia="Calibri" w:hAnsi="Calibri" w:cs="Calibri"/>
                        <w:lang w:val="pl"/>
                      </w:rPr>
                      <w:tab/>
                    </w:r>
                    <w:r>
                      <w:fldChar w:fldCharType="begin"/>
                    </w:r>
                    <w:r w:rsidRPr="000625F6">
                      <w:rPr>
                        <w:lang w:val="pl-PL"/>
                      </w:rPr>
                      <w:instrText xml:space="preserve"> PAGE \* MERGEFORMAT </w:instrText>
                    </w:r>
                    <w:r>
                      <w:fldChar w:fldCharType="separate"/>
                    </w:r>
                    <w:r w:rsidR="00220724" w:rsidRPr="00220724">
                      <w:rPr>
                        <w:rFonts w:ascii="Calibri" w:eastAsia="Calibri" w:hAnsi="Calibri" w:cs="Calibri"/>
                        <w:noProof/>
                        <w:lang w:val="pl"/>
                      </w:rPr>
                      <w:t>3</w:t>
                    </w:r>
                    <w:r>
                      <w:rPr>
                        <w:rFonts w:ascii="Calibri" w:eastAsia="Calibri" w:hAnsi="Calibri" w:cs="Calibri"/>
                        <w:lang w:val="pl"/>
                      </w:rPr>
                      <w:fldChar w:fldCharType="end"/>
                    </w:r>
                    <w:r>
                      <w:rPr>
                        <w:rFonts w:ascii="Calibri" w:eastAsia="Calibri" w:hAnsi="Calibri" w:cs="Calibri"/>
                        <w:lang w:val="pl"/>
                      </w:rPr>
                      <w:t>/111</w:t>
                    </w:r>
                    <w:r>
                      <w:rPr>
                        <w:rFonts w:ascii="Calibri" w:eastAsia="Calibri" w:hAnsi="Calibri" w:cs="Calibri"/>
                        <w:lang w:val="pl"/>
                      </w:rPr>
                      <w:tab/>
                      <w:t>Ostatnia aktualizacja: 31.08.2022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B2" w:rsidRDefault="008369B2">
      <w:r>
        <w:separator/>
      </w:r>
    </w:p>
  </w:footnote>
  <w:footnote w:type="continuationSeparator" w:id="0">
    <w:p w:rsidR="008369B2" w:rsidRDefault="008369B2">
      <w:r>
        <w:continuationSeparator/>
      </w:r>
    </w:p>
  </w:footnote>
  <w:footnote w:id="1">
    <w:p w:rsidR="0093676E" w:rsidRPr="000625F6" w:rsidRDefault="0093676E">
      <w:pPr>
        <w:pStyle w:val="Stopka1"/>
        <w:jc w:val="both"/>
        <w:rPr>
          <w:lang w:val="pl-PL"/>
        </w:rPr>
      </w:pPr>
      <w:r w:rsidRPr="005A74AF">
        <w:rPr>
          <w:rStyle w:val="Odwoanieprzypisudolnego"/>
          <w:rFonts w:ascii="Courier New" w:eastAsia="Courier New" w:hAnsi="Courier New" w:cs="Courier New"/>
          <w:vertAlign w:val="baseline"/>
          <w:lang w:val="pl-PL"/>
        </w:rPr>
        <w:t>*</w:t>
      </w:r>
      <w:r w:rsidRPr="005A74AF">
        <w:rPr>
          <w:lang w:val="pl"/>
        </w:rPr>
        <w:t xml:space="preserve"> </w:t>
      </w:r>
      <w:r>
        <w:rPr>
          <w:lang w:val="pl"/>
        </w:rPr>
        <w:t>Cytowane orzecznictwo może być dostępne w jednym z języków urzędowych Trybunału i Europejskiej Komisji Praw Człowieka (angielskim albo francuskim) albo w obu tych językach. Jeśli z informacji nie wynika inaczej to referencja cytowana odsyła do wyroku co do przedmiotu skargi wydanego przez jedną z Izb Trybunału. Skrót „(dec.)” oznacza, że cytowanie pochodzi z decyzji Trybunału, natomiast skrót „[WI]” oznacza, że sprawa była rozpatrywana przez Wielką Izbę. Wyroki Izby, które nie miały waloru ostateczności z chwilą publikacji niniejszej aktualizacji, są oznaczone gwiazdką (*).</w:t>
      </w:r>
    </w:p>
  </w:footnote>
  <w:footnote w:id="2">
    <w:p w:rsidR="0093676E" w:rsidRPr="000625F6" w:rsidRDefault="0093676E">
      <w:pPr>
        <w:pStyle w:val="Stopka1"/>
        <w:jc w:val="both"/>
        <w:rPr>
          <w:lang w:val="pl-PL"/>
        </w:rPr>
      </w:pPr>
      <w:r>
        <w:rPr>
          <w:lang w:val="pl"/>
        </w:rPr>
        <w:footnoteRef/>
      </w:r>
      <w:r>
        <w:rPr>
          <w:lang w:val="pl"/>
        </w:rPr>
        <w:t>. Nie wszystkie kryteria dopuszczalności wymienione w art. 35 Konwencji mają zastosowanie do skarg międzypaństwowych wniesionych na mocy art. 33 Konwencji (patrz</w:t>
      </w:r>
      <w:hyperlink r:id="rId1" w:history="1">
        <w:r>
          <w:rPr>
            <w:i/>
            <w:iCs/>
            <w:lang w:val="pl"/>
          </w:rPr>
          <w:t xml:space="preserve"> </w:t>
        </w:r>
        <w:r>
          <w:rPr>
            <w:i/>
            <w:iCs/>
            <w:color w:val="0072BC"/>
            <w:lang w:val="pl"/>
          </w:rPr>
          <w:t xml:space="preserve">Słowenia p. Chorwacji </w:t>
        </w:r>
      </w:hyperlink>
      <w:r>
        <w:rPr>
          <w:lang w:val="pl"/>
        </w:rPr>
        <w:t>[WI] (dec.), §§ 40-44). Skargi międzypaństwowe wymagają innego podejścia w kwestii dopuszczalności.</w:t>
      </w:r>
    </w:p>
  </w:footnote>
  <w:footnote w:id="3">
    <w:p w:rsidR="0093676E" w:rsidRPr="000625F6" w:rsidRDefault="0093676E">
      <w:pPr>
        <w:pStyle w:val="Stopka1"/>
        <w:jc w:val="both"/>
        <w:rPr>
          <w:lang w:val="pl-PL"/>
        </w:rPr>
      </w:pPr>
      <w:r>
        <w:rPr>
          <w:lang w:val="pl"/>
        </w:rPr>
        <w:footnoteRef/>
      </w:r>
      <w:r>
        <w:rPr>
          <w:lang w:val="pl"/>
        </w:rPr>
        <w:t>. Poszczególne etapy postępowania, w którym Trybunał rozpatruje skargę, są przedstawione w przejrzysty sposób w dziale „</w:t>
      </w:r>
      <w:r>
        <w:rPr>
          <w:color w:val="0072BC"/>
          <w:lang w:val="pl"/>
        </w:rPr>
        <w:t>Case processing</w:t>
      </w:r>
      <w:r>
        <w:rPr>
          <w:lang w:val="pl"/>
        </w:rPr>
        <w:t>” na stronie Trybunału (</w:t>
      </w:r>
      <w:r>
        <w:rPr>
          <w:color w:val="0072BC"/>
          <w:lang w:val="pl"/>
        </w:rPr>
        <w:t xml:space="preserve">www.echr.coe.int </w:t>
      </w:r>
      <w:r>
        <w:rPr>
          <w:lang w:val="pl"/>
        </w:rPr>
        <w:t xml:space="preserve">– The Court – How the Court works), w szczególności na wykresie </w:t>
      </w:r>
      <w:hyperlink r:id="rId2" w:history="1">
        <w:r>
          <w:rPr>
            <w:lang w:val="pl"/>
          </w:rPr>
          <w:t>„</w:t>
        </w:r>
        <w:r>
          <w:rPr>
            <w:color w:val="0072BC"/>
            <w:lang w:val="pl"/>
          </w:rPr>
          <w:t>Cykl obiegu skargi</w:t>
        </w:r>
        <w:r>
          <w:rPr>
            <w:lang w:val="pl"/>
          </w:rPr>
          <w:t>”</w:t>
        </w:r>
      </w:hyperlink>
      <w:r>
        <w:rPr>
          <w:lang w:val="pl"/>
        </w:rPr>
        <w:t>.</w:t>
      </w:r>
    </w:p>
  </w:footnote>
  <w:footnote w:id="4">
    <w:p w:rsidR="0093676E" w:rsidRPr="000625F6" w:rsidRDefault="0093676E">
      <w:pPr>
        <w:pStyle w:val="Stopka1"/>
        <w:rPr>
          <w:lang w:val="pl-PL"/>
        </w:rPr>
      </w:pPr>
      <w:r>
        <w:rPr>
          <w:lang w:val="pl"/>
        </w:rPr>
        <w:footnoteRef/>
      </w:r>
      <w:r>
        <w:rPr>
          <w:lang w:val="pl"/>
        </w:rPr>
        <w:t>. Patrz dział</w:t>
      </w:r>
      <w:hyperlink w:anchor="bookmark45" w:tooltip="Bieżący dokument">
        <w:r>
          <w:rPr>
            <w:lang w:val="pl"/>
          </w:rPr>
          <w:t xml:space="preserve"> Reprezentacja.</w:t>
        </w:r>
      </w:hyperlink>
    </w:p>
  </w:footnote>
  <w:footnote w:id="5">
    <w:p w:rsidR="0093676E" w:rsidRPr="000625F6" w:rsidRDefault="0093676E">
      <w:pPr>
        <w:pStyle w:val="Stopka1"/>
        <w:rPr>
          <w:lang w:val="pl-PL"/>
        </w:rPr>
      </w:pPr>
      <w:r>
        <w:rPr>
          <w:lang w:val="pl"/>
        </w:rPr>
        <w:footnoteRef/>
      </w:r>
      <w:r>
        <w:rPr>
          <w:lang w:val="pl"/>
        </w:rPr>
        <w:t>. Patrz</w:t>
      </w:r>
      <w:hyperlink r:id="rId3" w:history="1">
        <w:r>
          <w:rPr>
            <w:lang w:val="pl"/>
          </w:rPr>
          <w:t xml:space="preserve"> </w:t>
        </w:r>
        <w:r>
          <w:rPr>
            <w:color w:val="0072BC"/>
            <w:lang w:val="pl"/>
          </w:rPr>
          <w:t>Przewodnik po orzecznictwie dotyczącym praw więźniów</w:t>
        </w:r>
        <w:r>
          <w:rPr>
            <w:lang w:val="pl"/>
          </w:rPr>
          <w:t xml:space="preserve"> (w wersji angielskiej).</w:t>
        </w:r>
      </w:hyperlink>
    </w:p>
  </w:footnote>
  <w:footnote w:id="6">
    <w:p w:rsidR="0093676E" w:rsidRPr="000625F6" w:rsidRDefault="0093676E">
      <w:pPr>
        <w:pStyle w:val="Stopka1"/>
        <w:jc w:val="both"/>
        <w:rPr>
          <w:lang w:val="pl-PL"/>
        </w:rPr>
      </w:pPr>
      <w:r>
        <w:rPr>
          <w:lang w:val="pl"/>
        </w:rPr>
        <w:footnoteRef/>
      </w:r>
      <w:r>
        <w:rPr>
          <w:lang w:val="pl"/>
        </w:rPr>
        <w:t>. Artykuł 4 Protokołu nr 15: W art. 35 ust. 1 Konwencji wyrazy „w ciągu sześciu miesięcy” zastępuje się wyrazami „w ciągu czterech miesięcy”.</w:t>
      </w:r>
    </w:p>
  </w:footnote>
  <w:footnote w:id="7">
    <w:p w:rsidR="0093676E" w:rsidRPr="000625F6" w:rsidRDefault="0093676E">
      <w:pPr>
        <w:pStyle w:val="Stopka1"/>
        <w:jc w:val="both"/>
        <w:rPr>
          <w:lang w:val="pl-PL"/>
        </w:rPr>
      </w:pPr>
      <w:r>
        <w:rPr>
          <w:lang w:val="pl"/>
        </w:rPr>
        <w:footnoteRef/>
      </w:r>
      <w:r>
        <w:rPr>
          <w:lang w:val="pl"/>
        </w:rPr>
        <w:t>. Patrz komunikaty prasowe wydane przez Kanclerza Trybunału 16 marca i 9 kwietnia 2020 r.</w:t>
      </w:r>
    </w:p>
  </w:footnote>
  <w:footnote w:id="8">
    <w:p w:rsidR="0093676E" w:rsidRPr="000625F6" w:rsidRDefault="0093676E" w:rsidP="00017BF0">
      <w:pPr>
        <w:pStyle w:val="Stopka1"/>
        <w:jc w:val="both"/>
        <w:rPr>
          <w:lang w:val="pl-PL"/>
        </w:rPr>
      </w:pPr>
      <w:r>
        <w:rPr>
          <w:lang w:val="pl"/>
        </w:rPr>
        <w:footnoteRef/>
      </w:r>
      <w:r>
        <w:rPr>
          <w:lang w:val="pl"/>
        </w:rPr>
        <w:t>. Skargi „anonimowe” w rozumieniu art. 35 ust. 2 lit. a Konwencji należy odróżnić od przypadków nieujawnienia publicznie tożsamości skarżącego w drodze odstępstwa od standardowej zasady publicznego dostępu do informacji w postępowaniu przed Trybunałem oraz od kwestii zachowania poufności przed Trybunałem (patrz Reguły 33 i 47 § 4</w:t>
      </w:r>
      <w:hyperlink r:id="rId4" w:history="1">
        <w:r>
          <w:rPr>
            <w:lang w:val="pl"/>
          </w:rPr>
          <w:t xml:space="preserve"> </w:t>
        </w:r>
        <w:r>
          <w:rPr>
            <w:color w:val="0072BC"/>
            <w:lang w:val="pl"/>
          </w:rPr>
          <w:t xml:space="preserve">Regulaminu Trybunału </w:t>
        </w:r>
      </w:hyperlink>
      <w:r>
        <w:rPr>
          <w:lang w:val="pl"/>
        </w:rPr>
        <w:t>oraz załączona do niego Instrukcja dotycząca praktyki).</w:t>
      </w:r>
    </w:p>
  </w:footnote>
  <w:footnote w:id="9">
    <w:p w:rsidR="0093676E" w:rsidRPr="000625F6" w:rsidRDefault="0093676E">
      <w:pPr>
        <w:pStyle w:val="Stopka1"/>
        <w:jc w:val="both"/>
        <w:rPr>
          <w:lang w:val="pl-PL"/>
        </w:rPr>
      </w:pPr>
      <w:r>
        <w:rPr>
          <w:lang w:val="pl"/>
        </w:rPr>
        <w:footnoteRef/>
      </w:r>
      <w:r>
        <w:rPr>
          <w:lang w:val="pl"/>
        </w:rPr>
        <w:t>. Patrz</w:t>
      </w:r>
      <w:hyperlink r:id="rId5" w:history="1">
        <w:r>
          <w:rPr>
            <w:lang w:val="pl"/>
          </w:rPr>
          <w:t xml:space="preserve"> </w:t>
        </w:r>
        <w:r>
          <w:rPr>
            <w:color w:val="0072BC"/>
            <w:lang w:val="pl"/>
          </w:rPr>
          <w:t>Przewodnik na temat art. 1 Konwencji</w:t>
        </w:r>
        <w:r>
          <w:rPr>
            <w:lang w:val="pl"/>
          </w:rPr>
          <w:t>.</w:t>
        </w:r>
      </w:hyperlink>
    </w:p>
  </w:footnote>
  <w:footnote w:id="10">
    <w:p w:rsidR="0093676E" w:rsidRPr="000625F6" w:rsidRDefault="0093676E">
      <w:pPr>
        <w:pStyle w:val="Stopka1"/>
        <w:rPr>
          <w:lang w:val="pl-PL"/>
        </w:rPr>
      </w:pPr>
      <w:r>
        <w:rPr>
          <w:lang w:val="pl"/>
        </w:rPr>
        <w:footnoteRef/>
      </w:r>
      <w:r>
        <w:rPr>
          <w:lang w:val="pl"/>
        </w:rPr>
        <w:t>. Patrz dział</w:t>
      </w:r>
      <w:hyperlink w:anchor="bookmark233" w:tooltip="Bieżący dokument">
        <w:r>
          <w:rPr>
            <w:lang w:val="pl"/>
          </w:rPr>
          <w:t xml:space="preserve"> Jurysdykcja.</w:t>
        </w:r>
      </w:hyperlink>
    </w:p>
  </w:footnote>
  <w:footnote w:id="11">
    <w:p w:rsidR="0093676E" w:rsidRPr="000625F6" w:rsidRDefault="0093676E">
      <w:pPr>
        <w:pStyle w:val="Stopka1"/>
        <w:jc w:val="both"/>
        <w:rPr>
          <w:lang w:val="pl-PL"/>
        </w:rPr>
      </w:pPr>
      <w:r>
        <w:rPr>
          <w:lang w:val="pl"/>
        </w:rPr>
        <w:footnoteRef/>
      </w:r>
      <w:r>
        <w:rPr>
          <w:lang w:val="pl"/>
        </w:rPr>
        <w:t>. Patrz</w:t>
      </w:r>
      <w:hyperlink r:id="rId6" w:history="1">
        <w:r>
          <w:rPr>
            <w:lang w:val="pl"/>
          </w:rPr>
          <w:t xml:space="preserve"> </w:t>
        </w:r>
        <w:r>
          <w:rPr>
            <w:color w:val="0072BC"/>
            <w:lang w:val="pl"/>
          </w:rPr>
          <w:t>Przewodnik na temat art. 1 Konwencji.</w:t>
        </w:r>
      </w:hyperlink>
    </w:p>
  </w:footnote>
  <w:footnote w:id="12">
    <w:p w:rsidR="0093676E" w:rsidRPr="000625F6" w:rsidRDefault="0093676E">
      <w:pPr>
        <w:pStyle w:val="Stopka1"/>
        <w:jc w:val="both"/>
        <w:rPr>
          <w:lang w:val="pl-PL"/>
        </w:rPr>
      </w:pPr>
      <w:r>
        <w:rPr>
          <w:lang w:val="pl"/>
        </w:rPr>
        <w:footnoteRef/>
      </w:r>
      <w:r>
        <w:rPr>
          <w:lang w:val="pl"/>
        </w:rPr>
        <w:t>. Więcej informacji można znaleźć w przewodnikach po orzecznictwie na temat</w:t>
      </w:r>
      <w:hyperlink r:id="rId7" w:history="1">
        <w:r>
          <w:rPr>
            <w:lang w:val="pl"/>
          </w:rPr>
          <w:t xml:space="preserve"> </w:t>
        </w:r>
        <w:r>
          <w:rPr>
            <w:color w:val="0072BC"/>
            <w:lang w:val="pl"/>
          </w:rPr>
          <w:t xml:space="preserve">cywilnego </w:t>
        </w:r>
      </w:hyperlink>
      <w:r>
        <w:rPr>
          <w:lang w:val="pl"/>
        </w:rPr>
        <w:t>i</w:t>
      </w:r>
      <w:hyperlink r:id="rId8" w:history="1">
        <w:r>
          <w:rPr>
            <w:lang w:val="pl"/>
          </w:rPr>
          <w:t xml:space="preserve"> </w:t>
        </w:r>
        <w:r>
          <w:rPr>
            <w:color w:val="0072BC"/>
            <w:lang w:val="pl"/>
          </w:rPr>
          <w:t xml:space="preserve">karnego </w:t>
        </w:r>
      </w:hyperlink>
      <w:r>
        <w:rPr>
          <w:lang w:val="pl"/>
        </w:rPr>
        <w:t>aspektu art. 6 Konwencji.</w:t>
      </w:r>
    </w:p>
  </w:footnote>
  <w:footnote w:id="13">
    <w:p w:rsidR="0093676E" w:rsidRPr="000625F6" w:rsidRDefault="0093676E">
      <w:pPr>
        <w:pStyle w:val="Stopka1"/>
        <w:jc w:val="both"/>
        <w:rPr>
          <w:lang w:val="pl-PL"/>
        </w:rPr>
      </w:pPr>
      <w:r>
        <w:rPr>
          <w:lang w:val="pl"/>
        </w:rPr>
        <w:footnoteRef/>
      </w:r>
      <w:r>
        <w:rPr>
          <w:lang w:val="pl"/>
        </w:rPr>
        <w:t>. Artykuł 5 Protokołu nr 15: „W Artykule 35 ustęp 3 punkt b) Konwencji usuwa się wyrazy »oraz pod warunkiem, że żadna sprawa, która nie została należycie rozpatrzona przez sąd krajowy, nie może być odrzucona na tej podstawie«”.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6E" w:rsidRDefault="0093676E">
    <w:pPr>
      <w:spacing w:line="1" w:lineRule="exact"/>
    </w:pPr>
    <w:r>
      <w:rPr>
        <w:noProof/>
        <w:lang w:val="en-GB" w:eastAsia="en-GB" w:bidi="ar-SA"/>
      </w:rPr>
      <mc:AlternateContent>
        <mc:Choice Requires="wps">
          <w:drawing>
            <wp:anchor distT="0" distB="0" distL="0" distR="0" simplePos="0" relativeHeight="62914690" behindDoc="1" locked="0" layoutInCell="1" allowOverlap="1">
              <wp:simplePos x="0" y="0"/>
              <wp:positionH relativeFrom="margin">
                <wp:align>center</wp:align>
              </wp:positionH>
              <wp:positionV relativeFrom="page">
                <wp:posOffset>329460</wp:posOffset>
              </wp:positionV>
              <wp:extent cx="195961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1959610" cy="109855"/>
                      </a:xfrm>
                      <a:prstGeom prst="rect">
                        <a:avLst/>
                      </a:prstGeom>
                      <a:noFill/>
                    </wps:spPr>
                    <wps:txbx>
                      <w:txbxContent>
                        <w:p w:rsidR="0093676E" w:rsidRPr="006221DF" w:rsidRDefault="0093676E">
                          <w:pPr>
                            <w:pStyle w:val="Nagweklubstopka20"/>
                            <w:rPr>
                              <w:lang w:val="pl-PL"/>
                            </w:rPr>
                          </w:pPr>
                          <w:r>
                            <w:rPr>
                              <w:rFonts w:ascii="Calibri" w:eastAsia="Calibri" w:hAnsi="Calibri" w:cs="Calibri"/>
                              <w:lang w:val="pl"/>
                            </w:rPr>
                            <w:t>Praktyczny przewodnik w sprawie kryteriów dopuszczalności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0;margin-top:25.95pt;width:154.3pt;height:8.65pt;z-index:-440401790;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ElAEAACIDAAAOAAAAZHJzL2Uyb0RvYy54bWysUsFOwzAMvSPxD1HurB1oi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" filled="f" stroked="f">
              <v:textbox style="mso-fit-shape-to-text:t" inset="0,0,0,0">
                <w:txbxContent>
                  <w:p w:rsidR="0093676E" w:rsidRPr="006221DF" w:rsidRDefault="0093676E">
                    <w:pPr>
                      <w:pStyle w:val="Nagweklubstopka20"/>
                      <w:rPr>
                        <w:lang w:val="pl-PL"/>
                      </w:rPr>
                    </w:pPr>
                    <w:r>
                      <w:rPr>
                        <w:rFonts w:ascii="Calibri" w:eastAsia="Calibri" w:hAnsi="Calibri" w:cs="Calibri"/>
                        <w:lang w:val="pl"/>
                      </w:rPr>
                      <w:t>Praktyczny przewodnik w sprawie kryteriów dopuszczalności</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5B"/>
    <w:multiLevelType w:val="multilevel"/>
    <w:tmpl w:val="E962FC22"/>
    <w:lvl w:ilvl="0">
      <w:start w:val="14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8945E8"/>
    <w:multiLevelType w:val="multilevel"/>
    <w:tmpl w:val="1ABE4112"/>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2B732E"/>
    <w:multiLevelType w:val="multilevel"/>
    <w:tmpl w:val="07ACB132"/>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52CCD"/>
    <w:multiLevelType w:val="multilevel"/>
    <w:tmpl w:val="DB68C3AC"/>
    <w:lvl w:ilvl="0">
      <w:start w:val="11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7EC26D0"/>
    <w:multiLevelType w:val="multilevel"/>
    <w:tmpl w:val="64E04D08"/>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97B82"/>
    <w:multiLevelType w:val="multilevel"/>
    <w:tmpl w:val="262E3EE8"/>
    <w:lvl w:ilvl="0">
      <w:start w:val="165"/>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A5932A2"/>
    <w:multiLevelType w:val="multilevel"/>
    <w:tmpl w:val="EA624178"/>
    <w:lvl w:ilvl="0">
      <w:start w:val="24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AE94DCB"/>
    <w:multiLevelType w:val="multilevel"/>
    <w:tmpl w:val="767CF090"/>
    <w:lvl w:ilvl="0">
      <w:start w:val="2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861AD"/>
    <w:multiLevelType w:val="multilevel"/>
    <w:tmpl w:val="DB1A0894"/>
    <w:lvl w:ilvl="0">
      <w:start w:val="15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DE24A57"/>
    <w:multiLevelType w:val="multilevel"/>
    <w:tmpl w:val="6FA6CC30"/>
    <w:lvl w:ilvl="0">
      <w:start w:val="6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8A005C"/>
    <w:multiLevelType w:val="multilevel"/>
    <w:tmpl w:val="109A2D0C"/>
    <w:lvl w:ilvl="0">
      <w:start w:val="57"/>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313D03"/>
    <w:multiLevelType w:val="multilevel"/>
    <w:tmpl w:val="38046FC4"/>
    <w:lvl w:ilvl="0">
      <w:start w:val="158"/>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1773C11"/>
    <w:multiLevelType w:val="multilevel"/>
    <w:tmpl w:val="669A7B5A"/>
    <w:lvl w:ilvl="0">
      <w:start w:val="21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1CE38B5"/>
    <w:multiLevelType w:val="multilevel"/>
    <w:tmpl w:val="4B14CCEA"/>
    <w:lvl w:ilvl="0">
      <w:start w:val="4"/>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6A2680"/>
    <w:multiLevelType w:val="multilevel"/>
    <w:tmpl w:val="58E4BDB8"/>
    <w:lvl w:ilvl="0">
      <w:start w:val="2"/>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7B143A"/>
    <w:multiLevelType w:val="multilevel"/>
    <w:tmpl w:val="3410C4D6"/>
    <w:lvl w:ilvl="0">
      <w:start w:val="8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F2606A"/>
    <w:multiLevelType w:val="multilevel"/>
    <w:tmpl w:val="1968EC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246696"/>
    <w:multiLevelType w:val="hybridMultilevel"/>
    <w:tmpl w:val="5D506150"/>
    <w:lvl w:ilvl="0" w:tplc="2E20D8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A522B5"/>
    <w:multiLevelType w:val="multilevel"/>
    <w:tmpl w:val="572E08D6"/>
    <w:lvl w:ilvl="0">
      <w:start w:val="7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FA6BC7"/>
    <w:multiLevelType w:val="multilevel"/>
    <w:tmpl w:val="DE12D53C"/>
    <w:lvl w:ilvl="0">
      <w:start w:val="9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C41F4E"/>
    <w:multiLevelType w:val="multilevel"/>
    <w:tmpl w:val="8B280E20"/>
    <w:lvl w:ilvl="0">
      <w:start w:val="16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7E57495"/>
    <w:multiLevelType w:val="multilevel"/>
    <w:tmpl w:val="82E2A6B6"/>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55090C"/>
    <w:multiLevelType w:val="multilevel"/>
    <w:tmpl w:val="3CDC4B06"/>
    <w:lvl w:ilvl="0">
      <w:start w:val="20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A091227"/>
    <w:multiLevelType w:val="multilevel"/>
    <w:tmpl w:val="1E70FA9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2742A4"/>
    <w:multiLevelType w:val="multilevel"/>
    <w:tmpl w:val="7D2C6AD2"/>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4C54C2"/>
    <w:multiLevelType w:val="multilevel"/>
    <w:tmpl w:val="CD5C01AE"/>
    <w:lvl w:ilvl="0">
      <w:start w:val="268"/>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1FF541B6"/>
    <w:multiLevelType w:val="multilevel"/>
    <w:tmpl w:val="516E61D0"/>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571FF3"/>
    <w:multiLevelType w:val="multilevel"/>
    <w:tmpl w:val="D03E7262"/>
    <w:lvl w:ilvl="0">
      <w:start w:val="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821C5F"/>
    <w:multiLevelType w:val="multilevel"/>
    <w:tmpl w:val="16E224FA"/>
    <w:lvl w:ilvl="0">
      <w:start w:val="15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2DA422C"/>
    <w:multiLevelType w:val="multilevel"/>
    <w:tmpl w:val="C0BA2E9A"/>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F95A40"/>
    <w:multiLevelType w:val="multilevel"/>
    <w:tmpl w:val="5352DCBC"/>
    <w:lvl w:ilvl="0">
      <w:start w:val="19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6EA0800"/>
    <w:multiLevelType w:val="multilevel"/>
    <w:tmpl w:val="DC94B31E"/>
    <w:lvl w:ilvl="0">
      <w:start w:val="170"/>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27D5546B"/>
    <w:multiLevelType w:val="multilevel"/>
    <w:tmpl w:val="EAB0152A"/>
    <w:styleLink w:val="ECHRA1StyleList"/>
    <w:lvl w:ilvl="0">
      <w:start w:val="1"/>
      <w:numFmt w:val="decimal"/>
      <w:pStyle w:val="ECHRList1"/>
      <w:lvlText w:val="%1."/>
      <w:lvlJc w:val="left"/>
      <w:pPr>
        <w:tabs>
          <w:tab w:val="num" w:pos="397"/>
        </w:tabs>
        <w:ind w:left="397" w:hanging="397"/>
      </w:pPr>
      <w:rPr>
        <w:rFonts w:hint="default"/>
      </w:rPr>
    </w:lvl>
    <w:lvl w:ilvl="1">
      <w:start w:val="1"/>
      <w:numFmt w:val="lowerLetter"/>
      <w:pStyle w:val="ECHRList2"/>
      <w:lvlText w:val="%2."/>
      <w:lvlJc w:val="left"/>
      <w:pPr>
        <w:tabs>
          <w:tab w:val="num" w:pos="794"/>
        </w:tabs>
        <w:ind w:left="794" w:hanging="397"/>
      </w:pPr>
      <w:rPr>
        <w:rFonts w:hint="default"/>
      </w:rPr>
    </w:lvl>
    <w:lvl w:ilvl="2">
      <w:start w:val="1"/>
      <w:numFmt w:val="lowerRoman"/>
      <w:pStyle w:val="ECHRList3"/>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85E6A40"/>
    <w:multiLevelType w:val="multilevel"/>
    <w:tmpl w:val="EAB0152A"/>
    <w:numStyleLink w:val="ECHRA1StyleList"/>
  </w:abstractNum>
  <w:abstractNum w:abstractNumId="34" w15:restartNumberingAfterBreak="0">
    <w:nsid w:val="28F15784"/>
    <w:multiLevelType w:val="multilevel"/>
    <w:tmpl w:val="82765F06"/>
    <w:lvl w:ilvl="0">
      <w:start w:val="140"/>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A6C30D9"/>
    <w:multiLevelType w:val="multilevel"/>
    <w:tmpl w:val="6AFA707E"/>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AF375DC"/>
    <w:multiLevelType w:val="multilevel"/>
    <w:tmpl w:val="94A4F132"/>
    <w:lvl w:ilvl="0">
      <w:start w:val="277"/>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B157425"/>
    <w:multiLevelType w:val="multilevel"/>
    <w:tmpl w:val="A6AA3664"/>
    <w:lvl w:ilvl="0">
      <w:start w:val="13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2D211472"/>
    <w:multiLevelType w:val="multilevel"/>
    <w:tmpl w:val="15FCD618"/>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821A4D"/>
    <w:multiLevelType w:val="multilevel"/>
    <w:tmpl w:val="6CCC316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173465"/>
    <w:multiLevelType w:val="multilevel"/>
    <w:tmpl w:val="641AA618"/>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21248F"/>
    <w:multiLevelType w:val="multilevel"/>
    <w:tmpl w:val="616E12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03355F5"/>
    <w:multiLevelType w:val="multilevel"/>
    <w:tmpl w:val="B3E4D1D0"/>
    <w:lvl w:ilvl="0">
      <w:start w:val="27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089433B"/>
    <w:multiLevelType w:val="multilevel"/>
    <w:tmpl w:val="A9A4A376"/>
    <w:lvl w:ilvl="0">
      <w:start w:val="138"/>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2D25145"/>
    <w:multiLevelType w:val="multilevel"/>
    <w:tmpl w:val="2D28E134"/>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C362FD"/>
    <w:multiLevelType w:val="multilevel"/>
    <w:tmpl w:val="C57CC814"/>
    <w:lvl w:ilvl="0">
      <w:start w:val="8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63E3376"/>
    <w:multiLevelType w:val="multilevel"/>
    <w:tmpl w:val="0E867B42"/>
    <w:lvl w:ilvl="0">
      <w:start w:val="264"/>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90701ED"/>
    <w:multiLevelType w:val="multilevel"/>
    <w:tmpl w:val="21D2C596"/>
    <w:lvl w:ilvl="0">
      <w:start w:val="3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9D864EA"/>
    <w:multiLevelType w:val="multilevel"/>
    <w:tmpl w:val="4E2A370C"/>
    <w:lvl w:ilvl="0">
      <w:start w:val="2"/>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6212B7"/>
    <w:multiLevelType w:val="multilevel"/>
    <w:tmpl w:val="5CD00A28"/>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7045BC"/>
    <w:multiLevelType w:val="multilevel"/>
    <w:tmpl w:val="F214AA66"/>
    <w:lvl w:ilvl="0">
      <w:start w:val="32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7047E9"/>
    <w:multiLevelType w:val="multilevel"/>
    <w:tmpl w:val="F66E740E"/>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D605461"/>
    <w:multiLevelType w:val="multilevel"/>
    <w:tmpl w:val="CB6224B8"/>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DE077CD"/>
    <w:multiLevelType w:val="multilevel"/>
    <w:tmpl w:val="8B909F2C"/>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B3D3D"/>
    <w:multiLevelType w:val="multilevel"/>
    <w:tmpl w:val="0C86F150"/>
    <w:lvl w:ilvl="0">
      <w:start w:val="9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6B5801"/>
    <w:multiLevelType w:val="multilevel"/>
    <w:tmpl w:val="2BC8E40E"/>
    <w:styleLink w:val="ECHRA1StyleNumberedList"/>
    <w:lvl w:ilvl="0">
      <w:start w:val="1"/>
      <w:numFmt w:val="upperRoman"/>
      <w:suff w:val="nothing"/>
      <w:lvlText w:val="%1.  "/>
      <w:lvlJc w:val="left"/>
      <w:pPr>
        <w:ind w:left="340" w:hanging="340"/>
      </w:pPr>
      <w:rPr>
        <w:rFonts w:hint="default"/>
      </w:rPr>
    </w:lvl>
    <w:lvl w:ilvl="1">
      <w:start w:val="1"/>
      <w:numFmt w:val="upperLetter"/>
      <w:suff w:val="nothing"/>
      <w:lvlText w:val="%2.  "/>
      <w:lvlJc w:val="left"/>
      <w:pPr>
        <w:ind w:left="397" w:hanging="397"/>
      </w:pPr>
      <w:rPr>
        <w:rFonts w:hint="default"/>
      </w:rPr>
    </w:lvl>
    <w:lvl w:ilvl="2">
      <w:start w:val="1"/>
      <w:numFmt w:val="decimal"/>
      <w:suff w:val="nothing"/>
      <w:lvlText w:val="%3.  "/>
      <w:lvlJc w:val="left"/>
      <w:pPr>
        <w:ind w:left="908" w:hanging="340"/>
      </w:pPr>
      <w:rPr>
        <w:rFonts w:hint="default"/>
      </w:rPr>
    </w:lvl>
    <w:lvl w:ilvl="3">
      <w:start w:val="1"/>
      <w:numFmt w:val="lowerLetter"/>
      <w:suff w:val="nothing"/>
      <w:lvlText w:val="%4.  "/>
      <w:lvlJc w:val="left"/>
      <w:pPr>
        <w:ind w:left="340" w:hanging="340"/>
      </w:pPr>
      <w:rPr>
        <w:rFonts w:hint="default"/>
      </w:rPr>
    </w:lvl>
    <w:lvl w:ilvl="4">
      <w:start w:val="1"/>
      <w:numFmt w:val="lowerRoman"/>
      <w:pStyle w:val="ECHRHeading6"/>
      <w:suff w:val="nothing"/>
      <w:lvlText w:val="%5.  "/>
      <w:lvlJc w:val="left"/>
      <w:pPr>
        <w:ind w:left="227" w:hanging="227"/>
      </w:pPr>
      <w:rPr>
        <w:rFonts w:hint="default"/>
      </w:rPr>
    </w:lvl>
    <w:lvl w:ilvl="5">
      <w:start w:val="1"/>
      <w:numFmt w:val="lowerLetter"/>
      <w:pStyle w:val="ECHRHeading7"/>
      <w:suff w:val="nothing"/>
      <w:lvlText w:val="%6  "/>
      <w:lvlJc w:val="left"/>
      <w:pPr>
        <w:ind w:left="284" w:hanging="284"/>
      </w:pPr>
      <w:rPr>
        <w:rFonts w:ascii="Symbol" w:hAnsi="Symbol" w:hint="default"/>
      </w:rPr>
    </w:lvl>
    <w:lvl w:ilvl="6">
      <w:start w:val="1"/>
      <w:numFmt w:val="bullet"/>
      <w:pStyle w:val="ECHRHeading7"/>
      <w:suff w:val="space"/>
      <w:lvlText w:val=""/>
      <w:lvlJc w:val="left"/>
      <w:pPr>
        <w:ind w:left="170" w:hanging="170"/>
      </w:pPr>
      <w:rPr>
        <w:rFonts w:ascii="Wingdings" w:hAnsi="Wingdings" w:hint="default"/>
        <w:color w:val="2F5496" w:themeColor="accent5" w:themeShade="BF"/>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A0711"/>
    <w:multiLevelType w:val="multilevel"/>
    <w:tmpl w:val="E1D69190"/>
    <w:lvl w:ilvl="0">
      <w:start w:val="27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3834382"/>
    <w:multiLevelType w:val="multilevel"/>
    <w:tmpl w:val="328E00C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454081F"/>
    <w:multiLevelType w:val="multilevel"/>
    <w:tmpl w:val="8998ECA4"/>
    <w:lvl w:ilvl="0">
      <w:start w:val="9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FD5A99"/>
    <w:multiLevelType w:val="multilevel"/>
    <w:tmpl w:val="CE8ED00C"/>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6840A49"/>
    <w:multiLevelType w:val="multilevel"/>
    <w:tmpl w:val="9A6C9628"/>
    <w:lvl w:ilvl="0">
      <w:start w:val="4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25072D"/>
    <w:multiLevelType w:val="multilevel"/>
    <w:tmpl w:val="0CBAA81C"/>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989571C"/>
    <w:multiLevelType w:val="multilevel"/>
    <w:tmpl w:val="F2F2E578"/>
    <w:styleLink w:val="ECHRA1StyleBulletedSquare"/>
    <w:lvl w:ilvl="0">
      <w:start w:val="1"/>
      <w:numFmt w:val="bullet"/>
      <w:pStyle w:val="ECHRBullet1"/>
      <w:lvlText w:val=""/>
      <w:lvlJc w:val="left"/>
      <w:pPr>
        <w:tabs>
          <w:tab w:val="num" w:pos="4537"/>
        </w:tabs>
        <w:ind w:left="4537"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4472C4"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63" w15:restartNumberingAfterBreak="0">
    <w:nsid w:val="4A3A5ECE"/>
    <w:multiLevelType w:val="multilevel"/>
    <w:tmpl w:val="EA2C5B8A"/>
    <w:lvl w:ilvl="0">
      <w:start w:val="248"/>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EEF6168"/>
    <w:multiLevelType w:val="multilevel"/>
    <w:tmpl w:val="440E2BDE"/>
    <w:lvl w:ilvl="0">
      <w:start w:val="3"/>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EFC54E2"/>
    <w:multiLevelType w:val="multilevel"/>
    <w:tmpl w:val="636ECB22"/>
    <w:lvl w:ilvl="0">
      <w:start w:val="130"/>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516F48F2"/>
    <w:multiLevelType w:val="multilevel"/>
    <w:tmpl w:val="263AD766"/>
    <w:lvl w:ilvl="0">
      <w:start w:val="17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51AA37AA"/>
    <w:multiLevelType w:val="multilevel"/>
    <w:tmpl w:val="43884EFA"/>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3411ED4"/>
    <w:multiLevelType w:val="multilevel"/>
    <w:tmpl w:val="A314B79E"/>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9130AB"/>
    <w:multiLevelType w:val="multilevel"/>
    <w:tmpl w:val="AEE637C4"/>
    <w:lvl w:ilvl="0">
      <w:start w:val="1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77D2190"/>
    <w:multiLevelType w:val="multilevel"/>
    <w:tmpl w:val="9E442E04"/>
    <w:lvl w:ilvl="0">
      <w:start w:val="7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846362D"/>
    <w:multiLevelType w:val="multilevel"/>
    <w:tmpl w:val="9AAAFC98"/>
    <w:lvl w:ilvl="0">
      <w:start w:val="25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58C707F2"/>
    <w:multiLevelType w:val="multilevel"/>
    <w:tmpl w:val="99D634C4"/>
    <w:lvl w:ilvl="0">
      <w:start w:val="125"/>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A5D79A2"/>
    <w:multiLevelType w:val="multilevel"/>
    <w:tmpl w:val="B22822F4"/>
    <w:lvl w:ilvl="0">
      <w:start w:val="15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5A67647B"/>
    <w:multiLevelType w:val="multilevel"/>
    <w:tmpl w:val="890032D6"/>
    <w:lvl w:ilvl="0">
      <w:start w:val="31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5BA754BF"/>
    <w:multiLevelType w:val="multilevel"/>
    <w:tmpl w:val="19289C40"/>
    <w:lvl w:ilvl="0">
      <w:start w:val="16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5C061D98"/>
    <w:multiLevelType w:val="multilevel"/>
    <w:tmpl w:val="ECA86A50"/>
    <w:lvl w:ilvl="0">
      <w:start w:val="14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EF23C67"/>
    <w:multiLevelType w:val="multilevel"/>
    <w:tmpl w:val="1D64DF62"/>
    <w:lvl w:ilvl="0">
      <w:start w:val="333"/>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EFC3577"/>
    <w:multiLevelType w:val="multilevel"/>
    <w:tmpl w:val="97CE56A2"/>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F285C28"/>
    <w:multiLevelType w:val="multilevel"/>
    <w:tmpl w:val="BB204904"/>
    <w:lvl w:ilvl="0">
      <w:start w:val="135"/>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5F3F418B"/>
    <w:multiLevelType w:val="multilevel"/>
    <w:tmpl w:val="5F84C4E4"/>
    <w:lvl w:ilvl="0">
      <w:start w:val="6"/>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80E2FCB"/>
    <w:multiLevelType w:val="multilevel"/>
    <w:tmpl w:val="6EEA60E2"/>
    <w:lvl w:ilvl="0">
      <w:start w:val="8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886B6E"/>
    <w:multiLevelType w:val="multilevel"/>
    <w:tmpl w:val="364C73BA"/>
    <w:lvl w:ilvl="0">
      <w:start w:val="31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6D936B53"/>
    <w:multiLevelType w:val="multilevel"/>
    <w:tmpl w:val="93E2C95E"/>
    <w:lvl w:ilvl="0">
      <w:start w:val="28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6E5D2BDC"/>
    <w:multiLevelType w:val="multilevel"/>
    <w:tmpl w:val="CAB62640"/>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5F66A1"/>
    <w:multiLevelType w:val="multilevel"/>
    <w:tmpl w:val="021A178C"/>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0C4CC5"/>
    <w:multiLevelType w:val="multilevel"/>
    <w:tmpl w:val="D586F3F6"/>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0F003A4"/>
    <w:multiLevelType w:val="multilevel"/>
    <w:tmpl w:val="414C5024"/>
    <w:lvl w:ilvl="0">
      <w:start w:val="258"/>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8" w15:restartNumberingAfterBreak="0">
    <w:nsid w:val="70FB0C7E"/>
    <w:multiLevelType w:val="multilevel"/>
    <w:tmpl w:val="ED1CE7D6"/>
    <w:lvl w:ilvl="0">
      <w:start w:val="95"/>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102196C"/>
    <w:multiLevelType w:val="multilevel"/>
    <w:tmpl w:val="FD9E19CA"/>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28532A7"/>
    <w:multiLevelType w:val="multilevel"/>
    <w:tmpl w:val="16DEA7D6"/>
    <w:lvl w:ilvl="0">
      <w:start w:val="30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72CA0582"/>
    <w:multiLevelType w:val="multilevel"/>
    <w:tmpl w:val="391C4A28"/>
    <w:lvl w:ilvl="0">
      <w:start w:val="269"/>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73210F7F"/>
    <w:multiLevelType w:val="multilevel"/>
    <w:tmpl w:val="4C582F34"/>
    <w:lvl w:ilvl="0">
      <w:start w:val="34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7396190F"/>
    <w:multiLevelType w:val="multilevel"/>
    <w:tmpl w:val="109442F4"/>
    <w:lvl w:ilvl="0">
      <w:start w:val="31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4" w15:restartNumberingAfterBreak="0">
    <w:nsid w:val="73D86394"/>
    <w:multiLevelType w:val="multilevel"/>
    <w:tmpl w:val="F2E26E66"/>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4E047C"/>
    <w:multiLevelType w:val="multilevel"/>
    <w:tmpl w:val="8B3E6FB0"/>
    <w:lvl w:ilvl="0">
      <w:start w:val="1"/>
      <w:numFmt w:val="bullet"/>
      <w:lvlText w:val=""/>
      <w:lvlJc w:val="left"/>
      <w:rPr>
        <w:rFonts w:ascii="Calibri" w:eastAsia="Calibri" w:hAnsi="Calibri" w:cs="Calibri"/>
        <w:b w:val="0"/>
        <w:bCs w:val="0"/>
        <w:i/>
        <w:iCs/>
        <w:smallCaps w:val="0"/>
        <w:strike w:val="0"/>
        <w:color w:val="0072BC"/>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D9597F"/>
    <w:multiLevelType w:val="multilevel"/>
    <w:tmpl w:val="150480EA"/>
    <w:lvl w:ilvl="0">
      <w:start w:val="33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76027519"/>
    <w:multiLevelType w:val="multilevel"/>
    <w:tmpl w:val="34504C88"/>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6340834"/>
    <w:multiLevelType w:val="multilevel"/>
    <w:tmpl w:val="332813B4"/>
    <w:lvl w:ilvl="0">
      <w:start w:val="255"/>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76F444AF"/>
    <w:multiLevelType w:val="multilevel"/>
    <w:tmpl w:val="3D44C252"/>
    <w:lvl w:ilvl="0">
      <w:start w:val="195"/>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6FD115B"/>
    <w:multiLevelType w:val="multilevel"/>
    <w:tmpl w:val="47C259B0"/>
    <w:lvl w:ilvl="0">
      <w:start w:val="29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77391B03"/>
    <w:multiLevelType w:val="multilevel"/>
    <w:tmpl w:val="F5020BE8"/>
    <w:lvl w:ilvl="0">
      <w:start w:val="18"/>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874E8B"/>
    <w:multiLevelType w:val="multilevel"/>
    <w:tmpl w:val="D20CC6CA"/>
    <w:lvl w:ilvl="0">
      <w:start w:val="180"/>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78356CF3"/>
    <w:multiLevelType w:val="multilevel"/>
    <w:tmpl w:val="E79C0894"/>
    <w:lvl w:ilvl="0">
      <w:start w:val="1"/>
      <w:numFmt w:val="bullet"/>
      <w:lvlText w:val="■"/>
      <w:lvlJc w:val="left"/>
      <w:rPr>
        <w:rFonts w:ascii="Arial" w:eastAsia="Arial" w:hAnsi="Arial" w:cs="Arial"/>
        <w:b/>
        <w:bCs/>
        <w:i w:val="0"/>
        <w:iCs w:val="0"/>
        <w:smallCaps w:val="0"/>
        <w:strike w:val="0"/>
        <w:color w:val="0072BC"/>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85057F7"/>
    <w:multiLevelType w:val="multilevel"/>
    <w:tmpl w:val="C802AFE4"/>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115898"/>
    <w:multiLevelType w:val="multilevel"/>
    <w:tmpl w:val="EFD09E04"/>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C5D5FC1"/>
    <w:multiLevelType w:val="multilevel"/>
    <w:tmpl w:val="7EB8F3D6"/>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D323E5C"/>
    <w:multiLevelType w:val="multilevel"/>
    <w:tmpl w:val="81FC3556"/>
    <w:lvl w:ilvl="0">
      <w:start w:val="156"/>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7DAB52C7"/>
    <w:multiLevelType w:val="multilevel"/>
    <w:tmpl w:val="A9665C68"/>
    <w:lvl w:ilvl="0">
      <w:start w:val="93"/>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E2A68F4"/>
    <w:multiLevelType w:val="multilevel"/>
    <w:tmpl w:val="8CC49CA2"/>
    <w:lvl w:ilvl="0">
      <w:start w:val="272"/>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6"/>
  </w:num>
  <w:num w:numId="2">
    <w:abstractNumId w:val="40"/>
  </w:num>
  <w:num w:numId="3">
    <w:abstractNumId w:val="35"/>
  </w:num>
  <w:num w:numId="4">
    <w:abstractNumId w:val="106"/>
  </w:num>
  <w:num w:numId="5">
    <w:abstractNumId w:val="1"/>
  </w:num>
  <w:num w:numId="6">
    <w:abstractNumId w:val="69"/>
  </w:num>
  <w:num w:numId="7">
    <w:abstractNumId w:val="101"/>
  </w:num>
  <w:num w:numId="8">
    <w:abstractNumId w:val="29"/>
  </w:num>
  <w:num w:numId="9">
    <w:abstractNumId w:val="7"/>
  </w:num>
  <w:num w:numId="10">
    <w:abstractNumId w:val="47"/>
  </w:num>
  <w:num w:numId="11">
    <w:abstractNumId w:val="60"/>
  </w:num>
  <w:num w:numId="12">
    <w:abstractNumId w:val="10"/>
  </w:num>
  <w:num w:numId="13">
    <w:abstractNumId w:val="59"/>
  </w:num>
  <w:num w:numId="14">
    <w:abstractNumId w:val="9"/>
  </w:num>
  <w:num w:numId="15">
    <w:abstractNumId w:val="84"/>
  </w:num>
  <w:num w:numId="16">
    <w:abstractNumId w:val="18"/>
  </w:num>
  <w:num w:numId="17">
    <w:abstractNumId w:val="51"/>
  </w:num>
  <w:num w:numId="18">
    <w:abstractNumId w:val="70"/>
  </w:num>
  <w:num w:numId="19">
    <w:abstractNumId w:val="15"/>
  </w:num>
  <w:num w:numId="20">
    <w:abstractNumId w:val="97"/>
  </w:num>
  <w:num w:numId="21">
    <w:abstractNumId w:val="45"/>
  </w:num>
  <w:num w:numId="22">
    <w:abstractNumId w:val="81"/>
  </w:num>
  <w:num w:numId="23">
    <w:abstractNumId w:val="19"/>
  </w:num>
  <w:num w:numId="24">
    <w:abstractNumId w:val="108"/>
  </w:num>
  <w:num w:numId="25">
    <w:abstractNumId w:val="58"/>
  </w:num>
  <w:num w:numId="26">
    <w:abstractNumId w:val="88"/>
  </w:num>
  <w:num w:numId="27">
    <w:abstractNumId w:val="54"/>
  </w:num>
  <w:num w:numId="28">
    <w:abstractNumId w:val="3"/>
  </w:num>
  <w:num w:numId="29">
    <w:abstractNumId w:val="53"/>
  </w:num>
  <w:num w:numId="30">
    <w:abstractNumId w:val="94"/>
  </w:num>
  <w:num w:numId="31">
    <w:abstractNumId w:val="80"/>
  </w:num>
  <w:num w:numId="32">
    <w:abstractNumId w:val="105"/>
  </w:num>
  <w:num w:numId="33">
    <w:abstractNumId w:val="72"/>
  </w:num>
  <w:num w:numId="34">
    <w:abstractNumId w:val="65"/>
  </w:num>
  <w:num w:numId="35">
    <w:abstractNumId w:val="79"/>
  </w:num>
  <w:num w:numId="36">
    <w:abstractNumId w:val="37"/>
  </w:num>
  <w:num w:numId="37">
    <w:abstractNumId w:val="43"/>
  </w:num>
  <w:num w:numId="38">
    <w:abstractNumId w:val="34"/>
  </w:num>
  <w:num w:numId="39">
    <w:abstractNumId w:val="76"/>
  </w:num>
  <w:num w:numId="40">
    <w:abstractNumId w:val="0"/>
  </w:num>
  <w:num w:numId="41">
    <w:abstractNumId w:val="13"/>
  </w:num>
  <w:num w:numId="42">
    <w:abstractNumId w:val="28"/>
  </w:num>
  <w:num w:numId="43">
    <w:abstractNumId w:val="73"/>
  </w:num>
  <w:num w:numId="44">
    <w:abstractNumId w:val="107"/>
  </w:num>
  <w:num w:numId="45">
    <w:abstractNumId w:val="8"/>
  </w:num>
  <w:num w:numId="46">
    <w:abstractNumId w:val="11"/>
  </w:num>
  <w:num w:numId="47">
    <w:abstractNumId w:val="75"/>
  </w:num>
  <w:num w:numId="48">
    <w:abstractNumId w:val="5"/>
  </w:num>
  <w:num w:numId="49">
    <w:abstractNumId w:val="20"/>
  </w:num>
  <w:num w:numId="50">
    <w:abstractNumId w:val="31"/>
  </w:num>
  <w:num w:numId="51">
    <w:abstractNumId w:val="66"/>
  </w:num>
  <w:num w:numId="52">
    <w:abstractNumId w:val="102"/>
  </w:num>
  <w:num w:numId="53">
    <w:abstractNumId w:val="104"/>
  </w:num>
  <w:num w:numId="54">
    <w:abstractNumId w:val="23"/>
  </w:num>
  <w:num w:numId="55">
    <w:abstractNumId w:val="99"/>
  </w:num>
  <w:num w:numId="56">
    <w:abstractNumId w:val="30"/>
  </w:num>
  <w:num w:numId="57">
    <w:abstractNumId w:val="22"/>
  </w:num>
  <w:num w:numId="58">
    <w:abstractNumId w:val="27"/>
  </w:num>
  <w:num w:numId="59">
    <w:abstractNumId w:val="67"/>
  </w:num>
  <w:num w:numId="60">
    <w:abstractNumId w:val="12"/>
  </w:num>
  <w:num w:numId="61">
    <w:abstractNumId w:val="103"/>
  </w:num>
  <w:num w:numId="62">
    <w:abstractNumId w:val="48"/>
  </w:num>
  <w:num w:numId="63">
    <w:abstractNumId w:val="24"/>
  </w:num>
  <w:num w:numId="64">
    <w:abstractNumId w:val="57"/>
  </w:num>
  <w:num w:numId="65">
    <w:abstractNumId w:val="6"/>
  </w:num>
  <w:num w:numId="66">
    <w:abstractNumId w:val="63"/>
  </w:num>
  <w:num w:numId="67">
    <w:abstractNumId w:val="4"/>
  </w:num>
  <w:num w:numId="68">
    <w:abstractNumId w:val="71"/>
  </w:num>
  <w:num w:numId="69">
    <w:abstractNumId w:val="98"/>
  </w:num>
  <w:num w:numId="70">
    <w:abstractNumId w:val="87"/>
  </w:num>
  <w:num w:numId="71">
    <w:abstractNumId w:val="68"/>
  </w:num>
  <w:num w:numId="72">
    <w:abstractNumId w:val="85"/>
  </w:num>
  <w:num w:numId="73">
    <w:abstractNumId w:val="46"/>
  </w:num>
  <w:num w:numId="74">
    <w:abstractNumId w:val="44"/>
  </w:num>
  <w:num w:numId="75">
    <w:abstractNumId w:val="25"/>
  </w:num>
  <w:num w:numId="76">
    <w:abstractNumId w:val="91"/>
  </w:num>
  <w:num w:numId="77">
    <w:abstractNumId w:val="109"/>
  </w:num>
  <w:num w:numId="78">
    <w:abstractNumId w:val="56"/>
  </w:num>
  <w:num w:numId="79">
    <w:abstractNumId w:val="42"/>
  </w:num>
  <w:num w:numId="80">
    <w:abstractNumId w:val="36"/>
  </w:num>
  <w:num w:numId="81">
    <w:abstractNumId w:val="52"/>
  </w:num>
  <w:num w:numId="82">
    <w:abstractNumId w:val="39"/>
  </w:num>
  <w:num w:numId="83">
    <w:abstractNumId w:val="83"/>
  </w:num>
  <w:num w:numId="84">
    <w:abstractNumId w:val="100"/>
  </w:num>
  <w:num w:numId="85">
    <w:abstractNumId w:val="49"/>
  </w:num>
  <w:num w:numId="86">
    <w:abstractNumId w:val="2"/>
  </w:num>
  <w:num w:numId="87">
    <w:abstractNumId w:val="38"/>
  </w:num>
  <w:num w:numId="88">
    <w:abstractNumId w:val="86"/>
  </w:num>
  <w:num w:numId="89">
    <w:abstractNumId w:val="90"/>
  </w:num>
  <w:num w:numId="90">
    <w:abstractNumId w:val="78"/>
  </w:num>
  <w:num w:numId="91">
    <w:abstractNumId w:val="64"/>
  </w:num>
  <w:num w:numId="92">
    <w:abstractNumId w:val="14"/>
  </w:num>
  <w:num w:numId="93">
    <w:abstractNumId w:val="74"/>
  </w:num>
  <w:num w:numId="94">
    <w:abstractNumId w:val="21"/>
  </w:num>
  <w:num w:numId="95">
    <w:abstractNumId w:val="26"/>
  </w:num>
  <w:num w:numId="96">
    <w:abstractNumId w:val="93"/>
  </w:num>
  <w:num w:numId="97">
    <w:abstractNumId w:val="82"/>
  </w:num>
  <w:num w:numId="98">
    <w:abstractNumId w:val="50"/>
  </w:num>
  <w:num w:numId="99">
    <w:abstractNumId w:val="61"/>
  </w:num>
  <w:num w:numId="100">
    <w:abstractNumId w:val="96"/>
  </w:num>
  <w:num w:numId="101">
    <w:abstractNumId w:val="89"/>
  </w:num>
  <w:num w:numId="102">
    <w:abstractNumId w:val="77"/>
  </w:num>
  <w:num w:numId="103">
    <w:abstractNumId w:val="92"/>
  </w:num>
  <w:num w:numId="104">
    <w:abstractNumId w:val="95"/>
  </w:num>
  <w:num w:numId="105">
    <w:abstractNumId w:val="17"/>
  </w:num>
  <w:num w:numId="106">
    <w:abstractNumId w:val="55"/>
  </w:num>
  <w:num w:numId="107">
    <w:abstractNumId w:val="32"/>
  </w:num>
  <w:num w:numId="108">
    <w:abstractNumId w:val="33"/>
  </w:num>
  <w:num w:numId="109">
    <w:abstractNumId w:val="62"/>
  </w:num>
  <w:num w:numId="110">
    <w:abstractNumId w:val="4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20"/>
    <w:rsid w:val="0001308B"/>
    <w:rsid w:val="00017BF0"/>
    <w:rsid w:val="00041924"/>
    <w:rsid w:val="00041B3E"/>
    <w:rsid w:val="000425B4"/>
    <w:rsid w:val="000625F6"/>
    <w:rsid w:val="00071350"/>
    <w:rsid w:val="0007621D"/>
    <w:rsid w:val="00082A4E"/>
    <w:rsid w:val="00085C60"/>
    <w:rsid w:val="000A2D43"/>
    <w:rsid w:val="000A5A94"/>
    <w:rsid w:val="000B65C4"/>
    <w:rsid w:val="000C0D15"/>
    <w:rsid w:val="0010257B"/>
    <w:rsid w:val="00102D15"/>
    <w:rsid w:val="00102FD5"/>
    <w:rsid w:val="00115011"/>
    <w:rsid w:val="001347A4"/>
    <w:rsid w:val="00143BB7"/>
    <w:rsid w:val="00165ECD"/>
    <w:rsid w:val="00180FE3"/>
    <w:rsid w:val="00190639"/>
    <w:rsid w:val="0019438F"/>
    <w:rsid w:val="001A58EB"/>
    <w:rsid w:val="001D348D"/>
    <w:rsid w:val="001D7CE1"/>
    <w:rsid w:val="001E2850"/>
    <w:rsid w:val="001F58CD"/>
    <w:rsid w:val="00201C30"/>
    <w:rsid w:val="00201E04"/>
    <w:rsid w:val="00220724"/>
    <w:rsid w:val="00234BA0"/>
    <w:rsid w:val="0024595F"/>
    <w:rsid w:val="002509CB"/>
    <w:rsid w:val="00277B52"/>
    <w:rsid w:val="00290014"/>
    <w:rsid w:val="002A381E"/>
    <w:rsid w:val="002A4BE6"/>
    <w:rsid w:val="002D6B86"/>
    <w:rsid w:val="002E0B1F"/>
    <w:rsid w:val="002E4DC2"/>
    <w:rsid w:val="002E6A16"/>
    <w:rsid w:val="002F5D1A"/>
    <w:rsid w:val="00304E15"/>
    <w:rsid w:val="00356BC9"/>
    <w:rsid w:val="00361EB0"/>
    <w:rsid w:val="00381152"/>
    <w:rsid w:val="003A6388"/>
    <w:rsid w:val="003B0596"/>
    <w:rsid w:val="003C57BE"/>
    <w:rsid w:val="003E7F57"/>
    <w:rsid w:val="00414809"/>
    <w:rsid w:val="004306AF"/>
    <w:rsid w:val="00442B28"/>
    <w:rsid w:val="0045347C"/>
    <w:rsid w:val="00465E5F"/>
    <w:rsid w:val="00483C92"/>
    <w:rsid w:val="00496A5E"/>
    <w:rsid w:val="004D757B"/>
    <w:rsid w:val="004E4EAC"/>
    <w:rsid w:val="004E5410"/>
    <w:rsid w:val="004E79D6"/>
    <w:rsid w:val="005173B0"/>
    <w:rsid w:val="005478F2"/>
    <w:rsid w:val="0056518E"/>
    <w:rsid w:val="00566E4D"/>
    <w:rsid w:val="00591CA7"/>
    <w:rsid w:val="005A51CE"/>
    <w:rsid w:val="005A74AF"/>
    <w:rsid w:val="005B139B"/>
    <w:rsid w:val="005F16E0"/>
    <w:rsid w:val="005F440F"/>
    <w:rsid w:val="00610B78"/>
    <w:rsid w:val="00612029"/>
    <w:rsid w:val="006221DF"/>
    <w:rsid w:val="00663611"/>
    <w:rsid w:val="006B16D2"/>
    <w:rsid w:val="006D6EF1"/>
    <w:rsid w:val="006F0427"/>
    <w:rsid w:val="00700239"/>
    <w:rsid w:val="00714765"/>
    <w:rsid w:val="00734870"/>
    <w:rsid w:val="0074490E"/>
    <w:rsid w:val="0075656E"/>
    <w:rsid w:val="00773877"/>
    <w:rsid w:val="00785CAC"/>
    <w:rsid w:val="00786BF7"/>
    <w:rsid w:val="007A50B8"/>
    <w:rsid w:val="007D2E16"/>
    <w:rsid w:val="007D6782"/>
    <w:rsid w:val="007E1DCD"/>
    <w:rsid w:val="007F545F"/>
    <w:rsid w:val="008062BA"/>
    <w:rsid w:val="00826EBD"/>
    <w:rsid w:val="008350FE"/>
    <w:rsid w:val="008369B2"/>
    <w:rsid w:val="00841CED"/>
    <w:rsid w:val="008422EB"/>
    <w:rsid w:val="00852A38"/>
    <w:rsid w:val="00870591"/>
    <w:rsid w:val="00875F9A"/>
    <w:rsid w:val="0088392F"/>
    <w:rsid w:val="008A4DB7"/>
    <w:rsid w:val="008C55C0"/>
    <w:rsid w:val="008D530C"/>
    <w:rsid w:val="009221CB"/>
    <w:rsid w:val="00926851"/>
    <w:rsid w:val="0093676E"/>
    <w:rsid w:val="00952ED5"/>
    <w:rsid w:val="0097345A"/>
    <w:rsid w:val="0099016B"/>
    <w:rsid w:val="0099116D"/>
    <w:rsid w:val="009A3E9F"/>
    <w:rsid w:val="009C4FB3"/>
    <w:rsid w:val="009D4F82"/>
    <w:rsid w:val="00A06128"/>
    <w:rsid w:val="00A267D1"/>
    <w:rsid w:val="00A34DC7"/>
    <w:rsid w:val="00A36163"/>
    <w:rsid w:val="00A653C0"/>
    <w:rsid w:val="00A67931"/>
    <w:rsid w:val="00AB4484"/>
    <w:rsid w:val="00AB5B73"/>
    <w:rsid w:val="00AD0ADE"/>
    <w:rsid w:val="00AD2DD3"/>
    <w:rsid w:val="00AE2EC5"/>
    <w:rsid w:val="00AF4CAF"/>
    <w:rsid w:val="00B71A20"/>
    <w:rsid w:val="00B92E3D"/>
    <w:rsid w:val="00BA42E1"/>
    <w:rsid w:val="00BB4D01"/>
    <w:rsid w:val="00BC57A4"/>
    <w:rsid w:val="00BD3205"/>
    <w:rsid w:val="00BF5DF2"/>
    <w:rsid w:val="00C159A3"/>
    <w:rsid w:val="00C31F37"/>
    <w:rsid w:val="00C632BF"/>
    <w:rsid w:val="00C90A3D"/>
    <w:rsid w:val="00CC2C19"/>
    <w:rsid w:val="00CD40FD"/>
    <w:rsid w:val="00CE36A3"/>
    <w:rsid w:val="00D00BFF"/>
    <w:rsid w:val="00D3687D"/>
    <w:rsid w:val="00D42CF0"/>
    <w:rsid w:val="00D81DFA"/>
    <w:rsid w:val="00D854E1"/>
    <w:rsid w:val="00D9513C"/>
    <w:rsid w:val="00DB41C9"/>
    <w:rsid w:val="00DB4AE8"/>
    <w:rsid w:val="00DB6A9A"/>
    <w:rsid w:val="00DB71B7"/>
    <w:rsid w:val="00DC2406"/>
    <w:rsid w:val="00DD4353"/>
    <w:rsid w:val="00DF4693"/>
    <w:rsid w:val="00E03285"/>
    <w:rsid w:val="00E43144"/>
    <w:rsid w:val="00E56237"/>
    <w:rsid w:val="00E97D39"/>
    <w:rsid w:val="00EB19CD"/>
    <w:rsid w:val="00EB2DEB"/>
    <w:rsid w:val="00EC4F48"/>
    <w:rsid w:val="00F1379F"/>
    <w:rsid w:val="00F22418"/>
    <w:rsid w:val="00F343C9"/>
    <w:rsid w:val="00F47073"/>
    <w:rsid w:val="00F6049D"/>
    <w:rsid w:val="00FA223A"/>
    <w:rsid w:val="00FB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E68F"/>
  <w15:docId w15:val="{BDC57B60-6947-48E9-AB0F-AA51EE20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unhideWhenUsed/>
    <w:qFormat/>
    <w:rsid w:val="005173B0"/>
    <w:pPr>
      <w:widowControl/>
      <w:spacing w:before="480"/>
      <w:contextualSpacing/>
      <w:outlineLvl w:val="0"/>
    </w:pPr>
    <w:rPr>
      <w:rFonts w:asciiTheme="majorHAnsi" w:eastAsiaTheme="majorEastAsia" w:hAnsiTheme="majorHAnsi" w:cstheme="majorBidi"/>
      <w:b/>
      <w:bCs/>
      <w:color w:val="333333"/>
      <w:sz w:val="28"/>
      <w:szCs w:val="28"/>
      <w:lang w:bidi="ar-SA"/>
    </w:rPr>
  </w:style>
  <w:style w:type="paragraph" w:styleId="Nagwek2">
    <w:name w:val="heading 2"/>
    <w:basedOn w:val="Normalny"/>
    <w:next w:val="Normalny"/>
    <w:link w:val="Nagwek2Znak"/>
    <w:unhideWhenUsed/>
    <w:qFormat/>
    <w:rsid w:val="005173B0"/>
    <w:pPr>
      <w:widowControl/>
      <w:spacing w:before="200"/>
      <w:outlineLvl w:val="1"/>
    </w:pPr>
    <w:rPr>
      <w:rFonts w:asciiTheme="majorHAnsi" w:eastAsiaTheme="majorEastAsia" w:hAnsiTheme="majorHAnsi" w:cstheme="majorBidi"/>
      <w:b/>
      <w:bCs/>
      <w:color w:val="4D4D4D"/>
      <w:sz w:val="26"/>
      <w:szCs w:val="26"/>
      <w:lang w:bidi="ar-SA"/>
    </w:rPr>
  </w:style>
  <w:style w:type="paragraph" w:styleId="Nagwek3">
    <w:name w:val="heading 3"/>
    <w:basedOn w:val="Normalny"/>
    <w:next w:val="Normalny"/>
    <w:link w:val="Nagwek3Znak"/>
    <w:unhideWhenUsed/>
    <w:qFormat/>
    <w:rsid w:val="005173B0"/>
    <w:pPr>
      <w:widowControl/>
      <w:spacing w:before="200" w:line="271" w:lineRule="auto"/>
      <w:outlineLvl w:val="2"/>
    </w:pPr>
    <w:rPr>
      <w:rFonts w:asciiTheme="majorHAnsi" w:eastAsiaTheme="majorEastAsia" w:hAnsiTheme="majorHAnsi" w:cstheme="majorBidi"/>
      <w:b/>
      <w:bCs/>
      <w:color w:val="5F5F5F"/>
      <w:sz w:val="22"/>
      <w:szCs w:val="22"/>
      <w:lang w:bidi="ar-SA"/>
    </w:rPr>
  </w:style>
  <w:style w:type="paragraph" w:styleId="Nagwek4">
    <w:name w:val="heading 4"/>
    <w:basedOn w:val="Normalny"/>
    <w:next w:val="Normalny"/>
    <w:link w:val="Nagwek4Znak"/>
    <w:unhideWhenUsed/>
    <w:qFormat/>
    <w:rsid w:val="005173B0"/>
    <w:pPr>
      <w:widowControl/>
      <w:spacing w:before="200"/>
      <w:outlineLvl w:val="3"/>
    </w:pPr>
    <w:rPr>
      <w:rFonts w:asciiTheme="majorHAnsi" w:eastAsiaTheme="majorEastAsia" w:hAnsiTheme="majorHAnsi" w:cstheme="majorBidi"/>
      <w:b/>
      <w:bCs/>
      <w:i/>
      <w:iCs/>
      <w:color w:val="777777"/>
      <w:sz w:val="22"/>
      <w:szCs w:val="22"/>
      <w:lang w:bidi="ar-SA"/>
    </w:rPr>
  </w:style>
  <w:style w:type="paragraph" w:styleId="Nagwek5">
    <w:name w:val="heading 5"/>
    <w:basedOn w:val="Normalny"/>
    <w:next w:val="Normalny"/>
    <w:link w:val="Nagwek5Znak"/>
    <w:unhideWhenUsed/>
    <w:qFormat/>
    <w:rsid w:val="005173B0"/>
    <w:pPr>
      <w:widowControl/>
      <w:spacing w:before="200"/>
      <w:outlineLvl w:val="4"/>
    </w:pPr>
    <w:rPr>
      <w:rFonts w:asciiTheme="majorHAnsi" w:eastAsiaTheme="majorEastAsia" w:hAnsiTheme="majorHAnsi" w:cstheme="majorBidi"/>
      <w:b/>
      <w:bCs/>
      <w:color w:val="808080"/>
      <w:sz w:val="22"/>
      <w:szCs w:val="22"/>
      <w:lang w:bidi="ar-SA"/>
    </w:rPr>
  </w:style>
  <w:style w:type="paragraph" w:styleId="Nagwek6">
    <w:name w:val="heading 6"/>
    <w:basedOn w:val="Normalny"/>
    <w:next w:val="Normalny"/>
    <w:link w:val="Nagwek6Znak"/>
    <w:unhideWhenUsed/>
    <w:qFormat/>
    <w:rsid w:val="005173B0"/>
    <w:pPr>
      <w:widowControl/>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Nagwek7">
    <w:name w:val="heading 7"/>
    <w:basedOn w:val="Normalny"/>
    <w:next w:val="Normalny"/>
    <w:link w:val="Nagwek7Znak"/>
    <w:uiPriority w:val="99"/>
    <w:unhideWhenUsed/>
    <w:qFormat/>
    <w:rsid w:val="005173B0"/>
    <w:pPr>
      <w:widowControl/>
      <w:outlineLvl w:val="6"/>
    </w:pPr>
    <w:rPr>
      <w:rFonts w:asciiTheme="majorHAnsi" w:eastAsiaTheme="majorEastAsia" w:hAnsiTheme="majorHAnsi" w:cstheme="majorBidi"/>
      <w:i/>
      <w:iCs/>
      <w:color w:val="auto"/>
      <w:sz w:val="22"/>
      <w:szCs w:val="22"/>
    </w:rPr>
  </w:style>
  <w:style w:type="paragraph" w:styleId="Nagwek8">
    <w:name w:val="heading 8"/>
    <w:basedOn w:val="Normalny"/>
    <w:next w:val="Normalny"/>
    <w:link w:val="Nagwek8Znak"/>
    <w:uiPriority w:val="99"/>
    <w:unhideWhenUsed/>
    <w:qFormat/>
    <w:rsid w:val="005173B0"/>
    <w:pPr>
      <w:widowControl/>
      <w:outlineLvl w:val="7"/>
    </w:pPr>
    <w:rPr>
      <w:rFonts w:asciiTheme="majorHAnsi" w:eastAsiaTheme="majorEastAsia" w:hAnsiTheme="majorHAnsi" w:cstheme="majorBidi"/>
      <w:color w:val="auto"/>
      <w:sz w:val="20"/>
      <w:szCs w:val="20"/>
    </w:rPr>
  </w:style>
  <w:style w:type="paragraph" w:styleId="Nagwek9">
    <w:name w:val="heading 9"/>
    <w:basedOn w:val="Normalny"/>
    <w:next w:val="Normalny"/>
    <w:link w:val="Nagwek9Znak"/>
    <w:uiPriority w:val="99"/>
    <w:unhideWhenUsed/>
    <w:qFormat/>
    <w:rsid w:val="005173B0"/>
    <w:pPr>
      <w:widowControl/>
      <w:outlineLvl w:val="8"/>
    </w:pPr>
    <w:rPr>
      <w:rFonts w:asciiTheme="majorHAnsi" w:eastAsiaTheme="majorEastAsia" w:hAnsiTheme="majorHAnsi" w:cstheme="majorBidi"/>
      <w:i/>
      <w:iCs/>
      <w:color w:val="auto"/>
      <w:spacing w:val="5"/>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Book Antiqua" w:eastAsia="Book Antiqua" w:hAnsi="Book Antiqua" w:cs="Book Antiqua"/>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Calibri" w:eastAsia="Calibri" w:hAnsi="Calibri" w:cs="Calibri"/>
      <w:b w:val="0"/>
      <w:bCs w:val="0"/>
      <w:i w:val="0"/>
      <w:iCs w:val="0"/>
      <w:smallCaps w:val="0"/>
      <w:strike w:val="0"/>
      <w:color w:val="2F2F2F"/>
      <w:sz w:val="36"/>
      <w:szCs w:val="36"/>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22"/>
      <w:szCs w:val="22"/>
      <w:u w:val="none"/>
    </w:rPr>
  </w:style>
  <w:style w:type="character" w:customStyle="1" w:styleId="Podpisobrazu">
    <w:name w:val="Podpis obrazu_"/>
    <w:basedOn w:val="Domylnaczcionkaakapitu"/>
    <w:link w:val="Podpisobrazu0"/>
    <w:rPr>
      <w:rFonts w:ascii="Arial" w:eastAsia="Arial" w:hAnsi="Arial" w:cs="Arial"/>
      <w:b w:val="0"/>
      <w:bCs w:val="0"/>
      <w:i w:val="0"/>
      <w:iCs w:val="0"/>
      <w:smallCaps w:val="0"/>
      <w:strike w:val="0"/>
      <w:sz w:val="10"/>
      <w:szCs w:val="1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22"/>
      <w:szCs w:val="22"/>
      <w:u w:val="non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36"/>
      <w:szCs w:val="36"/>
      <w:u w:val="none"/>
    </w:rPr>
  </w:style>
  <w:style w:type="character" w:customStyle="1" w:styleId="Nagwek20">
    <w:name w:val="Nagłówek #2_"/>
    <w:basedOn w:val="Domylnaczcionkaakapitu"/>
    <w:link w:val="Nagwek21"/>
    <w:rPr>
      <w:rFonts w:ascii="Calibri" w:eastAsia="Calibri" w:hAnsi="Calibri" w:cs="Calibri"/>
      <w:b/>
      <w:bCs/>
      <w:i w:val="0"/>
      <w:iCs w:val="0"/>
      <w:smallCaps w:val="0"/>
      <w:strike w:val="0"/>
      <w:sz w:val="32"/>
      <w:szCs w:val="32"/>
      <w:u w:val="none"/>
    </w:rPr>
  </w:style>
  <w:style w:type="character" w:customStyle="1" w:styleId="Nagwek30">
    <w:name w:val="Nagłówek #3_"/>
    <w:basedOn w:val="Domylnaczcionkaakapitu"/>
    <w:link w:val="Nagwek31"/>
    <w:rPr>
      <w:rFonts w:ascii="Calibri" w:eastAsia="Calibri" w:hAnsi="Calibri" w:cs="Calibri"/>
      <w:b/>
      <w:bCs/>
      <w:i w:val="0"/>
      <w:iCs w:val="0"/>
      <w:smallCaps w:val="0"/>
      <w:strike w:val="0"/>
      <w:sz w:val="28"/>
      <w:szCs w:val="28"/>
      <w:u w:val="none"/>
    </w:rPr>
  </w:style>
  <w:style w:type="character" w:customStyle="1" w:styleId="Nagwek40">
    <w:name w:val="Nagłówek #4_"/>
    <w:basedOn w:val="Domylnaczcionkaakapitu"/>
    <w:link w:val="Nagwek41"/>
    <w:rPr>
      <w:rFonts w:ascii="Calibri" w:eastAsia="Calibri" w:hAnsi="Calibri" w:cs="Calibri"/>
      <w:b/>
      <w:bCs/>
      <w:i w:val="0"/>
      <w:iCs w:val="0"/>
      <w:smallCaps w:val="0"/>
      <w:strike w:val="0"/>
      <w:sz w:val="26"/>
      <w:szCs w:val="26"/>
      <w:u w:val="none"/>
    </w:rPr>
  </w:style>
  <w:style w:type="character" w:customStyle="1" w:styleId="Nagwek50">
    <w:name w:val="Nagłówek #5_"/>
    <w:basedOn w:val="Domylnaczcionkaakapitu"/>
    <w:link w:val="Nagwek51"/>
    <w:rPr>
      <w:rFonts w:ascii="Calibri" w:eastAsia="Calibri" w:hAnsi="Calibri" w:cs="Calibri"/>
      <w:b/>
      <w:bCs/>
      <w:i w:val="0"/>
      <w:iCs w:val="0"/>
      <w:smallCaps w:val="0"/>
      <w:strike w:val="0"/>
      <w:sz w:val="24"/>
      <w:szCs w:val="24"/>
      <w:u w:val="none"/>
    </w:rPr>
  </w:style>
  <w:style w:type="paragraph" w:customStyle="1" w:styleId="Stopka1">
    <w:name w:val="Stopka1"/>
    <w:basedOn w:val="Normalny"/>
    <w:link w:val="Stopka"/>
    <w:rPr>
      <w:rFonts w:ascii="Calibri" w:eastAsia="Calibri" w:hAnsi="Calibri" w:cs="Calibri"/>
      <w:sz w:val="20"/>
      <w:szCs w:val="20"/>
    </w:rPr>
  </w:style>
  <w:style w:type="paragraph" w:customStyle="1" w:styleId="Teksttreci20">
    <w:name w:val="Tekst treści (2)"/>
    <w:basedOn w:val="Normalny"/>
    <w:link w:val="Teksttreci2"/>
    <w:pPr>
      <w:spacing w:after="1590"/>
      <w:jc w:val="center"/>
    </w:pPr>
    <w:rPr>
      <w:rFonts w:ascii="Book Antiqua" w:eastAsia="Book Antiqua" w:hAnsi="Book Antiqua" w:cs="Book Antiqua"/>
      <w:sz w:val="20"/>
      <w:szCs w:val="20"/>
    </w:rPr>
  </w:style>
  <w:style w:type="paragraph" w:customStyle="1" w:styleId="Teksttreci30">
    <w:name w:val="Tekst treści (3)"/>
    <w:basedOn w:val="Normalny"/>
    <w:link w:val="Teksttreci3"/>
    <w:pPr>
      <w:spacing w:after="1660"/>
      <w:jc w:val="center"/>
    </w:pPr>
    <w:rPr>
      <w:rFonts w:ascii="Calibri" w:eastAsia="Calibri" w:hAnsi="Calibri" w:cs="Calibri"/>
      <w:color w:val="2F2F2F"/>
      <w:sz w:val="36"/>
      <w:szCs w:val="36"/>
    </w:rPr>
  </w:style>
  <w:style w:type="paragraph" w:customStyle="1" w:styleId="Teksttreci0">
    <w:name w:val="Tekst treści"/>
    <w:basedOn w:val="Normalny"/>
    <w:link w:val="Teksttreci"/>
    <w:pPr>
      <w:spacing w:after="100"/>
    </w:pPr>
    <w:rPr>
      <w:rFonts w:ascii="Calibri" w:eastAsia="Calibri" w:hAnsi="Calibri" w:cs="Calibri"/>
      <w:sz w:val="22"/>
      <w:szCs w:val="22"/>
    </w:rPr>
  </w:style>
  <w:style w:type="paragraph" w:customStyle="1" w:styleId="Podpisobrazu0">
    <w:name w:val="Podpis obrazu"/>
    <w:basedOn w:val="Normalny"/>
    <w:link w:val="Podpisobrazu"/>
    <w:pPr>
      <w:jc w:val="center"/>
    </w:pPr>
    <w:rPr>
      <w:rFonts w:ascii="Arial" w:eastAsia="Arial" w:hAnsi="Arial" w:cs="Arial"/>
      <w:sz w:val="10"/>
      <w:szCs w:val="1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Spistreci0">
    <w:name w:val="Spis treści"/>
    <w:basedOn w:val="Normalny"/>
    <w:link w:val="Spistreci"/>
    <w:pPr>
      <w:ind w:left="1020"/>
    </w:pPr>
    <w:rPr>
      <w:rFonts w:ascii="Calibri" w:eastAsia="Calibri" w:hAnsi="Calibri" w:cs="Calibri"/>
      <w:sz w:val="22"/>
      <w:szCs w:val="22"/>
    </w:rPr>
  </w:style>
  <w:style w:type="paragraph" w:customStyle="1" w:styleId="Nagwek11">
    <w:name w:val="Nagłówek #1"/>
    <w:basedOn w:val="Normalny"/>
    <w:link w:val="Nagwek10"/>
    <w:pPr>
      <w:spacing w:after="360"/>
      <w:outlineLvl w:val="0"/>
    </w:pPr>
    <w:rPr>
      <w:rFonts w:ascii="Calibri" w:eastAsia="Calibri" w:hAnsi="Calibri" w:cs="Calibri"/>
      <w:b/>
      <w:bCs/>
      <w:sz w:val="36"/>
      <w:szCs w:val="36"/>
    </w:rPr>
  </w:style>
  <w:style w:type="paragraph" w:customStyle="1" w:styleId="Nagwek21">
    <w:name w:val="Nagłówek #2"/>
    <w:basedOn w:val="Normalny"/>
    <w:link w:val="Nagwek20"/>
    <w:pPr>
      <w:spacing w:after="380"/>
      <w:outlineLvl w:val="1"/>
    </w:pPr>
    <w:rPr>
      <w:rFonts w:ascii="Calibri" w:eastAsia="Calibri" w:hAnsi="Calibri" w:cs="Calibri"/>
      <w:b/>
      <w:bCs/>
      <w:sz w:val="32"/>
      <w:szCs w:val="32"/>
    </w:rPr>
  </w:style>
  <w:style w:type="paragraph" w:customStyle="1" w:styleId="Nagwek31">
    <w:name w:val="Nagłówek #3"/>
    <w:basedOn w:val="Normalny"/>
    <w:link w:val="Nagwek30"/>
    <w:pPr>
      <w:spacing w:after="110"/>
      <w:outlineLvl w:val="2"/>
    </w:pPr>
    <w:rPr>
      <w:rFonts w:ascii="Calibri" w:eastAsia="Calibri" w:hAnsi="Calibri" w:cs="Calibri"/>
      <w:b/>
      <w:bCs/>
      <w:sz w:val="28"/>
      <w:szCs w:val="28"/>
    </w:rPr>
  </w:style>
  <w:style w:type="paragraph" w:customStyle="1" w:styleId="Nagwek41">
    <w:name w:val="Nagłówek #4"/>
    <w:basedOn w:val="Normalny"/>
    <w:link w:val="Nagwek40"/>
    <w:pPr>
      <w:spacing w:after="100"/>
      <w:outlineLvl w:val="3"/>
    </w:pPr>
    <w:rPr>
      <w:rFonts w:ascii="Calibri" w:eastAsia="Calibri" w:hAnsi="Calibri" w:cs="Calibri"/>
      <w:b/>
      <w:bCs/>
      <w:sz w:val="26"/>
      <w:szCs w:val="26"/>
    </w:rPr>
  </w:style>
  <w:style w:type="paragraph" w:customStyle="1" w:styleId="Nagwek51">
    <w:name w:val="Nagłówek #5"/>
    <w:basedOn w:val="Normalny"/>
    <w:link w:val="Nagwek50"/>
    <w:pPr>
      <w:spacing w:after="120" w:line="216" w:lineRule="auto"/>
      <w:outlineLvl w:val="4"/>
    </w:pPr>
    <w:rPr>
      <w:rFonts w:ascii="Calibri" w:eastAsia="Calibri" w:hAnsi="Calibri" w:cs="Calibri"/>
      <w:b/>
      <w:bCs/>
    </w:rPr>
  </w:style>
  <w:style w:type="paragraph" w:styleId="Tekstdymka">
    <w:name w:val="Balloon Text"/>
    <w:basedOn w:val="Normalny"/>
    <w:link w:val="TekstdymkaZnak"/>
    <w:uiPriority w:val="99"/>
    <w:semiHidden/>
    <w:unhideWhenUsed/>
    <w:rsid w:val="00042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5B4"/>
    <w:rPr>
      <w:rFonts w:ascii="Segoe UI" w:hAnsi="Segoe UI" w:cs="Segoe UI"/>
      <w:color w:val="000000"/>
      <w:sz w:val="18"/>
      <w:szCs w:val="18"/>
    </w:rPr>
  </w:style>
  <w:style w:type="paragraph" w:styleId="Nagwek">
    <w:name w:val="header"/>
    <w:basedOn w:val="Normalny"/>
    <w:link w:val="NagwekZnak"/>
    <w:uiPriority w:val="99"/>
    <w:unhideWhenUsed/>
    <w:rsid w:val="000425B4"/>
    <w:pPr>
      <w:tabs>
        <w:tab w:val="center" w:pos="4536"/>
        <w:tab w:val="right" w:pos="9072"/>
      </w:tabs>
    </w:pPr>
  </w:style>
  <w:style w:type="character" w:customStyle="1" w:styleId="NagwekZnak">
    <w:name w:val="Nagłówek Znak"/>
    <w:basedOn w:val="Domylnaczcionkaakapitu"/>
    <w:link w:val="Nagwek"/>
    <w:uiPriority w:val="99"/>
    <w:rsid w:val="000425B4"/>
    <w:rPr>
      <w:color w:val="000000"/>
    </w:rPr>
  </w:style>
  <w:style w:type="paragraph" w:styleId="Stopka0">
    <w:name w:val="footer"/>
    <w:basedOn w:val="Normalny"/>
    <w:link w:val="StopkaZnak"/>
    <w:uiPriority w:val="99"/>
    <w:unhideWhenUsed/>
    <w:rsid w:val="000425B4"/>
    <w:pPr>
      <w:tabs>
        <w:tab w:val="center" w:pos="4536"/>
        <w:tab w:val="right" w:pos="9072"/>
      </w:tabs>
    </w:pPr>
  </w:style>
  <w:style w:type="character" w:customStyle="1" w:styleId="StopkaZnak">
    <w:name w:val="Stopka Znak"/>
    <w:basedOn w:val="Domylnaczcionkaakapitu"/>
    <w:link w:val="Stopka0"/>
    <w:uiPriority w:val="99"/>
    <w:rsid w:val="000425B4"/>
    <w:rPr>
      <w:color w:val="000000"/>
    </w:rPr>
  </w:style>
  <w:style w:type="character" w:styleId="Hipercze">
    <w:name w:val="Hyperlink"/>
    <w:basedOn w:val="Domylnaczcionkaakapitu"/>
    <w:uiPriority w:val="99"/>
    <w:unhideWhenUsed/>
    <w:rsid w:val="000425B4"/>
    <w:rPr>
      <w:color w:val="0563C1" w:themeColor="hyperlink"/>
      <w:u w:val="single"/>
    </w:rPr>
  </w:style>
  <w:style w:type="character" w:styleId="UyteHipercze">
    <w:name w:val="FollowedHyperlink"/>
    <w:basedOn w:val="Domylnaczcionkaakapitu"/>
    <w:unhideWhenUsed/>
    <w:rsid w:val="000425B4"/>
    <w:rPr>
      <w:color w:val="954F72" w:themeColor="followedHyperlink"/>
      <w:u w:val="single"/>
    </w:rPr>
  </w:style>
  <w:style w:type="paragraph" w:styleId="Tekstprzypisudolnego">
    <w:name w:val="footnote text"/>
    <w:basedOn w:val="Normalny"/>
    <w:link w:val="TekstprzypisudolnegoZnak"/>
    <w:uiPriority w:val="99"/>
    <w:unhideWhenUsed/>
    <w:rsid w:val="005A74AF"/>
    <w:rPr>
      <w:sz w:val="20"/>
      <w:szCs w:val="20"/>
    </w:rPr>
  </w:style>
  <w:style w:type="character" w:customStyle="1" w:styleId="TekstprzypisudolnegoZnak">
    <w:name w:val="Tekst przypisu dolnego Znak"/>
    <w:basedOn w:val="Domylnaczcionkaakapitu"/>
    <w:link w:val="Tekstprzypisudolnego"/>
    <w:uiPriority w:val="99"/>
    <w:rsid w:val="005A74AF"/>
    <w:rPr>
      <w:color w:val="000000"/>
      <w:sz w:val="20"/>
      <w:szCs w:val="20"/>
    </w:rPr>
  </w:style>
  <w:style w:type="character" w:styleId="Odwoanieprzypisudolnego">
    <w:name w:val="footnote reference"/>
    <w:basedOn w:val="Domylnaczcionkaakapitu"/>
    <w:unhideWhenUsed/>
    <w:rsid w:val="005A74AF"/>
    <w:rPr>
      <w:vertAlign w:val="superscript"/>
    </w:rPr>
  </w:style>
  <w:style w:type="paragraph" w:styleId="Spistreci1">
    <w:name w:val="toc 1"/>
    <w:basedOn w:val="Normalny"/>
    <w:next w:val="Normalny"/>
    <w:autoRedefine/>
    <w:uiPriority w:val="39"/>
    <w:unhideWhenUsed/>
    <w:rsid w:val="005173B0"/>
    <w:pPr>
      <w:tabs>
        <w:tab w:val="right" w:leader="dot" w:pos="9072"/>
      </w:tabs>
      <w:spacing w:before="120" w:after="120"/>
    </w:pPr>
    <w:rPr>
      <w:rFonts w:asciiTheme="minorHAnsi" w:hAnsiTheme="minorHAnsi" w:cstheme="minorHAnsi"/>
      <w:b/>
      <w:bCs/>
      <w:noProof/>
      <w:color w:val="474747"/>
      <w:sz w:val="28"/>
      <w:szCs w:val="28"/>
      <w:lang w:val="pl"/>
    </w:rPr>
  </w:style>
  <w:style w:type="paragraph" w:styleId="Spistreci2">
    <w:name w:val="toc 2"/>
    <w:basedOn w:val="Normalny"/>
    <w:next w:val="Normalny"/>
    <w:autoRedefine/>
    <w:uiPriority w:val="39"/>
    <w:unhideWhenUsed/>
    <w:rsid w:val="00841CED"/>
    <w:pPr>
      <w:spacing w:before="60"/>
      <w:ind w:left="680" w:right="340" w:hanging="340"/>
    </w:pPr>
    <w:rPr>
      <w:rFonts w:asciiTheme="minorHAnsi" w:hAnsiTheme="minorHAnsi" w:cstheme="minorHAnsi"/>
      <w:sz w:val="22"/>
      <w:szCs w:val="20"/>
    </w:rPr>
  </w:style>
  <w:style w:type="paragraph" w:styleId="Spistreci3">
    <w:name w:val="toc 3"/>
    <w:basedOn w:val="Normalny"/>
    <w:next w:val="Normalny"/>
    <w:autoRedefine/>
    <w:uiPriority w:val="39"/>
    <w:unhideWhenUsed/>
    <w:rsid w:val="00841CED"/>
    <w:pPr>
      <w:tabs>
        <w:tab w:val="left" w:pos="960"/>
        <w:tab w:val="right" w:leader="dot" w:pos="9072"/>
      </w:tabs>
      <w:ind w:left="1020" w:right="340" w:hanging="340"/>
    </w:pPr>
    <w:rPr>
      <w:rFonts w:asciiTheme="minorHAnsi" w:hAnsiTheme="minorHAnsi" w:cstheme="minorHAnsi"/>
      <w:iCs/>
      <w:noProof/>
      <w:sz w:val="22"/>
      <w:szCs w:val="22"/>
    </w:rPr>
  </w:style>
  <w:style w:type="paragraph" w:styleId="Spistreci4">
    <w:name w:val="toc 4"/>
    <w:basedOn w:val="Normalny"/>
    <w:next w:val="Normalny"/>
    <w:autoRedefine/>
    <w:uiPriority w:val="39"/>
    <w:unhideWhenUsed/>
    <w:rsid w:val="00CC2C19"/>
    <w:pPr>
      <w:ind w:left="1361" w:right="340" w:hanging="340"/>
    </w:pPr>
    <w:rPr>
      <w:rFonts w:asciiTheme="minorHAnsi" w:hAnsiTheme="minorHAnsi" w:cstheme="minorHAnsi"/>
      <w:sz w:val="22"/>
      <w:szCs w:val="18"/>
    </w:rPr>
  </w:style>
  <w:style w:type="paragraph" w:styleId="Spistreci5">
    <w:name w:val="toc 5"/>
    <w:basedOn w:val="Normalny"/>
    <w:next w:val="Normalny"/>
    <w:autoRedefine/>
    <w:uiPriority w:val="39"/>
    <w:unhideWhenUsed/>
    <w:rsid w:val="00841CED"/>
    <w:pPr>
      <w:ind w:left="1701" w:right="340" w:hanging="340"/>
    </w:pPr>
    <w:rPr>
      <w:rFonts w:asciiTheme="minorHAnsi" w:hAnsiTheme="minorHAnsi" w:cstheme="minorHAnsi"/>
      <w:sz w:val="22"/>
      <w:szCs w:val="18"/>
    </w:rPr>
  </w:style>
  <w:style w:type="paragraph" w:styleId="Spistreci6">
    <w:name w:val="toc 6"/>
    <w:basedOn w:val="Normalny"/>
    <w:next w:val="Normalny"/>
    <w:autoRedefine/>
    <w:uiPriority w:val="39"/>
    <w:unhideWhenUsed/>
    <w:rsid w:val="004E79D6"/>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4E79D6"/>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4E79D6"/>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4E79D6"/>
    <w:pPr>
      <w:ind w:left="1920"/>
    </w:pPr>
    <w:rPr>
      <w:rFonts w:asciiTheme="minorHAnsi" w:hAnsiTheme="minorHAnsi" w:cstheme="minorHAnsi"/>
      <w:sz w:val="18"/>
      <w:szCs w:val="18"/>
    </w:rPr>
  </w:style>
  <w:style w:type="character" w:customStyle="1" w:styleId="Nagwek1Znak">
    <w:name w:val="Nagłówek 1 Znak"/>
    <w:basedOn w:val="Domylnaczcionkaakapitu"/>
    <w:link w:val="Nagwek1"/>
    <w:rsid w:val="005173B0"/>
    <w:rPr>
      <w:rFonts w:asciiTheme="majorHAnsi" w:eastAsiaTheme="majorEastAsia" w:hAnsiTheme="majorHAnsi" w:cstheme="majorBidi"/>
      <w:b/>
      <w:bCs/>
      <w:color w:val="333333"/>
      <w:sz w:val="28"/>
      <w:szCs w:val="28"/>
      <w:lang w:bidi="ar-SA"/>
    </w:rPr>
  </w:style>
  <w:style w:type="character" w:customStyle="1" w:styleId="Nagwek2Znak">
    <w:name w:val="Nagłówek 2 Znak"/>
    <w:basedOn w:val="Domylnaczcionkaakapitu"/>
    <w:link w:val="Nagwek2"/>
    <w:rsid w:val="005173B0"/>
    <w:rPr>
      <w:rFonts w:asciiTheme="majorHAnsi" w:eastAsiaTheme="majorEastAsia" w:hAnsiTheme="majorHAnsi" w:cstheme="majorBidi"/>
      <w:b/>
      <w:bCs/>
      <w:color w:val="4D4D4D"/>
      <w:sz w:val="26"/>
      <w:szCs w:val="26"/>
      <w:lang w:bidi="ar-SA"/>
    </w:rPr>
  </w:style>
  <w:style w:type="character" w:customStyle="1" w:styleId="Nagwek3Znak">
    <w:name w:val="Nagłówek 3 Znak"/>
    <w:basedOn w:val="Domylnaczcionkaakapitu"/>
    <w:link w:val="Nagwek3"/>
    <w:rsid w:val="005173B0"/>
    <w:rPr>
      <w:rFonts w:asciiTheme="majorHAnsi" w:eastAsiaTheme="majorEastAsia" w:hAnsiTheme="majorHAnsi" w:cstheme="majorBidi"/>
      <w:b/>
      <w:bCs/>
      <w:color w:val="5F5F5F"/>
      <w:sz w:val="22"/>
      <w:szCs w:val="22"/>
      <w:lang w:bidi="ar-SA"/>
    </w:rPr>
  </w:style>
  <w:style w:type="character" w:customStyle="1" w:styleId="Nagwek4Znak">
    <w:name w:val="Nagłówek 4 Znak"/>
    <w:basedOn w:val="Domylnaczcionkaakapitu"/>
    <w:link w:val="Nagwek4"/>
    <w:rsid w:val="005173B0"/>
    <w:rPr>
      <w:rFonts w:asciiTheme="majorHAnsi" w:eastAsiaTheme="majorEastAsia" w:hAnsiTheme="majorHAnsi" w:cstheme="majorBidi"/>
      <w:b/>
      <w:bCs/>
      <w:i/>
      <w:iCs/>
      <w:color w:val="777777"/>
      <w:sz w:val="22"/>
      <w:szCs w:val="22"/>
      <w:lang w:bidi="ar-SA"/>
    </w:rPr>
  </w:style>
  <w:style w:type="character" w:customStyle="1" w:styleId="Nagwek5Znak">
    <w:name w:val="Nagłówek 5 Znak"/>
    <w:basedOn w:val="Domylnaczcionkaakapitu"/>
    <w:link w:val="Nagwek5"/>
    <w:rsid w:val="005173B0"/>
    <w:rPr>
      <w:rFonts w:asciiTheme="majorHAnsi" w:eastAsiaTheme="majorEastAsia" w:hAnsiTheme="majorHAnsi" w:cstheme="majorBidi"/>
      <w:b/>
      <w:bCs/>
      <w:color w:val="808080"/>
      <w:sz w:val="22"/>
      <w:szCs w:val="22"/>
      <w:lang w:bidi="ar-SA"/>
    </w:rPr>
  </w:style>
  <w:style w:type="character" w:customStyle="1" w:styleId="Nagwek6Znak">
    <w:name w:val="Nagłówek 6 Znak"/>
    <w:basedOn w:val="Domylnaczcionkaakapitu"/>
    <w:link w:val="Nagwek6"/>
    <w:rsid w:val="005173B0"/>
    <w:rPr>
      <w:rFonts w:asciiTheme="majorHAnsi" w:eastAsiaTheme="majorEastAsia" w:hAnsiTheme="majorHAnsi" w:cstheme="majorBidi"/>
      <w:b/>
      <w:bCs/>
      <w:i/>
      <w:iCs/>
      <w:color w:val="7F7F7F" w:themeColor="text1" w:themeTint="80"/>
      <w:sz w:val="22"/>
      <w:szCs w:val="22"/>
    </w:rPr>
  </w:style>
  <w:style w:type="character" w:customStyle="1" w:styleId="Nagwek7Znak">
    <w:name w:val="Nagłówek 7 Znak"/>
    <w:basedOn w:val="Domylnaczcionkaakapitu"/>
    <w:link w:val="Nagwek7"/>
    <w:uiPriority w:val="99"/>
    <w:rsid w:val="005173B0"/>
    <w:rPr>
      <w:rFonts w:asciiTheme="majorHAnsi" w:eastAsiaTheme="majorEastAsia" w:hAnsiTheme="majorHAnsi" w:cstheme="majorBidi"/>
      <w:i/>
      <w:iCs/>
      <w:sz w:val="22"/>
      <w:szCs w:val="22"/>
    </w:rPr>
  </w:style>
  <w:style w:type="character" w:customStyle="1" w:styleId="Nagwek8Znak">
    <w:name w:val="Nagłówek 8 Znak"/>
    <w:basedOn w:val="Domylnaczcionkaakapitu"/>
    <w:link w:val="Nagwek8"/>
    <w:uiPriority w:val="99"/>
    <w:rsid w:val="005173B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9"/>
    <w:rsid w:val="005173B0"/>
    <w:rPr>
      <w:rFonts w:asciiTheme="majorHAnsi" w:eastAsiaTheme="majorEastAsia" w:hAnsiTheme="majorHAnsi" w:cstheme="majorBidi"/>
      <w:i/>
      <w:iCs/>
      <w:spacing w:val="5"/>
      <w:sz w:val="20"/>
      <w:szCs w:val="20"/>
    </w:rPr>
  </w:style>
  <w:style w:type="character" w:styleId="Odwoaniedokomentarza">
    <w:name w:val="annotation reference"/>
    <w:basedOn w:val="Domylnaczcionkaakapitu"/>
    <w:semiHidden/>
    <w:rsid w:val="005173B0"/>
    <w:rPr>
      <w:sz w:val="16"/>
      <w:szCs w:val="16"/>
    </w:rPr>
  </w:style>
  <w:style w:type="paragraph" w:customStyle="1" w:styleId="ECHRFooter">
    <w:name w:val="ECHR_Footer"/>
    <w:aliases w:val="Footer_ECHR"/>
    <w:basedOn w:val="Stopka0"/>
    <w:link w:val="ECHRFooterChar"/>
    <w:uiPriority w:val="47"/>
    <w:rsid w:val="005173B0"/>
    <w:pPr>
      <w:widowControl/>
    </w:pPr>
    <w:rPr>
      <w:rFonts w:asciiTheme="minorHAnsi" w:eastAsiaTheme="minorHAnsi" w:hAnsiTheme="minorHAnsi" w:cstheme="minorBidi"/>
      <w:color w:val="auto"/>
      <w:sz w:val="20"/>
      <w:szCs w:val="22"/>
      <w:lang w:bidi="ar-SA"/>
    </w:rPr>
  </w:style>
  <w:style w:type="character" w:customStyle="1" w:styleId="ECHRFooterChar">
    <w:name w:val="ECHR_Footer Char"/>
    <w:basedOn w:val="Domylnaczcionkaakapitu"/>
    <w:link w:val="ECHRFooter"/>
    <w:uiPriority w:val="47"/>
    <w:rsid w:val="005173B0"/>
    <w:rPr>
      <w:rFonts w:asciiTheme="minorHAnsi" w:eastAsiaTheme="minorHAnsi" w:hAnsiTheme="minorHAnsi" w:cstheme="minorBidi"/>
      <w:sz w:val="20"/>
      <w:szCs w:val="22"/>
      <w:lang w:bidi="ar-SA"/>
    </w:rPr>
  </w:style>
  <w:style w:type="paragraph" w:customStyle="1" w:styleId="ECHRCoverTitle1">
    <w:name w:val="ECHR_Cover_Title_1"/>
    <w:aliases w:val="Cover_1"/>
    <w:basedOn w:val="Normalny"/>
    <w:next w:val="ECHRCoverTitle2"/>
    <w:uiPriority w:val="33"/>
    <w:qFormat/>
    <w:rsid w:val="005173B0"/>
    <w:pPr>
      <w:widowControl/>
      <w:spacing w:before="1800"/>
      <w:contextualSpacing/>
      <w:jc w:val="center"/>
    </w:pPr>
    <w:rPr>
      <w:rFonts w:asciiTheme="minorHAnsi" w:eastAsiaTheme="minorHAnsi" w:hAnsiTheme="minorHAnsi" w:cstheme="minorBidi"/>
      <w:color w:val="525252" w:themeColor="accent3" w:themeShade="80"/>
      <w:sz w:val="36"/>
      <w:szCs w:val="22"/>
      <w:lang w:bidi="ar-SA"/>
    </w:rPr>
  </w:style>
  <w:style w:type="paragraph" w:customStyle="1" w:styleId="ECHRCoverTitle2">
    <w:name w:val="ECHR_Cover_Title_2"/>
    <w:aliases w:val="Cover_2"/>
    <w:basedOn w:val="Normalny"/>
    <w:next w:val="Normalny"/>
    <w:uiPriority w:val="33"/>
    <w:qFormat/>
    <w:rsid w:val="005173B0"/>
    <w:pPr>
      <w:widowControl/>
      <w:pBdr>
        <w:top w:val="single" w:sz="12" w:space="31" w:color="323E4F" w:themeColor="text2" w:themeShade="BF"/>
      </w:pBdr>
      <w:spacing w:before="600"/>
      <w:ind w:left="2268" w:right="2268"/>
      <w:contextualSpacing/>
      <w:jc w:val="center"/>
    </w:pPr>
    <w:rPr>
      <w:rFonts w:asciiTheme="majorHAnsi" w:eastAsiaTheme="minorHAnsi" w:hAnsiTheme="majorHAnsi" w:cstheme="minorBidi"/>
      <w:color w:val="525252" w:themeColor="accent3" w:themeShade="80"/>
      <w:sz w:val="32"/>
      <w:szCs w:val="22"/>
      <w:lang w:bidi="ar-SA"/>
    </w:rPr>
  </w:style>
  <w:style w:type="paragraph" w:styleId="Tytu">
    <w:name w:val="Title"/>
    <w:basedOn w:val="Normalny"/>
    <w:next w:val="Normalny"/>
    <w:link w:val="TytuZnak"/>
    <w:uiPriority w:val="99"/>
    <w:qFormat/>
    <w:rsid w:val="005173B0"/>
    <w:pPr>
      <w:widowControl/>
      <w:pBdr>
        <w:bottom w:val="single" w:sz="4" w:space="1" w:color="auto"/>
      </w:pBdr>
      <w:contextualSpacing/>
    </w:pPr>
    <w:rPr>
      <w:rFonts w:asciiTheme="majorHAnsi" w:eastAsiaTheme="majorEastAsia" w:hAnsiTheme="majorHAnsi" w:cstheme="majorBidi"/>
      <w:color w:val="auto"/>
      <w:spacing w:val="5"/>
      <w:sz w:val="52"/>
      <w:szCs w:val="52"/>
    </w:rPr>
  </w:style>
  <w:style w:type="character" w:customStyle="1" w:styleId="TytuZnak">
    <w:name w:val="Tytuł Znak"/>
    <w:basedOn w:val="Domylnaczcionkaakapitu"/>
    <w:link w:val="Tytu"/>
    <w:uiPriority w:val="99"/>
    <w:rsid w:val="005173B0"/>
    <w:rPr>
      <w:rFonts w:asciiTheme="majorHAnsi" w:eastAsiaTheme="majorEastAsia" w:hAnsiTheme="majorHAnsi" w:cstheme="majorBidi"/>
      <w:spacing w:val="5"/>
      <w:sz w:val="52"/>
      <w:szCs w:val="52"/>
    </w:rPr>
  </w:style>
  <w:style w:type="paragraph" w:customStyle="1" w:styleId="ECHRParaSpaced">
    <w:name w:val="ECHR_Para_Spaced"/>
    <w:aliases w:val="Para_Spaced,_Para_Spaced"/>
    <w:basedOn w:val="Normalny"/>
    <w:link w:val="ECHRParaSpacedChar"/>
    <w:uiPriority w:val="5"/>
    <w:qFormat/>
    <w:rsid w:val="005173B0"/>
    <w:pPr>
      <w:widowControl/>
      <w:spacing w:before="120" w:after="120"/>
      <w:jc w:val="both"/>
    </w:pPr>
    <w:rPr>
      <w:rFonts w:asciiTheme="minorHAnsi" w:eastAsiaTheme="minorHAnsi" w:hAnsiTheme="minorHAnsi" w:cstheme="minorBidi"/>
      <w:color w:val="auto"/>
      <w:sz w:val="22"/>
      <w:szCs w:val="22"/>
      <w:lang w:bidi="ar-SA"/>
    </w:rPr>
  </w:style>
  <w:style w:type="character" w:customStyle="1" w:styleId="ECHRParaSpacedChar">
    <w:name w:val="ECHR_Para_Spaced Char"/>
    <w:aliases w:val="Para_Spaced Char"/>
    <w:basedOn w:val="Domylnaczcionkaakapitu"/>
    <w:link w:val="ECHRParaSpaced"/>
    <w:uiPriority w:val="5"/>
    <w:rsid w:val="005173B0"/>
    <w:rPr>
      <w:rFonts w:asciiTheme="minorHAnsi" w:eastAsiaTheme="minorHAnsi" w:hAnsiTheme="minorHAnsi" w:cstheme="minorBidi"/>
      <w:sz w:val="22"/>
      <w:szCs w:val="22"/>
      <w:lang w:bidi="ar-SA"/>
    </w:rPr>
  </w:style>
  <w:style w:type="paragraph" w:customStyle="1" w:styleId="ECHRHeading1">
    <w:name w:val="ECHR_Heading_1"/>
    <w:aliases w:val="Head_1"/>
    <w:basedOn w:val="Nagwek1"/>
    <w:next w:val="ECHRParaSpaced"/>
    <w:uiPriority w:val="21"/>
    <w:qFormat/>
    <w:rsid w:val="005173B0"/>
    <w:pPr>
      <w:keepNext/>
      <w:keepLines/>
      <w:spacing w:before="600"/>
      <w:ind w:left="454" w:hanging="454"/>
    </w:pPr>
    <w:rPr>
      <w:bCs w:val="0"/>
      <w:color w:val="auto"/>
      <w:sz w:val="36"/>
      <w:lang w:val="en-GB"/>
    </w:rPr>
  </w:style>
  <w:style w:type="paragraph" w:customStyle="1" w:styleId="ECHRHeading2">
    <w:name w:val="ECHR_Heading_2"/>
    <w:aliases w:val="Head_2"/>
    <w:basedOn w:val="Nagwek2"/>
    <w:next w:val="ECHRParaSpaced"/>
    <w:uiPriority w:val="21"/>
    <w:qFormat/>
    <w:rsid w:val="005173B0"/>
    <w:pPr>
      <w:keepNext/>
      <w:keepLines/>
      <w:spacing w:before="240"/>
      <w:contextualSpacing/>
    </w:pPr>
    <w:rPr>
      <w:bCs w:val="0"/>
      <w:color w:val="auto"/>
      <w:sz w:val="32"/>
      <w:lang w:val="en-GB"/>
    </w:rPr>
  </w:style>
  <w:style w:type="paragraph" w:customStyle="1" w:styleId="ECHRHeading3">
    <w:name w:val="ECHR_Heading_3"/>
    <w:aliases w:val="Head_3"/>
    <w:basedOn w:val="Nagwek3"/>
    <w:next w:val="ECHRParaSpaced"/>
    <w:uiPriority w:val="14"/>
    <w:qFormat/>
    <w:rsid w:val="005173B0"/>
    <w:pPr>
      <w:keepNext/>
      <w:keepLines/>
      <w:spacing w:before="240" w:line="240" w:lineRule="auto"/>
      <w:ind w:left="340" w:hanging="340"/>
      <w:contextualSpacing/>
    </w:pPr>
    <w:rPr>
      <w:bCs w:val="0"/>
      <w:color w:val="auto"/>
      <w:sz w:val="28"/>
      <w:lang w:val="en-GB"/>
    </w:rPr>
  </w:style>
  <w:style w:type="table" w:styleId="Tabela-Siatka">
    <w:name w:val="Table Grid"/>
    <w:basedOn w:val="Standardowy"/>
    <w:uiPriority w:val="59"/>
    <w:rsid w:val="005173B0"/>
    <w:pPr>
      <w:widowControl/>
    </w:pPr>
    <w:rPr>
      <w:rFonts w:asciiTheme="minorHAnsi" w:eastAsiaTheme="minorEastAsia" w:hAnsiTheme="minorHAnsi" w:cstheme="minorBidi"/>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ormalny"/>
    <w:next w:val="Normalny"/>
    <w:uiPriority w:val="99"/>
    <w:semiHidden/>
    <w:qFormat/>
    <w:rsid w:val="005173B0"/>
    <w:pPr>
      <w:keepNext/>
      <w:keepLines/>
      <w:widowControl/>
      <w:spacing w:before="240"/>
      <w:contextualSpacing/>
      <w:jc w:val="center"/>
    </w:pPr>
    <w:rPr>
      <w:rFonts w:asciiTheme="majorHAnsi" w:eastAsiaTheme="minorHAnsi" w:hAnsiTheme="majorHAnsi" w:cstheme="minorBidi"/>
      <w:b/>
      <w:color w:val="7B7B7B" w:themeColor="accent3" w:themeShade="BF"/>
      <w:sz w:val="32"/>
      <w:szCs w:val="22"/>
      <w:lang w:bidi="ar-SA"/>
    </w:rPr>
  </w:style>
  <w:style w:type="paragraph" w:customStyle="1" w:styleId="ECHRCoverTitle4">
    <w:name w:val="ECHR_Cover_Title_4"/>
    <w:aliases w:val="Cover_4"/>
    <w:basedOn w:val="Normalny"/>
    <w:uiPriority w:val="33"/>
    <w:qFormat/>
    <w:rsid w:val="005173B0"/>
    <w:pPr>
      <w:widowControl/>
      <w:tabs>
        <w:tab w:val="right" w:pos="7938"/>
      </w:tabs>
      <w:spacing w:before="120" w:after="120"/>
      <w:jc w:val="both"/>
    </w:pPr>
    <w:rPr>
      <w:rFonts w:asciiTheme="minorHAnsi" w:eastAsiaTheme="minorHAnsi" w:hAnsiTheme="minorHAnsi" w:cstheme="minorBidi"/>
      <w:color w:val="525252" w:themeColor="accent3" w:themeShade="80"/>
      <w:sz w:val="20"/>
      <w:szCs w:val="22"/>
      <w:lang w:bidi="ar-SA"/>
    </w:rPr>
  </w:style>
  <w:style w:type="paragraph" w:customStyle="1" w:styleId="ECHRParaQuote">
    <w:name w:val="ECHR_Para_Quote"/>
    <w:aliases w:val="Para_Quote,Ju_Quot"/>
    <w:basedOn w:val="ECHRParaSpaced"/>
    <w:next w:val="ECHRParaSpaced"/>
    <w:link w:val="JuQuotChar"/>
    <w:qFormat/>
    <w:rsid w:val="005173B0"/>
    <w:pPr>
      <w:ind w:left="567"/>
    </w:pPr>
    <w:rPr>
      <w:sz w:val="20"/>
    </w:rPr>
  </w:style>
  <w:style w:type="character" w:customStyle="1" w:styleId="JuQuotChar">
    <w:name w:val="Ju_Quot Char"/>
    <w:link w:val="ECHRParaQuote"/>
    <w:locked/>
    <w:rsid w:val="005173B0"/>
    <w:rPr>
      <w:rFonts w:asciiTheme="minorHAnsi" w:eastAsiaTheme="minorHAnsi" w:hAnsiTheme="minorHAnsi" w:cstheme="minorBidi"/>
      <w:sz w:val="20"/>
      <w:szCs w:val="22"/>
      <w:lang w:bidi="ar-SA"/>
    </w:rPr>
  </w:style>
  <w:style w:type="paragraph" w:customStyle="1" w:styleId="ECHRTitleCentre1">
    <w:name w:val="ECHR_Title_Centre_1"/>
    <w:aliases w:val="Title_C_1"/>
    <w:basedOn w:val="Normalny"/>
    <w:next w:val="ECHRParaSpaced"/>
    <w:uiPriority w:val="26"/>
    <w:qFormat/>
    <w:rsid w:val="005173B0"/>
    <w:pPr>
      <w:keepNext/>
      <w:keepLines/>
      <w:widowControl/>
      <w:spacing w:before="600"/>
      <w:contextualSpacing/>
      <w:jc w:val="center"/>
    </w:pPr>
    <w:rPr>
      <w:rFonts w:asciiTheme="majorHAnsi" w:eastAsiaTheme="minorHAnsi" w:hAnsiTheme="majorHAnsi" w:cstheme="minorBidi"/>
      <w:b/>
      <w:color w:val="525252" w:themeColor="accent3" w:themeShade="80"/>
      <w:sz w:val="36"/>
      <w:szCs w:val="22"/>
      <w:lang w:bidi="ar-SA"/>
    </w:rPr>
  </w:style>
  <w:style w:type="paragraph" w:customStyle="1" w:styleId="ECHRTitleCentreTOC1">
    <w:name w:val="ECHR_Title_Centre_TOC_1"/>
    <w:aliases w:val="Title_C_TOC"/>
    <w:basedOn w:val="ECHRTitleCentre1"/>
    <w:next w:val="ECHRHeading1"/>
    <w:uiPriority w:val="25"/>
    <w:qFormat/>
    <w:rsid w:val="005173B0"/>
    <w:pPr>
      <w:outlineLvl w:val="0"/>
    </w:pPr>
  </w:style>
  <w:style w:type="character" w:styleId="Tekstzastpczy">
    <w:name w:val="Placeholder Text"/>
    <w:basedOn w:val="Domylnaczcionkaakapitu"/>
    <w:uiPriority w:val="99"/>
    <w:rsid w:val="005173B0"/>
    <w:rPr>
      <w:color w:val="auto"/>
      <w:bdr w:val="none" w:sz="0" w:space="0" w:color="auto"/>
      <w:shd w:val="clear" w:color="auto" w:fill="FFFFFF" w:themeFill="background1" w:themeFillTint="33"/>
    </w:rPr>
  </w:style>
  <w:style w:type="paragraph" w:styleId="Mapadokumentu">
    <w:name w:val="Document Map"/>
    <w:basedOn w:val="ECHRParaSpaced"/>
    <w:link w:val="MapadokumentuZnak"/>
    <w:uiPriority w:val="99"/>
    <w:semiHidden/>
    <w:rsid w:val="005173B0"/>
    <w:rPr>
      <w:lang w:val="en-GB"/>
    </w:rPr>
  </w:style>
  <w:style w:type="character" w:customStyle="1" w:styleId="MapadokumentuZnak">
    <w:name w:val="Mapa dokumentu Znak"/>
    <w:basedOn w:val="Domylnaczcionkaakapitu"/>
    <w:link w:val="Mapadokumentu"/>
    <w:uiPriority w:val="99"/>
    <w:semiHidden/>
    <w:rsid w:val="005173B0"/>
    <w:rPr>
      <w:rFonts w:asciiTheme="minorHAnsi" w:eastAsiaTheme="minorHAnsi" w:hAnsiTheme="minorHAnsi" w:cstheme="minorBidi"/>
      <w:sz w:val="22"/>
      <w:szCs w:val="22"/>
      <w:lang w:val="en-GB" w:bidi="ar-SA"/>
    </w:rPr>
  </w:style>
  <w:style w:type="paragraph" w:styleId="Poprawka">
    <w:name w:val="Revision"/>
    <w:hidden/>
    <w:uiPriority w:val="99"/>
    <w:semiHidden/>
    <w:rsid w:val="005173B0"/>
    <w:pPr>
      <w:widowControl/>
    </w:pPr>
    <w:rPr>
      <w:rFonts w:asciiTheme="minorHAnsi" w:eastAsiaTheme="minorHAnsi" w:hAnsiTheme="minorHAnsi" w:cstheme="minorBidi"/>
      <w:sz w:val="22"/>
      <w:szCs w:val="22"/>
      <w:lang w:bidi="ar-SA"/>
    </w:rPr>
  </w:style>
  <w:style w:type="table" w:customStyle="1" w:styleId="ECHRTableSimpleBox">
    <w:name w:val="ECHR_Table_Simple_Box"/>
    <w:basedOn w:val="Standardowy"/>
    <w:uiPriority w:val="99"/>
    <w:rsid w:val="005173B0"/>
    <w:pPr>
      <w:widowControl/>
    </w:pPr>
    <w:rPr>
      <w:rFonts w:asciiTheme="minorHAnsi" w:eastAsiaTheme="minorHAnsi" w:hAnsiTheme="minorHAnsi" w:cstheme="minorBidi"/>
      <w:sz w:val="22"/>
      <w:szCs w:val="22"/>
      <w:lang w:bidi="ar-SA"/>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blBorders>
      <w:tblCellMar>
        <w:top w:w="113" w:type="dxa"/>
        <w:bottom w:w="113" w:type="dxa"/>
      </w:tblCellMar>
    </w:tblPr>
  </w:style>
  <w:style w:type="paragraph" w:customStyle="1" w:styleId="ECHRParaHanging">
    <w:name w:val="ECHR_Para_Hanging"/>
    <w:aliases w:val="Para_Hanging"/>
    <w:basedOn w:val="Normalny"/>
    <w:link w:val="ECHRParaHangingChar"/>
    <w:uiPriority w:val="7"/>
    <w:qFormat/>
    <w:rsid w:val="005173B0"/>
    <w:pPr>
      <w:widowControl/>
      <w:ind w:left="567" w:hanging="567"/>
    </w:pPr>
    <w:rPr>
      <w:rFonts w:asciiTheme="minorHAnsi" w:eastAsiaTheme="minorHAnsi" w:hAnsiTheme="minorHAnsi" w:cstheme="minorBidi"/>
      <w:color w:val="auto"/>
      <w:sz w:val="22"/>
      <w:szCs w:val="22"/>
      <w:lang w:val="en-GB" w:bidi="ar-SA"/>
    </w:rPr>
  </w:style>
  <w:style w:type="character" w:customStyle="1" w:styleId="ECHRParaHangingChar">
    <w:name w:val="ECHR_Para_Hanging Char"/>
    <w:aliases w:val="Para_Hanging Char"/>
    <w:basedOn w:val="Domylnaczcionkaakapitu"/>
    <w:link w:val="ECHRParaHanging"/>
    <w:uiPriority w:val="10"/>
    <w:rsid w:val="005173B0"/>
    <w:rPr>
      <w:rFonts w:asciiTheme="minorHAnsi" w:eastAsiaTheme="minorHAnsi" w:hAnsiTheme="minorHAnsi" w:cstheme="minorBidi"/>
      <w:sz w:val="22"/>
      <w:szCs w:val="22"/>
      <w:lang w:val="en-GB" w:bidi="ar-SA"/>
    </w:rPr>
  </w:style>
  <w:style w:type="paragraph" w:styleId="Indeks1">
    <w:name w:val="index 1"/>
    <w:basedOn w:val="ECHRParaHanging"/>
    <w:next w:val="Normalny"/>
    <w:uiPriority w:val="99"/>
    <w:rsid w:val="005173B0"/>
    <w:pPr>
      <w:tabs>
        <w:tab w:val="right" w:leader="dot" w:pos="9017"/>
      </w:tabs>
      <w:ind w:right="851"/>
    </w:pPr>
    <w:rPr>
      <w:noProof/>
      <w:sz w:val="20"/>
    </w:rPr>
  </w:style>
  <w:style w:type="paragraph" w:styleId="Nagwekindeksu">
    <w:name w:val="index heading"/>
    <w:basedOn w:val="ECHRTitleCentre1"/>
    <w:next w:val="Indeks1"/>
    <w:uiPriority w:val="99"/>
    <w:rsid w:val="005173B0"/>
    <w:pPr>
      <w:spacing w:before="480" w:after="120"/>
    </w:pPr>
    <w:rPr>
      <w:rFonts w:eastAsiaTheme="majorEastAsia" w:cstheme="majorBidi"/>
      <w:b w:val="0"/>
      <w:bCs/>
    </w:rPr>
  </w:style>
  <w:style w:type="table" w:customStyle="1" w:styleId="ECHRTableGrey">
    <w:name w:val="ECHR_Table_Grey"/>
    <w:basedOn w:val="Standardowy"/>
    <w:uiPriority w:val="99"/>
    <w:rsid w:val="005173B0"/>
    <w:pPr>
      <w:widowControl/>
      <w:tabs>
        <w:tab w:val="left" w:pos="397"/>
      </w:tabs>
      <w:spacing w:before="120" w:after="120"/>
    </w:pPr>
    <w:rPr>
      <w:rFonts w:asciiTheme="minorHAnsi" w:eastAsiaTheme="minorHAnsi" w:hAnsiTheme="minorHAnsi" w:cstheme="minorBidi"/>
      <w:color w:val="262626" w:themeColor="text1" w:themeTint="D9"/>
      <w:sz w:val="22"/>
      <w:szCs w:val="22"/>
      <w:lang w:bidi="ar-SA"/>
    </w:rPr>
    <w:tblP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blBorders>
      <w:tblCellMar>
        <w:top w:w="142" w:type="dxa"/>
        <w:bottom w:w="85" w:type="dxa"/>
        <w:right w:w="227" w:type="dxa"/>
      </w:tblCellMar>
    </w:tblPr>
    <w:trPr>
      <w:cantSplit/>
    </w:trPr>
    <w:tcPr>
      <w:shd w:val="clear" w:color="auto" w:fill="E7E6E6"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table" w:customStyle="1" w:styleId="ECHRTableGrey1">
    <w:name w:val="ECHR_Table_Grey1"/>
    <w:basedOn w:val="Standardowy"/>
    <w:uiPriority w:val="99"/>
    <w:rsid w:val="005173B0"/>
    <w:pPr>
      <w:widowControl/>
      <w:tabs>
        <w:tab w:val="left" w:pos="397"/>
      </w:tabs>
      <w:spacing w:before="120" w:after="120"/>
    </w:pPr>
    <w:rPr>
      <w:rFonts w:asciiTheme="minorHAnsi" w:eastAsiaTheme="minorHAnsi" w:hAnsiTheme="minorHAnsi" w:cstheme="minorBidi"/>
      <w:color w:val="262626" w:themeColor="text1" w:themeTint="D9"/>
      <w:sz w:val="22"/>
      <w:szCs w:val="22"/>
      <w:lang w:bidi="ar-SA"/>
    </w:rPr>
    <w:tblPr>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tblBorders>
      <w:tblCellMar>
        <w:top w:w="142" w:type="dxa"/>
        <w:bottom w:w="85" w:type="dxa"/>
        <w:right w:w="227" w:type="dxa"/>
      </w:tblCellMar>
    </w:tblPr>
    <w:trPr>
      <w:cantSplit/>
    </w:trPr>
    <w:tcPr>
      <w:shd w:val="clear" w:color="auto" w:fill="E7E6E6" w:themeFill="background2"/>
      <w:tcMar>
        <w:top w:w="0" w:type="dxa"/>
        <w:bottom w:w="0" w:type="dxa"/>
      </w:tcMar>
    </w:tcPr>
    <w:tblStylePr w:type="firstRow">
      <w:pPr>
        <w:wordWrap/>
        <w:spacing w:beforeLines="0" w:before="120" w:beforeAutospacing="0" w:afterLines="0" w:after="120" w:afterAutospacing="0"/>
        <w:contextualSpacing w:val="0"/>
      </w:pPr>
      <w:rPr>
        <w:b/>
        <w:color w:val="262626" w:themeColor="text1" w:themeTint="D9"/>
      </w:rPr>
    </w:tblStylePr>
  </w:style>
  <w:style w:type="paragraph" w:customStyle="1" w:styleId="ECHRHeading4">
    <w:name w:val="ECHR_Heading_4"/>
    <w:aliases w:val="Head_4"/>
    <w:basedOn w:val="Nagwek4"/>
    <w:next w:val="ECHRParaSpaced"/>
    <w:uiPriority w:val="14"/>
    <w:qFormat/>
    <w:rsid w:val="005173B0"/>
    <w:pPr>
      <w:keepNext/>
      <w:keepLines/>
      <w:spacing w:before="240"/>
      <w:ind w:left="340" w:hanging="340"/>
      <w:contextualSpacing/>
    </w:pPr>
    <w:rPr>
      <w:bCs w:val="0"/>
      <w:i w:val="0"/>
      <w:iCs w:val="0"/>
      <w:color w:val="auto"/>
      <w:sz w:val="26"/>
      <w:lang w:val="en-GB"/>
    </w:rPr>
  </w:style>
  <w:style w:type="paragraph" w:customStyle="1" w:styleId="ECHRHeading5">
    <w:name w:val="ECHR_Heading_5"/>
    <w:aliases w:val="Head_5"/>
    <w:basedOn w:val="Nagwek5"/>
    <w:next w:val="ECHRParaSpaced"/>
    <w:uiPriority w:val="14"/>
    <w:qFormat/>
    <w:rsid w:val="005173B0"/>
    <w:pPr>
      <w:keepNext/>
      <w:keepLines/>
      <w:spacing w:before="240"/>
      <w:contextualSpacing/>
    </w:pPr>
    <w:rPr>
      <w:bCs w:val="0"/>
      <w:color w:val="auto"/>
      <w:sz w:val="24"/>
    </w:rPr>
  </w:style>
  <w:style w:type="paragraph" w:customStyle="1" w:styleId="ECHRHeading6">
    <w:name w:val="ECHR_Heading_6"/>
    <w:aliases w:val="Head_6"/>
    <w:basedOn w:val="Nagwek6"/>
    <w:next w:val="ECHRParaSpaced"/>
    <w:uiPriority w:val="21"/>
    <w:rsid w:val="005173B0"/>
    <w:pPr>
      <w:keepNext/>
      <w:keepLines/>
      <w:numPr>
        <w:ilvl w:val="4"/>
        <w:numId w:val="106"/>
      </w:numPr>
      <w:spacing w:before="240" w:line="240" w:lineRule="auto"/>
      <w:contextualSpacing/>
    </w:pPr>
    <w:rPr>
      <w:color w:val="auto"/>
    </w:rPr>
  </w:style>
  <w:style w:type="paragraph" w:customStyle="1" w:styleId="ECHRHeading7">
    <w:name w:val="ECHR_Heading_7"/>
    <w:aliases w:val="Head_7"/>
    <w:basedOn w:val="Nagwek7"/>
    <w:next w:val="ECHRParaSpaced"/>
    <w:uiPriority w:val="21"/>
    <w:rsid w:val="005173B0"/>
    <w:pPr>
      <w:keepNext/>
      <w:keepLines/>
      <w:numPr>
        <w:ilvl w:val="6"/>
        <w:numId w:val="106"/>
      </w:numPr>
      <w:spacing w:before="240"/>
      <w:contextualSpacing/>
    </w:pPr>
  </w:style>
  <w:style w:type="paragraph" w:customStyle="1" w:styleId="ECHRNumberedList1">
    <w:name w:val="ECHR_Numbered_List_1"/>
    <w:aliases w:val="Num_1"/>
    <w:basedOn w:val="Normalny"/>
    <w:uiPriority w:val="12"/>
    <w:qFormat/>
    <w:rsid w:val="005173B0"/>
    <w:pPr>
      <w:widowControl/>
      <w:tabs>
        <w:tab w:val="num" w:pos="964"/>
      </w:tabs>
      <w:spacing w:before="60" w:after="60"/>
      <w:ind w:left="964" w:hanging="397"/>
    </w:pPr>
    <w:rPr>
      <w:rFonts w:asciiTheme="minorHAnsi" w:eastAsiaTheme="minorEastAsia" w:hAnsiTheme="minorHAnsi" w:cstheme="minorBidi"/>
      <w:color w:val="auto"/>
      <w:sz w:val="22"/>
      <w:szCs w:val="22"/>
      <w:lang w:bidi="ar-SA"/>
    </w:rPr>
  </w:style>
  <w:style w:type="paragraph" w:customStyle="1" w:styleId="ECHRNumberedList2">
    <w:name w:val="ECHR_Numbered_List_2"/>
    <w:aliases w:val="Num_2"/>
    <w:basedOn w:val="ECHRNumberedList1"/>
    <w:uiPriority w:val="12"/>
    <w:rsid w:val="005173B0"/>
    <w:pPr>
      <w:numPr>
        <w:ilvl w:val="1"/>
      </w:numPr>
      <w:tabs>
        <w:tab w:val="num" w:pos="964"/>
      </w:tabs>
      <w:ind w:left="964" w:hanging="397"/>
    </w:pPr>
  </w:style>
  <w:style w:type="paragraph" w:customStyle="1" w:styleId="ECHRNumberedList3">
    <w:name w:val="ECHR_Numbered_List_3"/>
    <w:aliases w:val="Num_3"/>
    <w:basedOn w:val="ECHRNumberedList2"/>
    <w:uiPriority w:val="12"/>
    <w:rsid w:val="005173B0"/>
    <w:pPr>
      <w:numPr>
        <w:ilvl w:val="2"/>
      </w:numPr>
      <w:tabs>
        <w:tab w:val="num" w:pos="964"/>
      </w:tabs>
      <w:ind w:left="964" w:hanging="397"/>
    </w:pPr>
  </w:style>
  <w:style w:type="paragraph" w:customStyle="1" w:styleId="ECHRBullet1">
    <w:name w:val="ECHR_Bullet_1"/>
    <w:aliases w:val="Bul_1"/>
    <w:basedOn w:val="Normalny"/>
    <w:uiPriority w:val="11"/>
    <w:qFormat/>
    <w:rsid w:val="005173B0"/>
    <w:pPr>
      <w:widowControl/>
      <w:numPr>
        <w:numId w:val="109"/>
      </w:numPr>
      <w:tabs>
        <w:tab w:val="clear" w:pos="4537"/>
        <w:tab w:val="num" w:pos="851"/>
      </w:tabs>
      <w:spacing w:before="60" w:after="60"/>
      <w:ind w:left="851"/>
      <w:jc w:val="both"/>
    </w:pPr>
    <w:rPr>
      <w:rFonts w:asciiTheme="minorHAnsi" w:eastAsiaTheme="minorEastAsia" w:hAnsiTheme="minorHAnsi" w:cstheme="minorBidi"/>
      <w:color w:val="auto"/>
      <w:sz w:val="22"/>
      <w:lang w:val="en-GB" w:bidi="ar-SA"/>
    </w:rPr>
  </w:style>
  <w:style w:type="paragraph" w:customStyle="1" w:styleId="ECHRBullet2">
    <w:name w:val="ECHR_Bullet_2"/>
    <w:aliases w:val="Bul_2"/>
    <w:basedOn w:val="ECHRBullet1"/>
    <w:uiPriority w:val="11"/>
    <w:rsid w:val="005173B0"/>
    <w:pPr>
      <w:numPr>
        <w:ilvl w:val="1"/>
      </w:numPr>
    </w:pPr>
  </w:style>
  <w:style w:type="paragraph" w:customStyle="1" w:styleId="ECHRBullet3">
    <w:name w:val="ECHR_Bullet_3"/>
    <w:aliases w:val="Bul_3"/>
    <w:basedOn w:val="ECHRBullet2"/>
    <w:uiPriority w:val="11"/>
    <w:rsid w:val="005173B0"/>
    <w:pPr>
      <w:numPr>
        <w:ilvl w:val="2"/>
      </w:numPr>
    </w:pPr>
  </w:style>
  <w:style w:type="paragraph" w:customStyle="1" w:styleId="ECHRBullet4">
    <w:name w:val="ECHR_Bullet_4"/>
    <w:aliases w:val="Bul_4"/>
    <w:basedOn w:val="ECHRBullet3"/>
    <w:uiPriority w:val="11"/>
    <w:rsid w:val="005173B0"/>
    <w:pPr>
      <w:numPr>
        <w:ilvl w:val="3"/>
      </w:numPr>
    </w:pPr>
  </w:style>
  <w:style w:type="paragraph" w:customStyle="1" w:styleId="ECHRCoverTitle3">
    <w:name w:val="ECHR_Cover_Title_3"/>
    <w:aliases w:val="Cover_3"/>
    <w:basedOn w:val="Normalny"/>
    <w:next w:val="Normalny"/>
    <w:uiPriority w:val="33"/>
    <w:qFormat/>
    <w:rsid w:val="005173B0"/>
    <w:pPr>
      <w:widowControl/>
      <w:spacing w:before="1680" w:after="1080"/>
      <w:contextualSpacing/>
      <w:jc w:val="center"/>
    </w:pPr>
    <w:rPr>
      <w:rFonts w:asciiTheme="minorHAnsi" w:eastAsiaTheme="minorHAnsi" w:hAnsiTheme="minorHAnsi" w:cstheme="minorBidi"/>
      <w:color w:val="525252" w:themeColor="accent3" w:themeShade="80"/>
      <w:szCs w:val="22"/>
      <w:lang w:bidi="ar-SA"/>
    </w:rPr>
  </w:style>
  <w:style w:type="character" w:customStyle="1" w:styleId="Hyperlinkcase">
    <w:name w:val="Hyperlinkcase"/>
    <w:basedOn w:val="Hipercze"/>
    <w:uiPriority w:val="1"/>
    <w:rsid w:val="005173B0"/>
    <w:rPr>
      <w:i/>
      <w:color w:val="5B9BD5" w:themeColor="accent1"/>
      <w:u w:val="none"/>
      <w:lang w:val="en-GB"/>
    </w:rPr>
  </w:style>
  <w:style w:type="character" w:customStyle="1" w:styleId="CLLItalic">
    <w:name w:val="CLL_Italic"/>
    <w:basedOn w:val="Domylnaczcionkaakapitu"/>
    <w:uiPriority w:val="1"/>
    <w:rsid w:val="005173B0"/>
    <w:rPr>
      <w:i/>
      <w:iCs/>
      <w:color w:val="auto"/>
      <w:lang w:val="en-GB"/>
    </w:rPr>
  </w:style>
  <w:style w:type="paragraph" w:styleId="Spisilustracji">
    <w:name w:val="table of figures"/>
    <w:basedOn w:val="Normalny"/>
    <w:next w:val="Normalny"/>
    <w:uiPriority w:val="99"/>
    <w:semiHidden/>
    <w:rsid w:val="005173B0"/>
    <w:pPr>
      <w:widowControl/>
    </w:pPr>
    <w:rPr>
      <w:rFonts w:asciiTheme="minorHAnsi" w:eastAsiaTheme="minorHAnsi" w:hAnsiTheme="minorHAnsi" w:cstheme="minorBidi"/>
      <w:color w:val="2E74B5" w:themeColor="accent1" w:themeShade="BF"/>
      <w:sz w:val="22"/>
      <w:szCs w:val="22"/>
      <w:lang w:bidi="ar-SA"/>
    </w:rPr>
  </w:style>
  <w:style w:type="character" w:customStyle="1" w:styleId="ECHRBold">
    <w:name w:val="ECHR_Bold"/>
    <w:aliases w:val="Bold"/>
    <w:uiPriority w:val="15"/>
    <w:semiHidden/>
    <w:rsid w:val="005173B0"/>
    <w:rPr>
      <w:b/>
      <w:color w:val="525252" w:themeColor="accent3" w:themeShade="80"/>
    </w:rPr>
  </w:style>
  <w:style w:type="character" w:customStyle="1" w:styleId="ECHRBoldItalic">
    <w:name w:val="ECHR_Bold_Italic"/>
    <w:aliases w:val="Bold+Italic"/>
    <w:uiPriority w:val="17"/>
    <w:semiHidden/>
    <w:rsid w:val="005173B0"/>
    <w:rPr>
      <w:b/>
      <w:i/>
      <w:color w:val="525252" w:themeColor="accent3" w:themeShade="80"/>
    </w:rPr>
  </w:style>
  <w:style w:type="table" w:customStyle="1" w:styleId="ECHRDNTable">
    <w:name w:val="ECHR_DN_Table"/>
    <w:aliases w:val="DN_Table"/>
    <w:basedOn w:val="Standardowy"/>
    <w:uiPriority w:val="99"/>
    <w:rsid w:val="005173B0"/>
    <w:pPr>
      <w:widowControl/>
    </w:pPr>
    <w:rPr>
      <w:rFonts w:asciiTheme="minorHAnsi" w:eastAsiaTheme="minorHAnsi" w:hAnsiTheme="minorHAnsi" w:cstheme="minorBidi"/>
      <w:sz w:val="22"/>
      <w:szCs w:val="22"/>
      <w:lang w:bidi="ar-SA"/>
    </w:rPr>
    <w:tblPr>
      <w:jc w:val="center"/>
      <w:tblBorders>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nil"/>
          <w:right w:val="single" w:sz="4" w:space="0" w:color="323E4F" w:themeColor="text2" w:themeShade="BF"/>
          <w:insideH w:val="nil"/>
          <w:insideV w:val="nil"/>
          <w:tl2br w:val="nil"/>
          <w:tr2bl w:val="nil"/>
        </w:tcBorders>
        <w:shd w:val="clear" w:color="auto" w:fill="D0CECE" w:themeFill="background2" w:themeFillShade="E6"/>
      </w:tcPr>
    </w:tblStylePr>
  </w:style>
  <w:style w:type="table" w:customStyle="1" w:styleId="ECHRHeaderTable">
    <w:name w:val="ECHR_Header_Table"/>
    <w:basedOn w:val="Standardowy"/>
    <w:uiPriority w:val="99"/>
    <w:rsid w:val="005173B0"/>
    <w:pPr>
      <w:widowControl/>
    </w:pPr>
    <w:rPr>
      <w:rFonts w:asciiTheme="minorHAnsi" w:eastAsiaTheme="minorHAnsi" w:hAnsiTheme="minorHAnsi" w:cstheme="minorBidi"/>
      <w:sz w:val="22"/>
      <w:szCs w:val="22"/>
      <w:lang w:bidi="ar-SA"/>
    </w:rPr>
    <w:tblPr>
      <w:tblInd w:w="-680" w:type="dxa"/>
      <w:tblBorders>
        <w:bottom w:val="single" w:sz="6" w:space="0" w:color="323E4F"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HeaderTableReduced">
    <w:name w:val="ECHR_Header_Table_Reduced"/>
    <w:basedOn w:val="Standardowy"/>
    <w:uiPriority w:val="99"/>
    <w:rsid w:val="005173B0"/>
    <w:pPr>
      <w:widowControl/>
    </w:pPr>
    <w:rPr>
      <w:rFonts w:asciiTheme="minorHAnsi" w:eastAsiaTheme="minorHAnsi" w:hAnsiTheme="minorHAnsi" w:cstheme="minorBidi"/>
      <w:sz w:val="22"/>
      <w:szCs w:val="22"/>
      <w:lang w:bidi="ar-SA"/>
    </w:rPr>
    <w:tblPr>
      <w:tblInd w:w="-680" w:type="dxa"/>
      <w:tblCellMar>
        <w:left w:w="0" w:type="dxa"/>
        <w:right w:w="0" w:type="dxa"/>
      </w:tblCellMar>
    </w:tblPr>
    <w:tcPr>
      <w:vAlign w:val="bottom"/>
    </w:tcPr>
    <w:tblStylePr w:type="firstRow">
      <w:rPr>
        <w:sz w:val="18"/>
      </w:rPr>
      <w:tblPr/>
      <w:tcPr>
        <w:tcBorders>
          <w:top w:val="nil"/>
          <w:left w:val="nil"/>
          <w:bottom w:val="single" w:sz="6" w:space="0" w:color="323E4F" w:themeColor="text2" w:themeShade="BF"/>
          <w:right w:val="nil"/>
          <w:insideH w:val="nil"/>
          <w:insideV w:val="nil"/>
          <w:tl2br w:val="nil"/>
          <w:tr2bl w:val="nil"/>
        </w:tcBorders>
      </w:tcPr>
    </w:tblStylePr>
    <w:tblStylePr w:type="lastRow">
      <w:pPr>
        <w:jc w:val="right"/>
      </w:pPr>
      <w:tblPr/>
      <w:tcPr>
        <w:tcBorders>
          <w:top w:val="single" w:sz="6" w:space="0" w:color="323E4F" w:themeColor="text2" w:themeShade="BF"/>
          <w:left w:val="nil"/>
          <w:bottom w:val="nil"/>
          <w:right w:val="nil"/>
          <w:insideH w:val="nil"/>
          <w:insideV w:val="nil"/>
          <w:tl2br w:val="nil"/>
          <w:tr2bl w:val="nil"/>
        </w:tcBorders>
      </w:tcPr>
    </w:tblStylePr>
  </w:style>
  <w:style w:type="character" w:customStyle="1" w:styleId="ECHRItalic">
    <w:name w:val="ECHR_Italic"/>
    <w:aliases w:val="Italic"/>
    <w:uiPriority w:val="16"/>
    <w:semiHidden/>
    <w:rsid w:val="005173B0"/>
    <w:rPr>
      <w:i/>
    </w:rPr>
  </w:style>
  <w:style w:type="paragraph" w:customStyle="1" w:styleId="ECHRParaIndent">
    <w:name w:val="ECHR_Para_Indent"/>
    <w:aliases w:val="Para_Indent"/>
    <w:basedOn w:val="ECHRParaSpaced"/>
    <w:uiPriority w:val="7"/>
    <w:qFormat/>
    <w:rsid w:val="005173B0"/>
    <w:pPr>
      <w:ind w:left="567"/>
    </w:pPr>
  </w:style>
  <w:style w:type="table" w:customStyle="1" w:styleId="ECHRTable">
    <w:name w:val="ECHR_Table"/>
    <w:basedOn w:val="Standardowy"/>
    <w:rsid w:val="005173B0"/>
    <w:pPr>
      <w:widowControl/>
    </w:pPr>
    <w:rPr>
      <w:rFonts w:asciiTheme="minorHAnsi" w:eastAsia="Times New Roman" w:hAnsiTheme="minorHAnsi" w:cs="Times New Roman"/>
      <w:sz w:val="20"/>
      <w:szCs w:val="20"/>
      <w:lang w:val="en-GB" w:bidi="ar-SA"/>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tblStylePr w:type="band2Vert">
      <w:tblPr/>
      <w:tcPr>
        <w:tcBorders>
          <w:top w:val="nil"/>
          <w:left w:val="nil"/>
          <w:bottom w:val="nil"/>
          <w:right w:val="nil"/>
          <w:insideH w:val="nil"/>
          <w:insideV w:val="nil"/>
          <w:tl2br w:val="nil"/>
          <w:tr2bl w:val="nil"/>
        </w:tcBorders>
        <w:shd w:val="clear" w:color="auto" w:fill="D0CECE" w:themeFill="background2" w:themeFillShade="E6"/>
      </w:tcPr>
    </w:tblStylePr>
    <w:tblStylePr w:type="band2Horz">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shd w:val="clear" w:color="auto" w:fill="D0CECE" w:themeFill="background2" w:themeFillShade="E6"/>
      </w:tcPr>
    </w:tblStylePr>
  </w:style>
  <w:style w:type="table" w:customStyle="1" w:styleId="ECHRTableBoxHeader">
    <w:name w:val="ECHR_Table_Box_Header"/>
    <w:basedOn w:val="Standardowy"/>
    <w:rsid w:val="005173B0"/>
    <w:pPr>
      <w:widowControl/>
    </w:pPr>
    <w:rPr>
      <w:rFonts w:ascii="Verdana" w:eastAsia="Times New Roman" w:hAnsi="Verdana" w:cs="Times New Roman"/>
      <w:sz w:val="20"/>
      <w:szCs w:val="20"/>
      <w:lang w:val="en-GB" w:bidi="ar-SA"/>
    </w:rPr>
    <w:tblPr>
      <w:tblCellMar>
        <w:top w:w="57" w:type="dxa"/>
        <w:left w:w="57" w:type="dxa"/>
        <w:bottom w:w="57" w:type="dxa"/>
        <w:right w:w="57" w:type="dxa"/>
      </w:tblCellMar>
    </w:tblPr>
    <w:tcPr>
      <w:shd w:val="clear" w:color="auto" w:fill="E7E6E6" w:themeFill="background2"/>
    </w:tcPr>
    <w:tblStylePr w:type="firstCol">
      <w:rPr>
        <w:b/>
        <w:color w:val="A5A5A5" w:themeColor="accent3"/>
      </w:rPr>
    </w:tblStylePr>
  </w:style>
  <w:style w:type="table" w:customStyle="1" w:styleId="ECHRTableFax">
    <w:name w:val="ECHR_Table_Fax"/>
    <w:basedOn w:val="Standardowy"/>
    <w:uiPriority w:val="99"/>
    <w:rsid w:val="005173B0"/>
    <w:pPr>
      <w:widowControl/>
    </w:pPr>
    <w:rPr>
      <w:rFonts w:asciiTheme="minorHAnsi" w:eastAsiaTheme="minorHAnsi" w:hAnsiTheme="minorHAnsi" w:cstheme="minorBidi"/>
      <w:color w:val="000000" w:themeColor="text1"/>
      <w:sz w:val="22"/>
      <w:szCs w:val="22"/>
      <w:lang w:bidi="ar-SA"/>
    </w:rPr>
    <w:tblPr>
      <w:tblInd w:w="-680" w:type="dxa"/>
      <w:tblBorders>
        <w:insideH w:val="single" w:sz="4" w:space="0" w:color="44546A" w:themeColor="text2"/>
        <w:insideV w:val="single" w:sz="4" w:space="0" w:color="44546A" w:themeColor="text2"/>
      </w:tblBorders>
      <w:tblCellMar>
        <w:top w:w="142" w:type="dxa"/>
        <w:bottom w:w="142" w:type="dxa"/>
      </w:tblCellMar>
    </w:tblPr>
    <w:trPr>
      <w:cantSplit/>
    </w:trPr>
  </w:style>
  <w:style w:type="table" w:customStyle="1" w:styleId="ECHRTableForInternalUse">
    <w:name w:val="ECHR_Table_For_Internal_Use"/>
    <w:basedOn w:val="Standardowy"/>
    <w:uiPriority w:val="99"/>
    <w:rsid w:val="005173B0"/>
    <w:pPr>
      <w:widowControl/>
    </w:pPr>
    <w:rPr>
      <w:rFonts w:asciiTheme="minorHAnsi" w:eastAsiaTheme="minorHAnsi" w:hAnsiTheme="minorHAnsi" w:cstheme="minorBidi"/>
      <w:color w:val="222A35" w:themeColor="text2" w:themeShade="80"/>
      <w:sz w:val="18"/>
      <w:szCs w:val="22"/>
      <w:lang w:bidi="ar-SA"/>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tblStylePr w:type="band1Vert">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l2br w:val="nil"/>
          <w:tr2bl w:val="nil"/>
        </w:tcBorders>
      </w:tcPr>
    </w:tblStylePr>
  </w:style>
  <w:style w:type="table" w:customStyle="1" w:styleId="ECHRTableMemo">
    <w:name w:val="ECHR_Table_Memo"/>
    <w:basedOn w:val="Standardowy"/>
    <w:uiPriority w:val="99"/>
    <w:rsid w:val="005173B0"/>
    <w:pPr>
      <w:widowControl/>
    </w:pPr>
    <w:rPr>
      <w:rFonts w:asciiTheme="minorHAnsi" w:eastAsiaTheme="minorHAnsi" w:hAnsiTheme="minorHAnsi" w:cstheme="minorBidi"/>
      <w:sz w:val="22"/>
      <w:szCs w:val="22"/>
      <w:lang w:bidi="ar-SA"/>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323E4F" w:themeColor="text2" w:themeShade="BF"/>
          <w:right w:val="nil"/>
          <w:insideH w:val="nil"/>
          <w:insideV w:val="nil"/>
          <w:tl2br w:val="nil"/>
          <w:tr2bl w:val="nil"/>
        </w:tcBorders>
      </w:tcPr>
    </w:tblStylePr>
  </w:style>
  <w:style w:type="table" w:customStyle="1" w:styleId="ECHRTableNoLines">
    <w:name w:val="ECHR_Table_No_Lines"/>
    <w:basedOn w:val="Standardowy"/>
    <w:uiPriority w:val="99"/>
    <w:rsid w:val="005173B0"/>
    <w:pPr>
      <w:widowControl/>
    </w:pPr>
    <w:rPr>
      <w:rFonts w:asciiTheme="minorHAnsi" w:eastAsiaTheme="minorHAnsi" w:hAnsiTheme="minorHAnsi" w:cstheme="minorBidi"/>
      <w:sz w:val="22"/>
      <w:szCs w:val="22"/>
      <w:lang w:bidi="ar-SA"/>
    </w:rPr>
    <w:tblPr>
      <w:tblCellMar>
        <w:top w:w="85" w:type="dxa"/>
        <w:left w:w="142" w:type="dxa"/>
        <w:bottom w:w="28" w:type="dxa"/>
        <w:right w:w="142" w:type="dxa"/>
      </w:tblCellMar>
    </w:tblPr>
    <w:tblStylePr w:type="firstRow">
      <w:rPr>
        <w:rFonts w:asciiTheme="majorHAnsi" w:hAnsiTheme="majorHAnsi"/>
        <w:b/>
        <w:i w:val="0"/>
        <w:color w:val="7B7B7B" w:themeColor="accent3" w:themeShade="BF"/>
        <w:sz w:val="24"/>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nil"/>
          <w:tl2br w:val="nil"/>
          <w:tr2bl w:val="nil"/>
        </w:tcBorders>
        <w:shd w:val="clear" w:color="auto" w:fill="D0CECE" w:themeFill="background2" w:themeFillShade="E6"/>
      </w:tcPr>
    </w:tblStylePr>
    <w:tblStylePr w:type="firstCol">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cBorders>
      </w:tcPr>
    </w:tblStylePr>
  </w:style>
  <w:style w:type="table" w:customStyle="1" w:styleId="ECHRTableOddBanded">
    <w:name w:val="ECHR_Table_Odd_Banded"/>
    <w:basedOn w:val="Standardowy"/>
    <w:uiPriority w:val="99"/>
    <w:rsid w:val="005173B0"/>
    <w:pPr>
      <w:widowControl/>
    </w:pPr>
    <w:rPr>
      <w:rFonts w:asciiTheme="minorHAnsi" w:eastAsiaTheme="minorHAnsi" w:hAnsiTheme="minorHAnsi" w:cstheme="minorBidi"/>
      <w:sz w:val="22"/>
      <w:szCs w:val="22"/>
      <w:lang w:bidi="ar-SA"/>
    </w:rPr>
    <w:tblPr>
      <w:tblStyleRowBandSize w:val="1"/>
      <w:tblStyleColBandSize w:val="1"/>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top w:w="28" w:type="dxa"/>
        <w:bottom w:w="28" w:type="dxa"/>
      </w:tblCellMar>
    </w:tblPr>
    <w:tblStylePr w:type="firstRow">
      <w:rPr>
        <w:rFonts w:asciiTheme="majorHAnsi" w:hAnsiTheme="majorHAnsi"/>
        <w:b/>
        <w:i w:val="0"/>
        <w:color w:val="7B7B7B" w:themeColor="accent3" w:themeShade="BF"/>
        <w:sz w:val="22"/>
      </w:rPr>
      <w:tblPr/>
      <w:tcPr>
        <w:tc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nil"/>
          <w:insideV w:val="single" w:sz="4" w:space="0" w:color="323E4F" w:themeColor="text2" w:themeShade="BF"/>
          <w:tl2br w:val="nil"/>
          <w:tr2bl w:val="nil"/>
        </w:tcBorders>
        <w:shd w:val="clear" w:color="auto" w:fill="D0CECE" w:themeFill="background2" w:themeFillShade="E6"/>
      </w:tcPr>
    </w:tblStylePr>
    <w:tblStylePr w:type="band1Vert">
      <w:tblPr/>
      <w:tcPr>
        <w:tcBorders>
          <w:top w:val="nil"/>
          <w:left w:val="nil"/>
          <w:bottom w:val="nil"/>
          <w:right w:val="nil"/>
          <w:insideH w:val="nil"/>
          <w:insideV w:val="nil"/>
          <w:tl2br w:val="nil"/>
          <w:tr2bl w:val="nil"/>
        </w:tcBorders>
        <w:shd w:val="clear" w:color="auto" w:fill="D0CECE" w:themeFill="background2" w:themeFillShade="E6"/>
      </w:tcPr>
    </w:tblStylePr>
    <w:tblStylePr w:type="band1Horz">
      <w:rPr>
        <w:b/>
      </w:rPr>
      <w:tblPr/>
      <w:tcPr>
        <w:shd w:val="clear" w:color="auto" w:fill="D0CECE" w:themeFill="background2" w:themeFillShade="E6"/>
      </w:tcPr>
    </w:tblStylePr>
  </w:style>
  <w:style w:type="paragraph" w:customStyle="1" w:styleId="ECHRTitle1">
    <w:name w:val="ECHR_Title_1"/>
    <w:aliases w:val="Title_L_1"/>
    <w:basedOn w:val="Normalny"/>
    <w:next w:val="ECHRParaSpaced"/>
    <w:uiPriority w:val="29"/>
    <w:qFormat/>
    <w:rsid w:val="005173B0"/>
    <w:pPr>
      <w:keepNext/>
      <w:keepLines/>
      <w:widowControl/>
      <w:spacing w:before="600"/>
      <w:contextualSpacing/>
    </w:pPr>
    <w:rPr>
      <w:rFonts w:asciiTheme="majorHAnsi" w:eastAsiaTheme="minorHAnsi" w:hAnsiTheme="majorHAnsi" w:cstheme="minorBidi"/>
      <w:b/>
      <w:color w:val="525252" w:themeColor="accent3" w:themeShade="80"/>
      <w:sz w:val="36"/>
      <w:szCs w:val="22"/>
      <w:lang w:bidi="ar-SA"/>
    </w:rPr>
  </w:style>
  <w:style w:type="paragraph" w:customStyle="1" w:styleId="ECHRTitle2">
    <w:name w:val="ECHR_Title_2"/>
    <w:aliases w:val="Title_L_2"/>
    <w:basedOn w:val="Normalny"/>
    <w:next w:val="ECHRParaSpaced"/>
    <w:uiPriority w:val="29"/>
    <w:qFormat/>
    <w:rsid w:val="005173B0"/>
    <w:pPr>
      <w:keepNext/>
      <w:keepLines/>
      <w:widowControl/>
      <w:spacing w:before="240"/>
      <w:contextualSpacing/>
    </w:pPr>
    <w:rPr>
      <w:rFonts w:asciiTheme="majorHAnsi" w:eastAsiaTheme="minorHAnsi" w:hAnsiTheme="majorHAnsi" w:cstheme="minorBidi"/>
      <w:b/>
      <w:color w:val="7B7B7B" w:themeColor="accent3" w:themeShade="BF"/>
      <w:sz w:val="32"/>
      <w:szCs w:val="22"/>
      <w:lang w:bidi="ar-SA"/>
    </w:rPr>
  </w:style>
  <w:style w:type="paragraph" w:customStyle="1" w:styleId="ECHRTitle3">
    <w:name w:val="ECHR_Title_3"/>
    <w:aliases w:val="Title_L_3"/>
    <w:basedOn w:val="Normalny"/>
    <w:next w:val="ECHRParaSpaced"/>
    <w:uiPriority w:val="29"/>
    <w:qFormat/>
    <w:rsid w:val="005173B0"/>
    <w:pPr>
      <w:keepNext/>
      <w:keepLines/>
      <w:widowControl/>
      <w:spacing w:before="240"/>
      <w:contextualSpacing/>
    </w:pPr>
    <w:rPr>
      <w:rFonts w:asciiTheme="majorHAnsi" w:eastAsiaTheme="minorHAnsi" w:hAnsiTheme="majorHAnsi" w:cstheme="minorBidi"/>
      <w:b/>
      <w:color w:val="7B7B7B" w:themeColor="accent3" w:themeShade="BF"/>
      <w:sz w:val="28"/>
      <w:szCs w:val="22"/>
      <w:lang w:bidi="ar-SA"/>
    </w:rPr>
  </w:style>
  <w:style w:type="table" w:customStyle="1" w:styleId="PCFTableStyle">
    <w:name w:val="PCF_Table_Style"/>
    <w:basedOn w:val="Standardowy"/>
    <w:uiPriority w:val="99"/>
    <w:rsid w:val="005173B0"/>
    <w:pPr>
      <w:widowControl/>
    </w:pPr>
    <w:rPr>
      <w:rFonts w:asciiTheme="minorHAnsi" w:eastAsiaTheme="minorHAnsi" w:hAnsiTheme="minorHAnsi" w:cstheme="minorBidi"/>
      <w:color w:val="000000" w:themeColor="text1"/>
      <w:sz w:val="18"/>
      <w:szCs w:val="22"/>
      <w:lang w:bidi="ar-SA"/>
    </w:rPr>
    <w:tblPr>
      <w:tblBorders>
        <w:top w:val="single" w:sz="8" w:space="0" w:color="C9C9C9" w:themeColor="accent3" w:themeTint="99"/>
        <w:left w:val="single" w:sz="8" w:space="0" w:color="C9C9C9" w:themeColor="accent3" w:themeTint="99"/>
        <w:bottom w:val="single" w:sz="8" w:space="0" w:color="C9C9C9" w:themeColor="accent3" w:themeTint="99"/>
        <w:right w:val="single" w:sz="8" w:space="0" w:color="C9C9C9" w:themeColor="accent3" w:themeTint="99"/>
        <w:insideH w:val="single" w:sz="8" w:space="0" w:color="C9C9C9" w:themeColor="accent3" w:themeTint="99"/>
        <w:insideV w:val="single" w:sz="8" w:space="0" w:color="C9C9C9"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5B9BD5" w:themeFill="accent1"/>
        <w:vAlign w:val="center"/>
      </w:tcPr>
    </w:tblStylePr>
    <w:tblStylePr w:type="firstCol">
      <w:pPr>
        <w:jc w:val="left"/>
      </w:pPr>
      <w:tblPr/>
      <w:tcPr>
        <w:vAlign w:val="center"/>
      </w:tcPr>
    </w:tblStylePr>
  </w:style>
  <w:style w:type="paragraph" w:styleId="Bezodstpw">
    <w:name w:val="No Spacing"/>
    <w:basedOn w:val="Normalny"/>
    <w:link w:val="BezodstpwZnak"/>
    <w:qFormat/>
    <w:rsid w:val="005173B0"/>
    <w:pPr>
      <w:widowControl/>
      <w:suppressAutoHyphens/>
      <w:jc w:val="both"/>
    </w:pPr>
    <w:rPr>
      <w:rFonts w:ascii="Times New Roman" w:eastAsia="Times New Roman" w:hAnsi="Times New Roman" w:cs="Times New Roman"/>
      <w:color w:val="auto"/>
      <w:szCs w:val="20"/>
      <w:lang w:val="fr-FR" w:eastAsia="fr-FR" w:bidi="ar-SA"/>
    </w:rPr>
  </w:style>
  <w:style w:type="character" w:customStyle="1" w:styleId="BezodstpwZnak">
    <w:name w:val="Bez odstępów Znak"/>
    <w:basedOn w:val="Domylnaczcionkaakapitu"/>
    <w:link w:val="Bezodstpw"/>
    <w:rsid w:val="005173B0"/>
    <w:rPr>
      <w:rFonts w:ascii="Times New Roman" w:eastAsia="Times New Roman" w:hAnsi="Times New Roman" w:cs="Times New Roman"/>
      <w:szCs w:val="20"/>
      <w:lang w:val="fr-FR" w:eastAsia="fr-FR" w:bidi="ar-SA"/>
    </w:rPr>
  </w:style>
  <w:style w:type="paragraph" w:styleId="Tekstkomentarza">
    <w:name w:val="annotation text"/>
    <w:basedOn w:val="Normalny"/>
    <w:link w:val="TekstkomentarzaZnak"/>
    <w:semiHidden/>
    <w:rsid w:val="005173B0"/>
    <w:pPr>
      <w:widowControl/>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semiHidden/>
    <w:rsid w:val="005173B0"/>
    <w:rPr>
      <w:rFonts w:asciiTheme="minorHAnsi" w:eastAsiaTheme="minorHAnsi" w:hAnsiTheme="minorHAnsi" w:cstheme="minorBidi"/>
      <w:sz w:val="20"/>
      <w:szCs w:val="20"/>
      <w:lang w:bidi="ar-SA"/>
    </w:rPr>
  </w:style>
  <w:style w:type="paragraph" w:customStyle="1" w:styleId="LtrSignature">
    <w:name w:val="Ltr_Signature"/>
    <w:basedOn w:val="Normalny"/>
    <w:rsid w:val="005173B0"/>
    <w:pPr>
      <w:widowControl/>
      <w:suppressAutoHyphens/>
      <w:jc w:val="center"/>
    </w:pPr>
    <w:rPr>
      <w:rFonts w:ascii="Times New Roman" w:eastAsia="Times New Roman" w:hAnsi="Times New Roman" w:cs="Times New Roman"/>
      <w:color w:val="auto"/>
      <w:szCs w:val="20"/>
      <w:lang w:val="fr-FR" w:eastAsia="fr-FR" w:bidi="ar-SA"/>
    </w:rPr>
  </w:style>
  <w:style w:type="character" w:styleId="Numerstrony">
    <w:name w:val="page number"/>
    <w:rsid w:val="005173B0"/>
    <w:rPr>
      <w:sz w:val="18"/>
    </w:rPr>
  </w:style>
  <w:style w:type="paragraph" w:styleId="Tematkomentarza">
    <w:name w:val="annotation subject"/>
    <w:basedOn w:val="Tekstkomentarza"/>
    <w:next w:val="Tekstkomentarza"/>
    <w:link w:val="TematkomentarzaZnak"/>
    <w:uiPriority w:val="99"/>
    <w:semiHidden/>
    <w:rsid w:val="005173B0"/>
    <w:rPr>
      <w:b/>
      <w:bCs/>
    </w:rPr>
  </w:style>
  <w:style w:type="character" w:customStyle="1" w:styleId="TematkomentarzaZnak">
    <w:name w:val="Temat komentarza Znak"/>
    <w:basedOn w:val="TekstkomentarzaZnak"/>
    <w:link w:val="Tematkomentarza"/>
    <w:uiPriority w:val="99"/>
    <w:semiHidden/>
    <w:rsid w:val="005173B0"/>
    <w:rPr>
      <w:rFonts w:asciiTheme="minorHAnsi" w:eastAsiaTheme="minorHAnsi" w:hAnsiTheme="minorHAnsi" w:cstheme="minorBidi"/>
      <w:b/>
      <w:bCs/>
      <w:sz w:val="20"/>
      <w:szCs w:val="20"/>
      <w:lang w:bidi="ar-SA"/>
    </w:rPr>
  </w:style>
  <w:style w:type="paragraph" w:styleId="Wykazrde">
    <w:name w:val="table of authorities"/>
    <w:basedOn w:val="Normalny"/>
    <w:next w:val="Normalny"/>
    <w:uiPriority w:val="99"/>
    <w:semiHidden/>
    <w:rsid w:val="005173B0"/>
    <w:pPr>
      <w:widowControl/>
      <w:suppressAutoHyphens/>
      <w:ind w:left="240" w:hanging="240"/>
      <w:jc w:val="both"/>
    </w:pPr>
    <w:rPr>
      <w:rFonts w:ascii="Times New Roman" w:eastAsia="Times New Roman" w:hAnsi="Times New Roman" w:cs="Times New Roman"/>
      <w:color w:val="auto"/>
      <w:sz w:val="20"/>
      <w:szCs w:val="20"/>
      <w:lang w:val="fr-FR" w:eastAsia="fr-FR" w:bidi="ar-SA"/>
    </w:rPr>
  </w:style>
  <w:style w:type="paragraph" w:styleId="Indeks2">
    <w:name w:val="index 2"/>
    <w:basedOn w:val="Normalny"/>
    <w:next w:val="Normalny"/>
    <w:autoRedefine/>
    <w:uiPriority w:val="99"/>
    <w:semiHidden/>
    <w:rsid w:val="005173B0"/>
    <w:pPr>
      <w:widowControl/>
      <w:suppressAutoHyphens/>
      <w:ind w:left="480" w:hanging="240"/>
    </w:pPr>
    <w:rPr>
      <w:rFonts w:ascii="Times New Roman" w:eastAsia="Times New Roman" w:hAnsi="Times New Roman" w:cs="Times New Roman"/>
      <w:color w:val="auto"/>
      <w:sz w:val="18"/>
      <w:szCs w:val="18"/>
      <w:lang w:val="fr-FR" w:eastAsia="fr-FR" w:bidi="ar-SA"/>
    </w:rPr>
  </w:style>
  <w:style w:type="paragraph" w:styleId="Indeks3">
    <w:name w:val="index 3"/>
    <w:basedOn w:val="Normalny"/>
    <w:next w:val="Normalny"/>
    <w:autoRedefine/>
    <w:uiPriority w:val="99"/>
    <w:semiHidden/>
    <w:rsid w:val="005173B0"/>
    <w:pPr>
      <w:widowControl/>
      <w:suppressAutoHyphens/>
      <w:ind w:left="720" w:hanging="240"/>
    </w:pPr>
    <w:rPr>
      <w:rFonts w:ascii="Times New Roman" w:eastAsia="Times New Roman" w:hAnsi="Times New Roman" w:cs="Times New Roman"/>
      <w:color w:val="auto"/>
      <w:sz w:val="18"/>
      <w:szCs w:val="18"/>
      <w:lang w:val="fr-FR" w:eastAsia="fr-FR" w:bidi="ar-SA"/>
    </w:rPr>
  </w:style>
  <w:style w:type="paragraph" w:styleId="Indeks4">
    <w:name w:val="index 4"/>
    <w:basedOn w:val="Normalny"/>
    <w:next w:val="Normalny"/>
    <w:autoRedefine/>
    <w:uiPriority w:val="99"/>
    <w:semiHidden/>
    <w:rsid w:val="005173B0"/>
    <w:pPr>
      <w:widowControl/>
      <w:suppressAutoHyphens/>
      <w:ind w:left="960" w:hanging="240"/>
    </w:pPr>
    <w:rPr>
      <w:rFonts w:ascii="Times New Roman" w:eastAsia="Times New Roman" w:hAnsi="Times New Roman" w:cs="Times New Roman"/>
      <w:color w:val="auto"/>
      <w:sz w:val="18"/>
      <w:szCs w:val="18"/>
      <w:lang w:val="fr-FR" w:eastAsia="fr-FR" w:bidi="ar-SA"/>
    </w:rPr>
  </w:style>
  <w:style w:type="paragraph" w:styleId="Indeks5">
    <w:name w:val="index 5"/>
    <w:basedOn w:val="Normalny"/>
    <w:next w:val="Normalny"/>
    <w:autoRedefine/>
    <w:uiPriority w:val="99"/>
    <w:semiHidden/>
    <w:rsid w:val="005173B0"/>
    <w:pPr>
      <w:widowControl/>
      <w:suppressAutoHyphens/>
      <w:ind w:left="1200" w:hanging="240"/>
    </w:pPr>
    <w:rPr>
      <w:rFonts w:ascii="Times New Roman" w:eastAsia="Times New Roman" w:hAnsi="Times New Roman" w:cs="Times New Roman"/>
      <w:color w:val="auto"/>
      <w:sz w:val="18"/>
      <w:szCs w:val="18"/>
      <w:lang w:val="fr-FR" w:eastAsia="fr-FR" w:bidi="ar-SA"/>
    </w:rPr>
  </w:style>
  <w:style w:type="paragraph" w:styleId="Indeks6">
    <w:name w:val="index 6"/>
    <w:basedOn w:val="Normalny"/>
    <w:next w:val="Normalny"/>
    <w:autoRedefine/>
    <w:uiPriority w:val="99"/>
    <w:semiHidden/>
    <w:rsid w:val="005173B0"/>
    <w:pPr>
      <w:widowControl/>
      <w:suppressAutoHyphens/>
      <w:ind w:left="1440" w:hanging="240"/>
    </w:pPr>
    <w:rPr>
      <w:rFonts w:ascii="Times New Roman" w:eastAsia="Times New Roman" w:hAnsi="Times New Roman" w:cs="Times New Roman"/>
      <w:color w:val="auto"/>
      <w:sz w:val="18"/>
      <w:szCs w:val="18"/>
      <w:lang w:val="fr-FR" w:eastAsia="fr-FR" w:bidi="ar-SA"/>
    </w:rPr>
  </w:style>
  <w:style w:type="paragraph" w:styleId="Indeks7">
    <w:name w:val="index 7"/>
    <w:basedOn w:val="Normalny"/>
    <w:next w:val="Normalny"/>
    <w:autoRedefine/>
    <w:uiPriority w:val="99"/>
    <w:semiHidden/>
    <w:rsid w:val="005173B0"/>
    <w:pPr>
      <w:widowControl/>
      <w:suppressAutoHyphens/>
      <w:ind w:left="1680" w:hanging="240"/>
    </w:pPr>
    <w:rPr>
      <w:rFonts w:ascii="Times New Roman" w:eastAsia="Times New Roman" w:hAnsi="Times New Roman" w:cs="Times New Roman"/>
      <w:color w:val="auto"/>
      <w:sz w:val="18"/>
      <w:szCs w:val="18"/>
      <w:lang w:val="fr-FR" w:eastAsia="fr-FR" w:bidi="ar-SA"/>
    </w:rPr>
  </w:style>
  <w:style w:type="paragraph" w:styleId="Indeks8">
    <w:name w:val="index 8"/>
    <w:basedOn w:val="Normalny"/>
    <w:next w:val="Normalny"/>
    <w:autoRedefine/>
    <w:uiPriority w:val="99"/>
    <w:semiHidden/>
    <w:rsid w:val="005173B0"/>
    <w:pPr>
      <w:widowControl/>
      <w:suppressAutoHyphens/>
      <w:ind w:left="1920" w:hanging="240"/>
    </w:pPr>
    <w:rPr>
      <w:rFonts w:ascii="Times New Roman" w:eastAsia="Times New Roman" w:hAnsi="Times New Roman" w:cs="Times New Roman"/>
      <w:color w:val="auto"/>
      <w:sz w:val="18"/>
      <w:szCs w:val="18"/>
      <w:lang w:val="fr-FR" w:eastAsia="fr-FR" w:bidi="ar-SA"/>
    </w:rPr>
  </w:style>
  <w:style w:type="paragraph" w:styleId="Indeks9">
    <w:name w:val="index 9"/>
    <w:basedOn w:val="Normalny"/>
    <w:next w:val="Normalny"/>
    <w:autoRedefine/>
    <w:uiPriority w:val="99"/>
    <w:semiHidden/>
    <w:rsid w:val="005173B0"/>
    <w:pPr>
      <w:widowControl/>
      <w:suppressAutoHyphens/>
      <w:ind w:left="2160" w:hanging="240"/>
    </w:pPr>
    <w:rPr>
      <w:rFonts w:ascii="Times New Roman" w:eastAsia="Times New Roman" w:hAnsi="Times New Roman" w:cs="Times New Roman"/>
      <w:color w:val="auto"/>
      <w:sz w:val="18"/>
      <w:szCs w:val="18"/>
      <w:lang w:val="fr-FR" w:eastAsia="fr-FR" w:bidi="ar-SA"/>
    </w:rPr>
  </w:style>
  <w:style w:type="paragraph" w:customStyle="1" w:styleId="letterfooter">
    <w:name w:val="letter footer"/>
    <w:basedOn w:val="Stopka0"/>
    <w:rsid w:val="005173B0"/>
    <w:pPr>
      <w:widowControl/>
      <w:tabs>
        <w:tab w:val="clear" w:pos="4536"/>
        <w:tab w:val="clear" w:pos="9072"/>
        <w:tab w:val="center" w:pos="2381"/>
        <w:tab w:val="center" w:pos="3686"/>
        <w:tab w:val="center" w:pos="5500"/>
        <w:tab w:val="center" w:pos="6010"/>
        <w:tab w:val="right" w:pos="7371"/>
        <w:tab w:val="center" w:pos="7881"/>
        <w:tab w:val="center" w:pos="10319"/>
      </w:tabs>
      <w:suppressAutoHyphens/>
      <w:ind w:left="-1134" w:right="-1134"/>
      <w:jc w:val="both"/>
    </w:pPr>
    <w:rPr>
      <w:rFonts w:ascii="NewCenturySchlbk" w:eastAsia="Times New Roman" w:hAnsi="NewCenturySchlbk" w:cs="Times New Roman"/>
      <w:color w:val="auto"/>
      <w:sz w:val="10"/>
      <w:szCs w:val="20"/>
      <w:lang w:val="fr-FR" w:eastAsia="fr-FR" w:bidi="ar-SA"/>
    </w:rPr>
  </w:style>
  <w:style w:type="numbering" w:customStyle="1" w:styleId="NoList1">
    <w:name w:val="No List1"/>
    <w:next w:val="Bezlisty"/>
    <w:uiPriority w:val="99"/>
    <w:semiHidden/>
    <w:unhideWhenUsed/>
    <w:rsid w:val="005173B0"/>
  </w:style>
  <w:style w:type="numbering" w:customStyle="1" w:styleId="ECHRA1StyleBulletedSquare">
    <w:name w:val="ECHR_A1_Style_Bulleted_Square"/>
    <w:basedOn w:val="Bezlisty"/>
    <w:rsid w:val="005173B0"/>
    <w:pPr>
      <w:numPr>
        <w:numId w:val="109"/>
      </w:numPr>
    </w:pPr>
  </w:style>
  <w:style w:type="numbering" w:customStyle="1" w:styleId="ECHRA1StyleNumberedList">
    <w:name w:val="ECHR_A1_Style_Numbered_List"/>
    <w:basedOn w:val="Bezlisty"/>
    <w:rsid w:val="005173B0"/>
    <w:pPr>
      <w:numPr>
        <w:numId w:val="106"/>
      </w:numPr>
    </w:pPr>
  </w:style>
  <w:style w:type="paragraph" w:customStyle="1" w:styleId="NormalJustified">
    <w:name w:val="Normal_Justified"/>
    <w:basedOn w:val="Normalny"/>
    <w:semiHidden/>
    <w:rsid w:val="005173B0"/>
    <w:pPr>
      <w:widowControl/>
      <w:suppressAutoHyphens/>
      <w:jc w:val="both"/>
    </w:pPr>
    <w:rPr>
      <w:rFonts w:ascii="Times New Roman" w:eastAsia="Times New Roman" w:hAnsi="Times New Roman" w:cs="Times New Roman"/>
      <w:color w:val="auto"/>
      <w:szCs w:val="20"/>
      <w:lang w:val="fr-FR" w:eastAsia="fr-FR" w:bidi="ar-SA"/>
    </w:rPr>
  </w:style>
  <w:style w:type="paragraph" w:customStyle="1" w:styleId="ECHRDecisionBody">
    <w:name w:val="ECHR_Decision_Body"/>
    <w:basedOn w:val="NormalJustified"/>
    <w:uiPriority w:val="54"/>
    <w:semiHidden/>
    <w:rsid w:val="005173B0"/>
    <w:pPr>
      <w:tabs>
        <w:tab w:val="left" w:pos="567"/>
        <w:tab w:val="left" w:pos="1134"/>
      </w:tabs>
      <w:spacing w:line="240" w:lineRule="exact"/>
      <w:jc w:val="left"/>
    </w:pPr>
  </w:style>
  <w:style w:type="paragraph" w:customStyle="1" w:styleId="ECHRHeader">
    <w:name w:val="ECHR_Header"/>
    <w:aliases w:val="Top_Header"/>
    <w:basedOn w:val="Nagwek"/>
    <w:uiPriority w:val="46"/>
    <w:rsid w:val="005173B0"/>
    <w:pPr>
      <w:widowControl/>
      <w:tabs>
        <w:tab w:val="clear" w:pos="9072"/>
        <w:tab w:val="right" w:pos="9696"/>
      </w:tabs>
      <w:suppressAutoHyphens/>
      <w:ind w:left="-680" w:right="-680"/>
      <w:jc w:val="both"/>
    </w:pPr>
    <w:rPr>
      <w:rFonts w:ascii="Times New Roman" w:eastAsia="Times New Roman" w:hAnsi="Times New Roman" w:cs="Times New Roman"/>
      <w:color w:val="auto"/>
      <w:sz w:val="8"/>
      <w:szCs w:val="20"/>
      <w:lang w:val="fr-FR" w:eastAsia="fr-FR" w:bidi="ar-SA"/>
    </w:rPr>
  </w:style>
  <w:style w:type="paragraph" w:customStyle="1" w:styleId="ECHRLine">
    <w:name w:val="ECHR_Line"/>
    <w:basedOn w:val="NormalJustified"/>
    <w:next w:val="Normalny"/>
    <w:uiPriority w:val="22"/>
    <w:rsid w:val="005173B0"/>
    <w:pPr>
      <w:pBdr>
        <w:bottom w:val="single" w:sz="12" w:space="1" w:color="949494"/>
      </w:pBdr>
      <w:spacing w:after="120"/>
    </w:pPr>
    <w:rPr>
      <w:sz w:val="12"/>
    </w:rPr>
  </w:style>
  <w:style w:type="table" w:customStyle="1" w:styleId="ECHRListTable">
    <w:name w:val="ECHR_List_Table"/>
    <w:basedOn w:val="Standardowy"/>
    <w:uiPriority w:val="99"/>
    <w:rsid w:val="005173B0"/>
    <w:pPr>
      <w:widowControl/>
    </w:pPr>
    <w:rPr>
      <w:rFonts w:ascii="Calibri" w:eastAsia="Calibri" w:hAnsi="Calibri" w:cs="Times New Roman"/>
      <w:sz w:val="22"/>
      <w:szCs w:val="22"/>
      <w:lang w:bidi="ar-SA"/>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character" w:customStyle="1" w:styleId="ECHRRed">
    <w:name w:val="ECHR_Red"/>
    <w:aliases w:val="Red"/>
    <w:basedOn w:val="Domylnaczcionkaakapitu"/>
    <w:uiPriority w:val="19"/>
    <w:qFormat/>
    <w:rsid w:val="005173B0"/>
    <w:rPr>
      <w:color w:val="C00000"/>
    </w:rPr>
  </w:style>
  <w:style w:type="paragraph" w:customStyle="1" w:styleId="ECHRTitleCentre2">
    <w:name w:val="ECHR_Title_Centre_2"/>
    <w:aliases w:val="Title_C_2"/>
    <w:basedOn w:val="Normalny"/>
    <w:next w:val="ECHRParaSpaced"/>
    <w:uiPriority w:val="26"/>
    <w:qFormat/>
    <w:rsid w:val="005173B0"/>
    <w:pPr>
      <w:keepNext/>
      <w:keepLines/>
      <w:widowControl/>
      <w:suppressAutoHyphens/>
      <w:spacing w:before="240"/>
      <w:contextualSpacing/>
      <w:jc w:val="center"/>
    </w:pPr>
    <w:rPr>
      <w:rFonts w:ascii="Calibri" w:eastAsia="Times New Roman" w:hAnsi="Calibri" w:cs="Times New Roman"/>
      <w:b/>
      <w:color w:val="474747"/>
      <w:sz w:val="28"/>
      <w:szCs w:val="20"/>
      <w:lang w:val="fr-FR" w:eastAsia="fr-FR" w:bidi="ar-SA"/>
    </w:rPr>
  </w:style>
  <w:style w:type="paragraph" w:customStyle="1" w:styleId="ECHRTitleCentre3">
    <w:name w:val="ECHR_Title_Centre_3"/>
    <w:aliases w:val="Title_C_3"/>
    <w:basedOn w:val="Normalny"/>
    <w:next w:val="ECHRParaSpaced"/>
    <w:uiPriority w:val="26"/>
    <w:qFormat/>
    <w:rsid w:val="005173B0"/>
    <w:pPr>
      <w:keepNext/>
      <w:keepLines/>
      <w:widowControl/>
      <w:suppressAutoHyphens/>
      <w:spacing w:before="240"/>
      <w:contextualSpacing/>
      <w:jc w:val="center"/>
    </w:pPr>
    <w:rPr>
      <w:rFonts w:ascii="Calibri" w:eastAsia="Times New Roman" w:hAnsi="Calibri" w:cs="Times New Roman"/>
      <w:b/>
      <w:color w:val="474747"/>
      <w:szCs w:val="20"/>
      <w:lang w:val="fr-FR" w:eastAsia="fr-FR" w:bidi="ar-SA"/>
    </w:rPr>
  </w:style>
  <w:style w:type="paragraph" w:customStyle="1" w:styleId="ECHRTitleTOC1">
    <w:name w:val="ECHR_Title_TOC_1"/>
    <w:aliases w:val="Title_L_TOC"/>
    <w:basedOn w:val="ECHRTitle1"/>
    <w:next w:val="ECHRHeading1"/>
    <w:uiPriority w:val="28"/>
    <w:qFormat/>
    <w:rsid w:val="005173B0"/>
    <w:pPr>
      <w:suppressAutoHyphens/>
      <w:spacing w:before="240" w:after="240"/>
      <w:jc w:val="both"/>
      <w:outlineLvl w:val="0"/>
    </w:pPr>
    <w:rPr>
      <w:rFonts w:ascii="Calibri" w:eastAsia="Times New Roman" w:hAnsi="Calibri" w:cs="Times New Roman"/>
      <w:color w:val="auto"/>
      <w:szCs w:val="20"/>
      <w:lang w:val="fr-FR" w:eastAsia="fr-FR"/>
    </w:rPr>
  </w:style>
  <w:style w:type="table" w:customStyle="1" w:styleId="LtrTableAddress">
    <w:name w:val="Ltr_Table_Address"/>
    <w:basedOn w:val="Standardowy"/>
    <w:uiPriority w:val="99"/>
    <w:rsid w:val="005173B0"/>
    <w:pPr>
      <w:widowControl/>
    </w:pPr>
    <w:rPr>
      <w:rFonts w:ascii="Calibri" w:eastAsia="Calibri" w:hAnsi="Calibri" w:cs="Times New Roman"/>
      <w:sz w:val="22"/>
      <w:szCs w:val="22"/>
      <w:lang w:bidi="ar-SA"/>
    </w:rPr>
    <w:tblPr>
      <w:tblInd w:w="5103" w:type="dxa"/>
    </w:tblPr>
  </w:style>
  <w:style w:type="table" w:customStyle="1" w:styleId="TableGrid1">
    <w:name w:val="Table Grid1"/>
    <w:basedOn w:val="Standardowy"/>
    <w:next w:val="Tabela-Siatka"/>
    <w:rsid w:val="005173B0"/>
    <w:pPr>
      <w:widowControl/>
    </w:pPr>
    <w:rPr>
      <w:rFonts w:ascii="Calibri" w:eastAsia="Times New Roman" w:hAnsi="Calibri" w:cs="Times New Roman"/>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ECHRTitleCentre2"/>
    <w:next w:val="Normalny"/>
    <w:uiPriority w:val="99"/>
    <w:semiHidden/>
    <w:qFormat/>
    <w:rsid w:val="005173B0"/>
  </w:style>
  <w:style w:type="table" w:customStyle="1" w:styleId="UGTable">
    <w:name w:val="UG_Table"/>
    <w:basedOn w:val="Standardowy"/>
    <w:uiPriority w:val="99"/>
    <w:rsid w:val="005173B0"/>
    <w:pPr>
      <w:widowControl/>
    </w:pPr>
    <w:rPr>
      <w:rFonts w:ascii="Calibri" w:eastAsia="Times New Roman" w:hAnsi="Calibri" w:cs="Times New Roman"/>
      <w:sz w:val="20"/>
      <w:szCs w:val="22"/>
      <w:lang w:val="en-GB" w:eastAsia="en-GB" w:bidi="ar-SA"/>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5173B0"/>
    <w:pPr>
      <w:widowControl/>
    </w:pPr>
    <w:rPr>
      <w:rFonts w:ascii="Calibri" w:eastAsia="Times New Roman" w:hAnsi="Calibri" w:cs="Times New Roman"/>
      <w:sz w:val="22"/>
      <w:szCs w:val="22"/>
      <w:lang w:val="en-GB" w:eastAsia="en-GB" w:bidi="ar-SA"/>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
    <w:name w:val="ECHR_A1_Style_List"/>
    <w:basedOn w:val="Bezlisty"/>
    <w:uiPriority w:val="99"/>
    <w:rsid w:val="005173B0"/>
    <w:pPr>
      <w:numPr>
        <w:numId w:val="107"/>
      </w:numPr>
    </w:pPr>
  </w:style>
  <w:style w:type="paragraph" w:customStyle="1" w:styleId="ECHRList1">
    <w:name w:val="ECHR_List_1"/>
    <w:aliases w:val="Num_Left_1"/>
    <w:basedOn w:val="NormalJustified"/>
    <w:uiPriority w:val="12"/>
    <w:qFormat/>
    <w:rsid w:val="005173B0"/>
    <w:pPr>
      <w:numPr>
        <w:numId w:val="108"/>
      </w:numPr>
      <w:spacing w:before="60" w:after="60"/>
    </w:pPr>
  </w:style>
  <w:style w:type="paragraph" w:customStyle="1" w:styleId="ECHRList2">
    <w:name w:val="ECHR_List_2"/>
    <w:aliases w:val="Num_Left_2"/>
    <w:basedOn w:val="ECHRList1"/>
    <w:uiPriority w:val="12"/>
    <w:rsid w:val="005173B0"/>
    <w:pPr>
      <w:numPr>
        <w:ilvl w:val="1"/>
      </w:numPr>
    </w:pPr>
  </w:style>
  <w:style w:type="paragraph" w:customStyle="1" w:styleId="ECHRList3">
    <w:name w:val="ECHR_List_3"/>
    <w:aliases w:val="Num_Left_3"/>
    <w:basedOn w:val="ECHRList2"/>
    <w:uiPriority w:val="12"/>
    <w:rsid w:val="005173B0"/>
    <w:pPr>
      <w:numPr>
        <w:ilvl w:val="2"/>
      </w:numPr>
    </w:pPr>
  </w:style>
  <w:style w:type="table" w:customStyle="1" w:styleId="ECHRTable2016">
    <w:name w:val="ECHR_Table_2016"/>
    <w:basedOn w:val="Standardowy"/>
    <w:uiPriority w:val="99"/>
    <w:rsid w:val="005173B0"/>
    <w:pPr>
      <w:widowControl/>
    </w:pPr>
    <w:rPr>
      <w:rFonts w:ascii="Calibri" w:eastAsia="Calibri" w:hAnsi="Calibri" w:cs="Times New Roman"/>
      <w:sz w:val="22"/>
      <w:szCs w:val="22"/>
      <w:lang w:bidi="ar-SA"/>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Grey11">
    <w:name w:val="ECHR_Table_Grey11"/>
    <w:basedOn w:val="Standardowy"/>
    <w:uiPriority w:val="99"/>
    <w:rsid w:val="005173B0"/>
    <w:pPr>
      <w:widowControl/>
      <w:tabs>
        <w:tab w:val="left" w:pos="397"/>
      </w:tabs>
      <w:spacing w:before="120" w:after="120"/>
    </w:pPr>
    <w:rPr>
      <w:rFonts w:ascii="Calibri" w:eastAsia="Calibri" w:hAnsi="Calibri" w:cs="Times New Roman"/>
      <w:color w:val="262626"/>
      <w:sz w:val="22"/>
      <w:szCs w:val="22"/>
      <w:lang w:bidi="ar-SA"/>
    </w:rPr>
    <w:tblPr>
      <w:tblBorders>
        <w:top w:val="single" w:sz="4" w:space="0" w:color="636363"/>
        <w:left w:val="single" w:sz="4" w:space="0" w:color="636363"/>
        <w:bottom w:val="single" w:sz="4" w:space="0" w:color="636363"/>
        <w:right w:val="single" w:sz="4" w:space="0" w:color="636363"/>
      </w:tblBorders>
      <w:tblCellMar>
        <w:top w:w="142" w:type="dxa"/>
        <w:bottom w:w="85" w:type="dxa"/>
        <w:right w:w="227" w:type="dxa"/>
      </w:tblCellMar>
    </w:tblPr>
    <w:trPr>
      <w:cantSplit/>
    </w:trPr>
    <w:tcPr>
      <w:shd w:val="clear" w:color="auto" w:fill="F8F8F8"/>
      <w:tcMar>
        <w:top w:w="0" w:type="dxa"/>
        <w:bottom w:w="0" w:type="dxa"/>
      </w:tcMar>
    </w:tcPr>
    <w:tblStylePr w:type="firstRow">
      <w:pPr>
        <w:wordWrap/>
        <w:spacing w:beforeLines="0" w:before="120" w:beforeAutospacing="0" w:afterLines="0" w:after="120" w:afterAutospacing="0"/>
        <w:contextualSpacing w:val="0"/>
      </w:pPr>
      <w:rPr>
        <w:b/>
        <w:color w:val="262626"/>
      </w:rPr>
    </w:tblStylePr>
  </w:style>
  <w:style w:type="paragraph" w:customStyle="1" w:styleId="LtrOpening">
    <w:name w:val="Ltr_Opening"/>
    <w:basedOn w:val="Normalny"/>
    <w:rsid w:val="005173B0"/>
    <w:pPr>
      <w:widowControl/>
      <w:tabs>
        <w:tab w:val="right" w:pos="9072"/>
      </w:tabs>
      <w:suppressAutoHyphens/>
      <w:jc w:val="both"/>
    </w:pPr>
    <w:rPr>
      <w:rFonts w:ascii="Times New Roman" w:eastAsia="Times New Roman" w:hAnsi="Times New Roman" w:cs="Times New Roman"/>
      <w:color w:val="auto"/>
      <w:szCs w:val="20"/>
      <w:lang w:val="en-GB" w:eastAsia="fr-FR" w:bidi="ar-SA"/>
    </w:rPr>
  </w:style>
  <w:style w:type="paragraph" w:customStyle="1" w:styleId="LtrBody">
    <w:name w:val="Ltr_Body"/>
    <w:basedOn w:val="Normalny"/>
    <w:rsid w:val="005173B0"/>
    <w:pPr>
      <w:widowControl/>
      <w:suppressAutoHyphens/>
      <w:ind w:firstLine="567"/>
      <w:jc w:val="both"/>
    </w:pPr>
    <w:rPr>
      <w:rFonts w:ascii="Times New Roman" w:eastAsia="Times New Roman" w:hAnsi="Times New Roman" w:cs="Times New Roman"/>
      <w:color w:val="auto"/>
      <w:szCs w:val="20"/>
      <w:lang w:val="fr-FR" w:eastAsia="fr-FR" w:bidi="ar-SA"/>
    </w:rPr>
  </w:style>
  <w:style w:type="paragraph" w:customStyle="1" w:styleId="LtrClosing">
    <w:name w:val="Ltr_Closing"/>
    <w:basedOn w:val="Normalny"/>
    <w:rsid w:val="005173B0"/>
    <w:pPr>
      <w:widowControl/>
      <w:tabs>
        <w:tab w:val="left" w:pos="567"/>
      </w:tabs>
      <w:suppressAutoHyphens/>
      <w:jc w:val="both"/>
    </w:pPr>
    <w:rPr>
      <w:rFonts w:ascii="Times New Roman" w:eastAsia="Times New Roman" w:hAnsi="Times New Roman" w:cs="Times New Roman"/>
      <w:color w:val="auto"/>
      <w:szCs w:val="20"/>
      <w:lang w:val="fr-FR" w:eastAsia="fr-FR" w:bidi="ar-SA"/>
    </w:rPr>
  </w:style>
  <w:style w:type="paragraph" w:customStyle="1" w:styleId="JuHeader">
    <w:name w:val="Ju_Header"/>
    <w:basedOn w:val="Nagwek"/>
    <w:rsid w:val="005173B0"/>
    <w:pPr>
      <w:widowControl/>
      <w:tabs>
        <w:tab w:val="clear" w:pos="4536"/>
        <w:tab w:val="clear" w:pos="9072"/>
        <w:tab w:val="center" w:pos="3686"/>
        <w:tab w:val="right" w:pos="7371"/>
      </w:tabs>
      <w:suppressAutoHyphens/>
      <w:jc w:val="both"/>
    </w:pPr>
    <w:rPr>
      <w:rFonts w:ascii="Times New Roman" w:eastAsia="Times New Roman" w:hAnsi="Times New Roman" w:cs="Times New Roman"/>
      <w:color w:val="auto"/>
      <w:sz w:val="18"/>
      <w:szCs w:val="20"/>
      <w:lang w:val="fr-FR" w:eastAsia="fr-FR" w:bidi="ar-SA"/>
    </w:rPr>
  </w:style>
  <w:style w:type="character" w:customStyle="1" w:styleId="JuNames">
    <w:name w:val="Ju_Names"/>
    <w:rsid w:val="005173B0"/>
    <w:rPr>
      <w:smallCaps/>
    </w:rPr>
  </w:style>
  <w:style w:type="character" w:customStyle="1" w:styleId="MessageHeaderLabel">
    <w:name w:val="Message Header Label"/>
    <w:rsid w:val="005173B0"/>
    <w:rPr>
      <w:b/>
      <w:sz w:val="18"/>
    </w:rPr>
  </w:style>
  <w:style w:type="paragraph" w:customStyle="1" w:styleId="JuCase">
    <w:name w:val="Ju_Case"/>
    <w:basedOn w:val="Normalny"/>
    <w:rsid w:val="005173B0"/>
    <w:pPr>
      <w:widowControl/>
      <w:suppressAutoHyphens/>
      <w:ind w:firstLine="284"/>
      <w:jc w:val="both"/>
    </w:pPr>
    <w:rPr>
      <w:rFonts w:ascii="Times New Roman" w:eastAsia="Times New Roman" w:hAnsi="Times New Roman" w:cs="Times New Roman"/>
      <w:b/>
      <w:color w:val="auto"/>
      <w:szCs w:val="20"/>
      <w:lang w:val="fr-FR" w:eastAsia="fr-FR" w:bidi="ar-SA"/>
    </w:rPr>
  </w:style>
  <w:style w:type="paragraph" w:customStyle="1" w:styleId="JuJudges">
    <w:name w:val="Ju_Judges"/>
    <w:basedOn w:val="Normalny"/>
    <w:rsid w:val="005173B0"/>
    <w:pPr>
      <w:widowControl/>
      <w:tabs>
        <w:tab w:val="left" w:pos="567"/>
        <w:tab w:val="left" w:pos="1134"/>
      </w:tabs>
      <w:suppressAutoHyphens/>
      <w:jc w:val="both"/>
    </w:pPr>
    <w:rPr>
      <w:rFonts w:ascii="Times New Roman" w:eastAsia="Times New Roman" w:hAnsi="Times New Roman" w:cs="Times New Roman"/>
      <w:color w:val="auto"/>
      <w:szCs w:val="20"/>
      <w:lang w:val="fr-FR" w:eastAsia="fr-FR" w:bidi="ar-SA"/>
    </w:rPr>
  </w:style>
  <w:style w:type="paragraph" w:customStyle="1" w:styleId="JuCourt">
    <w:name w:val="Ju_Court"/>
    <w:basedOn w:val="JuJudges"/>
    <w:rsid w:val="005173B0"/>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ny"/>
    <w:next w:val="Normalny"/>
    <w:rsid w:val="005173B0"/>
    <w:pPr>
      <w:keepNext/>
      <w:keepLines/>
      <w:widowControl/>
      <w:suppressAutoHyphens/>
      <w:spacing w:before="720" w:after="240"/>
      <w:jc w:val="both"/>
    </w:pPr>
    <w:rPr>
      <w:rFonts w:ascii="Times New Roman" w:eastAsia="Times New Roman" w:hAnsi="Times New Roman" w:cs="Times New Roman"/>
      <w:color w:val="auto"/>
      <w:sz w:val="28"/>
      <w:szCs w:val="20"/>
      <w:lang w:val="fr-FR" w:eastAsia="fr-FR" w:bidi="ar-SA"/>
    </w:rPr>
  </w:style>
  <w:style w:type="paragraph" w:customStyle="1" w:styleId="JuHIRoman">
    <w:name w:val="Ju_H_I_Roman"/>
    <w:basedOn w:val="JuHHead"/>
    <w:next w:val="Normalny"/>
    <w:rsid w:val="005173B0"/>
    <w:pPr>
      <w:tabs>
        <w:tab w:val="left" w:pos="357"/>
      </w:tabs>
      <w:spacing w:before="360"/>
      <w:ind w:left="357" w:hanging="357"/>
    </w:pPr>
    <w:rPr>
      <w:sz w:val="24"/>
    </w:rPr>
  </w:style>
  <w:style w:type="paragraph" w:customStyle="1" w:styleId="JuHA">
    <w:name w:val="Ju_H_A"/>
    <w:basedOn w:val="JuHIRoman"/>
    <w:next w:val="Normalny"/>
    <w:rsid w:val="005173B0"/>
    <w:pPr>
      <w:tabs>
        <w:tab w:val="clear" w:pos="357"/>
        <w:tab w:val="left" w:pos="584"/>
      </w:tabs>
      <w:ind w:left="584" w:hanging="352"/>
    </w:pPr>
    <w:rPr>
      <w:b/>
    </w:rPr>
  </w:style>
  <w:style w:type="paragraph" w:customStyle="1" w:styleId="JuH1">
    <w:name w:val="Ju_H_1."/>
    <w:basedOn w:val="JuHA"/>
    <w:next w:val="Normalny"/>
    <w:rsid w:val="005173B0"/>
    <w:pPr>
      <w:tabs>
        <w:tab w:val="clear" w:pos="584"/>
        <w:tab w:val="left" w:pos="731"/>
      </w:tabs>
      <w:spacing w:before="240" w:after="120"/>
      <w:ind w:left="732" w:hanging="301"/>
    </w:pPr>
    <w:rPr>
      <w:b w:val="0"/>
      <w:i/>
    </w:rPr>
  </w:style>
  <w:style w:type="paragraph" w:customStyle="1" w:styleId="JuHa0">
    <w:name w:val="Ju_H_a"/>
    <w:basedOn w:val="JuH1"/>
    <w:next w:val="Normalny"/>
    <w:rsid w:val="005173B0"/>
    <w:pPr>
      <w:tabs>
        <w:tab w:val="clear" w:pos="731"/>
        <w:tab w:val="left" w:pos="975"/>
      </w:tabs>
      <w:ind w:left="975" w:hanging="340"/>
    </w:pPr>
    <w:rPr>
      <w:b/>
      <w:i w:val="0"/>
      <w:sz w:val="20"/>
    </w:rPr>
  </w:style>
  <w:style w:type="paragraph" w:customStyle="1" w:styleId="JuHi">
    <w:name w:val="Ju_H_i"/>
    <w:basedOn w:val="JuHa0"/>
    <w:next w:val="Normalny"/>
    <w:rsid w:val="005173B0"/>
    <w:pPr>
      <w:tabs>
        <w:tab w:val="clear" w:pos="975"/>
        <w:tab w:val="left" w:pos="1191"/>
      </w:tabs>
      <w:ind w:left="1190" w:hanging="357"/>
    </w:pPr>
    <w:rPr>
      <w:b w:val="0"/>
      <w:i/>
    </w:rPr>
  </w:style>
  <w:style w:type="paragraph" w:customStyle="1" w:styleId="JuHalpha">
    <w:name w:val="Ju_H_alpha"/>
    <w:basedOn w:val="JuHi"/>
    <w:next w:val="Normalny"/>
    <w:rsid w:val="005173B0"/>
    <w:pPr>
      <w:tabs>
        <w:tab w:val="clear" w:pos="1191"/>
        <w:tab w:val="left" w:pos="1372"/>
      </w:tabs>
      <w:ind w:left="1373" w:hanging="335"/>
    </w:pPr>
    <w:rPr>
      <w:i w:val="0"/>
    </w:rPr>
  </w:style>
  <w:style w:type="paragraph" w:customStyle="1" w:styleId="JuH">
    <w:name w:val="Ju_H_–"/>
    <w:basedOn w:val="JuHalpha"/>
    <w:next w:val="Normalny"/>
    <w:rsid w:val="005173B0"/>
    <w:pPr>
      <w:tabs>
        <w:tab w:val="clear" w:pos="1372"/>
      </w:tabs>
      <w:ind w:left="1236" w:firstLine="0"/>
    </w:pPr>
    <w:rPr>
      <w:i/>
    </w:rPr>
  </w:style>
  <w:style w:type="paragraph" w:customStyle="1" w:styleId="JuHArticle">
    <w:name w:val="Ju_H_Article"/>
    <w:basedOn w:val="JuHa0"/>
    <w:next w:val="Normalny"/>
    <w:rsid w:val="005173B0"/>
    <w:pPr>
      <w:ind w:left="0" w:firstLine="0"/>
      <w:jc w:val="center"/>
    </w:pPr>
  </w:style>
  <w:style w:type="paragraph" w:customStyle="1" w:styleId="JuSigned">
    <w:name w:val="Ju_Signed"/>
    <w:basedOn w:val="Normalny"/>
    <w:next w:val="Normalny"/>
    <w:rsid w:val="005173B0"/>
    <w:pPr>
      <w:widowControl/>
      <w:tabs>
        <w:tab w:val="center" w:pos="851"/>
        <w:tab w:val="center" w:pos="6407"/>
      </w:tabs>
      <w:suppressAutoHyphens/>
      <w:spacing w:before="720"/>
      <w:jc w:val="both"/>
    </w:pPr>
    <w:rPr>
      <w:rFonts w:ascii="Times New Roman" w:eastAsia="Times New Roman" w:hAnsi="Times New Roman" w:cs="Times New Roman"/>
      <w:color w:val="auto"/>
      <w:szCs w:val="20"/>
      <w:lang w:val="fr-FR" w:eastAsia="fr-FR" w:bidi="ar-SA"/>
    </w:rPr>
  </w:style>
  <w:style w:type="paragraph" w:customStyle="1" w:styleId="JuInitialled">
    <w:name w:val="Ju_Initialled"/>
    <w:basedOn w:val="JuSigned"/>
    <w:rsid w:val="005173B0"/>
    <w:pPr>
      <w:tabs>
        <w:tab w:val="clear" w:pos="851"/>
      </w:tabs>
      <w:jc w:val="right"/>
    </w:pPr>
  </w:style>
  <w:style w:type="paragraph" w:customStyle="1" w:styleId="JuList">
    <w:name w:val="Ju_List"/>
    <w:basedOn w:val="Normalny"/>
    <w:rsid w:val="005173B0"/>
    <w:pPr>
      <w:widowControl/>
      <w:suppressAutoHyphens/>
      <w:ind w:left="340" w:hanging="340"/>
      <w:jc w:val="both"/>
    </w:pPr>
    <w:rPr>
      <w:rFonts w:ascii="Times New Roman" w:eastAsia="Times New Roman" w:hAnsi="Times New Roman" w:cs="Times New Roman"/>
      <w:color w:val="auto"/>
      <w:szCs w:val="20"/>
      <w:lang w:val="fr-FR" w:eastAsia="fr-FR" w:bidi="ar-SA"/>
    </w:rPr>
  </w:style>
  <w:style w:type="paragraph" w:customStyle="1" w:styleId="JuLista">
    <w:name w:val="Ju_List_a"/>
    <w:basedOn w:val="JuList"/>
    <w:rsid w:val="005173B0"/>
    <w:pPr>
      <w:ind w:left="346" w:firstLine="0"/>
    </w:pPr>
  </w:style>
  <w:style w:type="paragraph" w:customStyle="1" w:styleId="JuListi">
    <w:name w:val="Ju_List_i"/>
    <w:basedOn w:val="JuLista"/>
    <w:rsid w:val="005173B0"/>
    <w:pPr>
      <w:ind w:left="794"/>
    </w:pPr>
  </w:style>
  <w:style w:type="paragraph" w:customStyle="1" w:styleId="JuParaLast">
    <w:name w:val="Ju_Para_Last"/>
    <w:basedOn w:val="Normalny"/>
    <w:rsid w:val="005173B0"/>
    <w:pPr>
      <w:keepNext/>
      <w:keepLines/>
      <w:widowControl/>
      <w:suppressAutoHyphens/>
      <w:spacing w:before="240"/>
      <w:ind w:firstLine="284"/>
      <w:jc w:val="both"/>
    </w:pPr>
    <w:rPr>
      <w:rFonts w:ascii="Times New Roman" w:eastAsia="Times New Roman" w:hAnsi="Times New Roman" w:cs="Times New Roman"/>
      <w:color w:val="auto"/>
      <w:szCs w:val="20"/>
      <w:lang w:val="fr-FR" w:eastAsia="fr-FR" w:bidi="ar-SA"/>
    </w:rPr>
  </w:style>
  <w:style w:type="paragraph" w:customStyle="1" w:styleId="JuParaSub">
    <w:name w:val="Ju_Para_Sub"/>
    <w:basedOn w:val="Normalny"/>
    <w:rsid w:val="005173B0"/>
    <w:pPr>
      <w:widowControl/>
      <w:suppressAutoHyphens/>
      <w:ind w:left="284" w:firstLine="284"/>
      <w:jc w:val="both"/>
    </w:pPr>
    <w:rPr>
      <w:rFonts w:ascii="Times New Roman" w:eastAsia="Times New Roman" w:hAnsi="Times New Roman" w:cs="Times New Roman"/>
      <w:color w:val="auto"/>
      <w:szCs w:val="20"/>
      <w:lang w:val="fr-FR" w:eastAsia="fr-FR" w:bidi="ar-SA"/>
    </w:rPr>
  </w:style>
  <w:style w:type="paragraph" w:customStyle="1" w:styleId="JuQuotList">
    <w:name w:val="Ju_Quot_List"/>
    <w:basedOn w:val="ECHRParaQuote"/>
    <w:rsid w:val="005173B0"/>
    <w:pPr>
      <w:tabs>
        <w:tab w:val="left" w:pos="1021"/>
      </w:tabs>
      <w:suppressAutoHyphens/>
    </w:pPr>
    <w:rPr>
      <w:rFonts w:ascii="Times New Roman" w:eastAsia="Times New Roman" w:hAnsi="Times New Roman" w:cs="Times New Roman"/>
      <w:szCs w:val="20"/>
      <w:lang w:val="fr-FR" w:eastAsia="fr-FR"/>
    </w:rPr>
  </w:style>
  <w:style w:type="paragraph" w:customStyle="1" w:styleId="JuQuotSub">
    <w:name w:val="Ju_Quot_Sub"/>
    <w:basedOn w:val="ECHRParaQuote"/>
    <w:rsid w:val="005173B0"/>
    <w:pPr>
      <w:suppressAutoHyphens/>
      <w:ind w:firstLine="142"/>
    </w:pPr>
    <w:rPr>
      <w:rFonts w:ascii="Times New Roman" w:eastAsia="Times New Roman" w:hAnsi="Times New Roman" w:cs="Times New Roman"/>
      <w:szCs w:val="20"/>
      <w:lang w:val="fr-FR" w:eastAsia="fr-FR"/>
    </w:rPr>
  </w:style>
  <w:style w:type="paragraph" w:customStyle="1" w:styleId="OpiHA">
    <w:name w:val="Opi_H_A"/>
    <w:basedOn w:val="JuHIRoman"/>
    <w:next w:val="Normalny"/>
    <w:rsid w:val="005173B0"/>
    <w:pPr>
      <w:tabs>
        <w:tab w:val="clear" w:pos="357"/>
      </w:tabs>
    </w:pPr>
    <w:rPr>
      <w:b/>
    </w:rPr>
  </w:style>
  <w:style w:type="paragraph" w:customStyle="1" w:styleId="OpiH1">
    <w:name w:val="Opi_H_1."/>
    <w:basedOn w:val="OpiHA"/>
    <w:next w:val="Normalny"/>
    <w:rsid w:val="005173B0"/>
    <w:pPr>
      <w:spacing w:before="240" w:after="120"/>
      <w:ind w:left="635"/>
    </w:pPr>
    <w:rPr>
      <w:b w:val="0"/>
      <w:i/>
    </w:rPr>
  </w:style>
  <w:style w:type="paragraph" w:customStyle="1" w:styleId="OpiHa0">
    <w:name w:val="Opi_H_a"/>
    <w:basedOn w:val="OpiH1"/>
    <w:next w:val="Normalny"/>
    <w:rsid w:val="005173B0"/>
    <w:pPr>
      <w:ind w:left="834"/>
    </w:pPr>
    <w:rPr>
      <w:b/>
      <w:i w:val="0"/>
      <w:sz w:val="20"/>
    </w:rPr>
  </w:style>
  <w:style w:type="paragraph" w:customStyle="1" w:styleId="OpiHHead">
    <w:name w:val="Opi_H_Head"/>
    <w:basedOn w:val="JuHHead"/>
    <w:next w:val="Normalny"/>
    <w:rsid w:val="005173B0"/>
    <w:pPr>
      <w:spacing w:before="0"/>
      <w:jc w:val="center"/>
    </w:pPr>
  </w:style>
  <w:style w:type="paragraph" w:customStyle="1" w:styleId="OpiHi">
    <w:name w:val="Opi_H_i"/>
    <w:basedOn w:val="OpiHa0"/>
    <w:next w:val="Normalny"/>
    <w:rsid w:val="005173B0"/>
    <w:pPr>
      <w:ind w:left="1038"/>
    </w:pPr>
    <w:rPr>
      <w:b w:val="0"/>
      <w:i/>
    </w:rPr>
  </w:style>
  <w:style w:type="paragraph" w:customStyle="1" w:styleId="OpiPara">
    <w:name w:val="Opi_Para"/>
    <w:basedOn w:val="Normalny"/>
    <w:rsid w:val="005173B0"/>
    <w:pPr>
      <w:widowControl/>
      <w:suppressAutoHyphens/>
      <w:ind w:firstLine="284"/>
      <w:jc w:val="both"/>
    </w:pPr>
    <w:rPr>
      <w:rFonts w:ascii="Times New Roman" w:eastAsia="Times New Roman" w:hAnsi="Times New Roman" w:cs="Times New Roman"/>
      <w:color w:val="auto"/>
      <w:szCs w:val="20"/>
      <w:lang w:val="fr-FR" w:eastAsia="fr-FR" w:bidi="ar-SA"/>
    </w:rPr>
  </w:style>
  <w:style w:type="paragraph" w:customStyle="1" w:styleId="OpiParaSub">
    <w:name w:val="Opi_Para_Sub"/>
    <w:basedOn w:val="JuParaSub"/>
    <w:rsid w:val="005173B0"/>
  </w:style>
  <w:style w:type="paragraph" w:customStyle="1" w:styleId="OpiQuot">
    <w:name w:val="Opi_Quot"/>
    <w:basedOn w:val="ECHRParaQuote"/>
    <w:rsid w:val="005173B0"/>
    <w:pPr>
      <w:suppressAutoHyphens/>
      <w:ind w:left="425" w:firstLine="142"/>
    </w:pPr>
    <w:rPr>
      <w:rFonts w:ascii="Times New Roman" w:eastAsia="Times New Roman" w:hAnsi="Times New Roman" w:cs="Times New Roman"/>
      <w:szCs w:val="20"/>
      <w:lang w:val="fr-FR" w:eastAsia="fr-FR"/>
    </w:rPr>
  </w:style>
  <w:style w:type="paragraph" w:customStyle="1" w:styleId="OpiQuotSub">
    <w:name w:val="Opi_Quot_Sub"/>
    <w:basedOn w:val="JuQuotSub"/>
    <w:rsid w:val="005173B0"/>
  </w:style>
  <w:style w:type="paragraph" w:customStyle="1" w:styleId="OpiTranslation">
    <w:name w:val="Opi_Translation"/>
    <w:basedOn w:val="OpiHHead"/>
    <w:next w:val="OpiPara"/>
    <w:rsid w:val="005173B0"/>
    <w:rPr>
      <w:i/>
      <w:sz w:val="24"/>
    </w:rPr>
  </w:style>
  <w:style w:type="paragraph" w:customStyle="1" w:styleId="PJuPara">
    <w:name w:val="P_Ju_Para"/>
    <w:basedOn w:val="Normalny"/>
    <w:rsid w:val="005173B0"/>
    <w:pPr>
      <w:widowControl/>
      <w:suppressAutoHyphens/>
      <w:ind w:firstLine="284"/>
      <w:jc w:val="both"/>
    </w:pPr>
    <w:rPr>
      <w:rFonts w:ascii="Times New Roman" w:eastAsia="Times New Roman" w:hAnsi="Times New Roman" w:cs="Times New Roman"/>
      <w:color w:val="auto"/>
      <w:szCs w:val="20"/>
      <w:lang w:val="fr-FR" w:eastAsia="fr-FR" w:bidi="ar-SA"/>
    </w:rPr>
  </w:style>
  <w:style w:type="paragraph" w:customStyle="1" w:styleId="PJuQuot">
    <w:name w:val="P_Ju_Quot"/>
    <w:basedOn w:val="Normalny"/>
    <w:rsid w:val="005173B0"/>
    <w:pPr>
      <w:widowControl/>
      <w:suppressAutoHyphens/>
      <w:spacing w:before="120" w:after="120"/>
      <w:ind w:left="403" w:firstLine="176"/>
      <w:jc w:val="both"/>
    </w:pPr>
    <w:rPr>
      <w:rFonts w:ascii="Times New Roman" w:eastAsia="Times New Roman" w:hAnsi="Times New Roman" w:cs="Times New Roman"/>
      <w:color w:val="auto"/>
      <w:sz w:val="20"/>
      <w:szCs w:val="20"/>
      <w:lang w:val="fr-FR" w:eastAsia="fr-FR" w:bidi="ar-SA"/>
    </w:rPr>
  </w:style>
  <w:style w:type="paragraph" w:customStyle="1" w:styleId="PListArticleSubject">
    <w:name w:val="P_List_ArticleSubject"/>
    <w:basedOn w:val="Normalny"/>
    <w:rsid w:val="005173B0"/>
    <w:pPr>
      <w:widowControl/>
      <w:tabs>
        <w:tab w:val="left" w:pos="2977"/>
      </w:tabs>
      <w:suppressAutoHyphens/>
      <w:ind w:left="2977" w:hanging="2977"/>
      <w:jc w:val="both"/>
    </w:pPr>
    <w:rPr>
      <w:rFonts w:ascii="Times New Roman" w:eastAsia="Times New Roman" w:hAnsi="Times New Roman" w:cs="Times New Roman"/>
      <w:color w:val="auto"/>
      <w:szCs w:val="20"/>
      <w:lang w:val="fr-FR" w:eastAsia="fr-FR" w:bidi="ar-SA"/>
    </w:rPr>
  </w:style>
  <w:style w:type="paragraph" w:customStyle="1" w:styleId="PListCaseNo">
    <w:name w:val="P_List_CaseNo"/>
    <w:basedOn w:val="Normalny"/>
    <w:rsid w:val="005173B0"/>
    <w:pPr>
      <w:widowControl/>
      <w:tabs>
        <w:tab w:val="left" w:pos="1276"/>
      </w:tabs>
      <w:suppressAutoHyphens/>
      <w:spacing w:line="288" w:lineRule="auto"/>
      <w:ind w:left="1276" w:hanging="1276"/>
      <w:jc w:val="both"/>
    </w:pPr>
    <w:rPr>
      <w:rFonts w:ascii="Times New Roman" w:eastAsia="Times New Roman" w:hAnsi="Times New Roman" w:cs="Times New Roman"/>
      <w:color w:val="auto"/>
      <w:szCs w:val="20"/>
      <w:lang w:val="fr-FR" w:eastAsia="fr-FR" w:bidi="ar-SA"/>
    </w:rPr>
  </w:style>
  <w:style w:type="paragraph" w:customStyle="1" w:styleId="PListCases">
    <w:name w:val="P_List_Cases"/>
    <w:basedOn w:val="Normalny"/>
    <w:rsid w:val="005173B0"/>
    <w:pPr>
      <w:widowControl/>
      <w:suppressAutoHyphens/>
      <w:spacing w:line="288" w:lineRule="auto"/>
      <w:jc w:val="both"/>
    </w:pPr>
    <w:rPr>
      <w:rFonts w:ascii="Times New Roman" w:eastAsia="Times New Roman" w:hAnsi="Times New Roman" w:cs="Times New Roman"/>
      <w:color w:val="auto"/>
      <w:szCs w:val="20"/>
      <w:lang w:val="fr-FR" w:eastAsia="fr-FR" w:bidi="ar-SA"/>
    </w:rPr>
  </w:style>
  <w:style w:type="paragraph" w:customStyle="1" w:styleId="PTextIntro">
    <w:name w:val="P_Text_Intro"/>
    <w:basedOn w:val="Normalny"/>
    <w:rsid w:val="005173B0"/>
    <w:pPr>
      <w:widowControl/>
      <w:suppressAutoHyphens/>
      <w:jc w:val="both"/>
    </w:pPr>
    <w:rPr>
      <w:rFonts w:ascii="Times New Roman" w:eastAsia="Times New Roman" w:hAnsi="Times New Roman" w:cs="Times New Roman"/>
      <w:i/>
      <w:color w:val="auto"/>
      <w:sz w:val="20"/>
      <w:szCs w:val="20"/>
      <w:lang w:val="fr-FR" w:eastAsia="fr-FR" w:bidi="ar-SA"/>
    </w:rPr>
  </w:style>
  <w:style w:type="paragraph" w:customStyle="1" w:styleId="PTitleCover">
    <w:name w:val="P_Title_Cover"/>
    <w:basedOn w:val="Normalny"/>
    <w:rsid w:val="005173B0"/>
    <w:pPr>
      <w:widowControl/>
      <w:suppressAutoHyphens/>
      <w:spacing w:before="2500"/>
      <w:jc w:val="center"/>
    </w:pPr>
    <w:rPr>
      <w:rFonts w:ascii="Times New Roman" w:eastAsia="Times New Roman" w:hAnsi="Times New Roman" w:cs="Times New Roman"/>
      <w:b/>
      <w:smallCaps/>
      <w:color w:val="auto"/>
      <w:sz w:val="30"/>
      <w:szCs w:val="20"/>
      <w:lang w:val="fr-FR" w:eastAsia="fr-FR" w:bidi="ar-SA"/>
    </w:rPr>
  </w:style>
  <w:style w:type="paragraph" w:customStyle="1" w:styleId="PTitle1Alpha">
    <w:name w:val="P_Title1_Alpha"/>
    <w:basedOn w:val="Normalny"/>
    <w:next w:val="Normalny"/>
    <w:rsid w:val="005173B0"/>
    <w:pPr>
      <w:widowControl/>
      <w:suppressAutoHyphens/>
      <w:spacing w:after="120"/>
      <w:jc w:val="center"/>
    </w:pPr>
    <w:rPr>
      <w:rFonts w:ascii="Times New Roman" w:eastAsia="Times New Roman" w:hAnsi="Times New Roman" w:cs="Times New Roman"/>
      <w:b/>
      <w:smallCaps/>
      <w:color w:val="auto"/>
      <w:sz w:val="30"/>
      <w:szCs w:val="20"/>
      <w:lang w:val="fr-FR" w:eastAsia="fr-FR" w:bidi="ar-SA"/>
    </w:rPr>
  </w:style>
  <w:style w:type="paragraph" w:customStyle="1" w:styleId="PTitle1IndexArticle">
    <w:name w:val="P_Title1_IndexArticle"/>
    <w:basedOn w:val="Normalny"/>
    <w:rsid w:val="005173B0"/>
    <w:pPr>
      <w:widowControl/>
      <w:suppressAutoHyphens/>
      <w:spacing w:after="120"/>
      <w:jc w:val="center"/>
    </w:pPr>
    <w:rPr>
      <w:rFonts w:ascii="Times New Roman" w:eastAsia="Times New Roman" w:hAnsi="Times New Roman" w:cs="Times New Roman"/>
      <w:b/>
      <w:smallCaps/>
      <w:color w:val="auto"/>
      <w:sz w:val="30"/>
      <w:szCs w:val="20"/>
      <w:lang w:val="fr-FR" w:eastAsia="fr-FR" w:bidi="ar-SA"/>
    </w:rPr>
  </w:style>
  <w:style w:type="paragraph" w:customStyle="1" w:styleId="PTitle1IndexKey">
    <w:name w:val="P_Title1_IndexKey"/>
    <w:basedOn w:val="Normalny"/>
    <w:rsid w:val="005173B0"/>
    <w:pPr>
      <w:widowControl/>
      <w:suppressAutoHyphens/>
      <w:spacing w:after="600"/>
      <w:jc w:val="center"/>
    </w:pPr>
    <w:rPr>
      <w:rFonts w:ascii="Times New Roman" w:eastAsia="Times New Roman" w:hAnsi="Times New Roman" w:cs="Times New Roman"/>
      <w:b/>
      <w:smallCaps/>
      <w:color w:val="auto"/>
      <w:sz w:val="30"/>
      <w:szCs w:val="20"/>
      <w:lang w:val="en-GB" w:eastAsia="fr-FR" w:bidi="ar-SA"/>
    </w:rPr>
  </w:style>
  <w:style w:type="paragraph" w:customStyle="1" w:styleId="PTitle1Num">
    <w:name w:val="P_Title1_Num"/>
    <w:basedOn w:val="Normalny"/>
    <w:next w:val="PListCaseNo"/>
    <w:rsid w:val="005173B0"/>
    <w:pPr>
      <w:widowControl/>
      <w:suppressAutoHyphens/>
      <w:spacing w:after="720"/>
      <w:jc w:val="center"/>
    </w:pPr>
    <w:rPr>
      <w:rFonts w:ascii="Times New Roman" w:eastAsia="Times New Roman" w:hAnsi="Times New Roman" w:cs="Times New Roman"/>
      <w:b/>
      <w:smallCaps/>
      <w:color w:val="auto"/>
      <w:sz w:val="30"/>
      <w:szCs w:val="20"/>
      <w:lang w:val="fr-FR" w:eastAsia="fr-FR" w:bidi="ar-SA"/>
    </w:rPr>
  </w:style>
  <w:style w:type="paragraph" w:customStyle="1" w:styleId="PTitle2Country">
    <w:name w:val="P_Title2_Country"/>
    <w:basedOn w:val="Normalny"/>
    <w:next w:val="PListCases"/>
    <w:rsid w:val="005173B0"/>
    <w:pPr>
      <w:keepNext/>
      <w:keepLines/>
      <w:widowControl/>
      <w:suppressAutoHyphens/>
      <w:spacing w:before="600" w:after="360"/>
      <w:jc w:val="both"/>
    </w:pPr>
    <w:rPr>
      <w:rFonts w:ascii="Times New Roman" w:eastAsia="Times New Roman" w:hAnsi="Times New Roman" w:cs="Times New Roman"/>
      <w:b/>
      <w:color w:val="auto"/>
      <w:szCs w:val="20"/>
      <w:lang w:val="fr-FR" w:eastAsia="fr-FR" w:bidi="ar-SA"/>
    </w:rPr>
  </w:style>
  <w:style w:type="paragraph" w:customStyle="1" w:styleId="PTitle2Letters">
    <w:name w:val="P_Title2_Letters"/>
    <w:basedOn w:val="Normalny"/>
    <w:next w:val="PListCases"/>
    <w:rsid w:val="005173B0"/>
    <w:pPr>
      <w:keepNext/>
      <w:keepLines/>
      <w:widowControl/>
      <w:suppressAutoHyphens/>
      <w:spacing w:before="600" w:after="360"/>
      <w:jc w:val="both"/>
    </w:pPr>
    <w:rPr>
      <w:rFonts w:ascii="Times New Roman" w:eastAsia="Times New Roman" w:hAnsi="Times New Roman" w:cs="Times New Roman"/>
      <w:b/>
      <w:color w:val="auto"/>
      <w:sz w:val="28"/>
      <w:szCs w:val="20"/>
      <w:lang w:val="fr-FR" w:eastAsia="fr-FR" w:bidi="ar-SA"/>
    </w:rPr>
  </w:style>
  <w:style w:type="paragraph" w:customStyle="1" w:styleId="PTitle2Part">
    <w:name w:val="P_Title2_Part"/>
    <w:basedOn w:val="Normalny"/>
    <w:rsid w:val="005173B0"/>
    <w:pPr>
      <w:keepNext/>
      <w:keepLines/>
      <w:widowControl/>
      <w:suppressAutoHyphens/>
      <w:spacing w:before="600" w:after="240"/>
      <w:jc w:val="center"/>
    </w:pPr>
    <w:rPr>
      <w:rFonts w:ascii="Times New Roman" w:eastAsia="Times New Roman" w:hAnsi="Times New Roman" w:cs="Times New Roman"/>
      <w:b/>
      <w:caps/>
      <w:color w:val="auto"/>
      <w:szCs w:val="20"/>
      <w:lang w:val="fr-FR" w:eastAsia="fr-FR" w:bidi="ar-SA"/>
    </w:rPr>
  </w:style>
  <w:style w:type="paragraph" w:customStyle="1" w:styleId="PTitle3Article">
    <w:name w:val="P_Title3_Article"/>
    <w:basedOn w:val="Normalny"/>
    <w:rsid w:val="005173B0"/>
    <w:pPr>
      <w:keepNext/>
      <w:keepLines/>
      <w:widowControl/>
      <w:suppressAutoHyphens/>
      <w:spacing w:before="360" w:after="120"/>
      <w:jc w:val="center"/>
    </w:pPr>
    <w:rPr>
      <w:rFonts w:ascii="Times New Roman" w:eastAsia="Times New Roman" w:hAnsi="Times New Roman" w:cs="Times New Roman"/>
      <w:b/>
      <w:smallCaps/>
      <w:color w:val="auto"/>
      <w:sz w:val="22"/>
      <w:szCs w:val="20"/>
      <w:lang w:val="fr-FR" w:eastAsia="fr-FR" w:bidi="ar-SA"/>
    </w:rPr>
  </w:style>
  <w:style w:type="paragraph" w:customStyle="1" w:styleId="PTitle4ArticleSub">
    <w:name w:val="P_Title4_Article_Sub"/>
    <w:basedOn w:val="PTitle3Article"/>
    <w:rsid w:val="005173B0"/>
    <w:pPr>
      <w:spacing w:before="240"/>
    </w:pPr>
    <w:rPr>
      <w:smallCaps w:val="0"/>
      <w:sz w:val="20"/>
    </w:rPr>
  </w:style>
  <w:style w:type="paragraph" w:customStyle="1" w:styleId="PTitle5Subject">
    <w:name w:val="P_Title5_Subject"/>
    <w:basedOn w:val="Normalny"/>
    <w:rsid w:val="005173B0"/>
    <w:pPr>
      <w:keepNext/>
      <w:keepLines/>
      <w:widowControl/>
      <w:suppressAutoHyphens/>
      <w:spacing w:before="240" w:after="120"/>
      <w:jc w:val="both"/>
    </w:pPr>
    <w:rPr>
      <w:rFonts w:ascii="Times New Roman" w:eastAsia="Times New Roman" w:hAnsi="Times New Roman" w:cs="Times New Roman"/>
      <w:b/>
      <w:i/>
      <w:color w:val="auto"/>
      <w:szCs w:val="20"/>
      <w:lang w:val="fr-FR" w:eastAsia="fr-FR" w:bidi="ar-SA"/>
    </w:rPr>
  </w:style>
  <w:style w:type="paragraph" w:customStyle="1" w:styleId="PTitle6SubjectSub">
    <w:name w:val="P_Title6_Subject_Sub"/>
    <w:basedOn w:val="Normalny"/>
    <w:rsid w:val="005173B0"/>
    <w:pPr>
      <w:keepNext/>
      <w:keepLines/>
      <w:widowControl/>
      <w:suppressAutoHyphens/>
      <w:spacing w:before="240" w:after="120"/>
      <w:ind w:left="284"/>
      <w:jc w:val="both"/>
    </w:pPr>
    <w:rPr>
      <w:rFonts w:ascii="Times New Roman" w:eastAsia="Times New Roman" w:hAnsi="Times New Roman" w:cs="Times New Roman"/>
      <w:b/>
      <w:color w:val="auto"/>
      <w:sz w:val="20"/>
      <w:szCs w:val="20"/>
      <w:lang w:val="fr-FR" w:eastAsia="fr-FR" w:bidi="ar-SA"/>
    </w:rPr>
  </w:style>
  <w:style w:type="paragraph" w:customStyle="1" w:styleId="PTitle7CaseName">
    <w:name w:val="P_Title7_CaseName"/>
    <w:basedOn w:val="Normalny"/>
    <w:rsid w:val="005173B0"/>
    <w:pPr>
      <w:keepLines/>
      <w:widowControl/>
      <w:suppressAutoHyphens/>
      <w:spacing w:after="240"/>
      <w:jc w:val="right"/>
    </w:pPr>
    <w:rPr>
      <w:rFonts w:ascii="Times New Roman" w:eastAsia="Times New Roman" w:hAnsi="Times New Roman" w:cs="Times New Roman"/>
      <w:color w:val="auto"/>
      <w:sz w:val="22"/>
      <w:szCs w:val="20"/>
      <w:lang w:val="fr-FR" w:eastAsia="fr-FR" w:bidi="ar-SA"/>
    </w:rPr>
  </w:style>
  <w:style w:type="paragraph" w:customStyle="1" w:styleId="JPNArticleDescription">
    <w:name w:val="JPN_ArticleDescription"/>
    <w:basedOn w:val="Normalny"/>
    <w:rsid w:val="005173B0"/>
    <w:pPr>
      <w:widowControl/>
      <w:suppressAutoHyphens/>
      <w:spacing w:before="120" w:after="240"/>
      <w:ind w:left="284" w:firstLine="284"/>
      <w:jc w:val="both"/>
    </w:pPr>
    <w:rPr>
      <w:rFonts w:ascii="Times New Roman" w:eastAsia="Times New Roman" w:hAnsi="Times New Roman" w:cs="Times New Roman"/>
      <w:i/>
      <w:color w:val="auto"/>
      <w:sz w:val="20"/>
      <w:szCs w:val="20"/>
      <w:lang w:val="fr-FR" w:eastAsia="fr-FR" w:bidi="ar-SA"/>
    </w:rPr>
  </w:style>
  <w:style w:type="paragraph" w:customStyle="1" w:styleId="JPNH4ArticleTitle">
    <w:name w:val="JPN_H4_ArticleTitle"/>
    <w:basedOn w:val="Normalny"/>
    <w:next w:val="JPNArticleDescription"/>
    <w:rsid w:val="005173B0"/>
    <w:pPr>
      <w:keepNext/>
      <w:keepLines/>
      <w:widowControl/>
      <w:pBdr>
        <w:top w:val="single" w:sz="4" w:space="1" w:color="auto"/>
        <w:left w:val="single" w:sz="4" w:space="4" w:color="auto"/>
        <w:bottom w:val="single" w:sz="4" w:space="1" w:color="auto"/>
        <w:right w:val="single" w:sz="4" w:space="4" w:color="auto"/>
      </w:pBdr>
      <w:shd w:val="clear" w:color="auto" w:fill="FFFFCC"/>
      <w:suppressAutoHyphens/>
      <w:spacing w:before="60" w:after="60"/>
      <w:jc w:val="both"/>
      <w:outlineLvl w:val="0"/>
    </w:pPr>
    <w:rPr>
      <w:rFonts w:ascii="Times New Roman" w:eastAsia="Times New Roman" w:hAnsi="Times New Roman" w:cs="Times New Roman"/>
      <w:b/>
      <w:strike/>
      <w:color w:val="008080"/>
      <w:sz w:val="22"/>
      <w:lang w:val="en-GB" w:eastAsia="fr-FR" w:bidi="ar-SA"/>
    </w:rPr>
  </w:style>
  <w:style w:type="paragraph" w:customStyle="1" w:styleId="JPNH3Subject">
    <w:name w:val="JPN_H3_Subject"/>
    <w:basedOn w:val="Normalny"/>
    <w:next w:val="JPNH4ArticleTitle"/>
    <w:rsid w:val="005173B0"/>
    <w:pPr>
      <w:keepNext/>
      <w:keepLines/>
      <w:widowControl/>
      <w:suppressAutoHyphens/>
      <w:spacing w:before="240" w:after="120"/>
      <w:jc w:val="center"/>
    </w:pPr>
    <w:rPr>
      <w:rFonts w:ascii="Times New Roman" w:eastAsia="Times New Roman" w:hAnsi="Times New Roman" w:cs="Times New Roman"/>
      <w:b/>
      <w:caps/>
      <w:color w:val="auto"/>
      <w:szCs w:val="20"/>
      <w:lang w:val="fr-FR" w:eastAsia="fr-FR" w:bidi="ar-SA"/>
    </w:rPr>
  </w:style>
  <w:style w:type="paragraph" w:customStyle="1" w:styleId="JPNPara">
    <w:name w:val="JPN_Para"/>
    <w:basedOn w:val="Normalny"/>
    <w:link w:val="JPNParaCharChar"/>
    <w:rsid w:val="005173B0"/>
    <w:pPr>
      <w:widowControl/>
      <w:suppressAutoHyphens/>
      <w:spacing w:after="120"/>
      <w:ind w:firstLine="284"/>
      <w:jc w:val="both"/>
    </w:pPr>
    <w:rPr>
      <w:rFonts w:ascii="Times New Roman" w:eastAsia="Times New Roman" w:hAnsi="Times New Roman" w:cs="Times New Roman"/>
      <w:color w:val="auto"/>
      <w:szCs w:val="20"/>
      <w:lang w:val="fr-FR" w:eastAsia="fr-FR" w:bidi="ar-SA"/>
    </w:rPr>
  </w:style>
  <w:style w:type="character" w:customStyle="1" w:styleId="JPNParaCharChar">
    <w:name w:val="JPN_Para Char Char"/>
    <w:link w:val="JPNPara"/>
    <w:rsid w:val="005173B0"/>
    <w:rPr>
      <w:rFonts w:ascii="Times New Roman" w:eastAsia="Times New Roman" w:hAnsi="Times New Roman" w:cs="Times New Roman"/>
      <w:szCs w:val="20"/>
      <w:lang w:val="fr-FR" w:eastAsia="fr-FR" w:bidi="ar-SA"/>
    </w:rPr>
  </w:style>
  <w:style w:type="paragraph" w:customStyle="1" w:styleId="JPNH5Title">
    <w:name w:val="JPN_H5_Title"/>
    <w:basedOn w:val="Normalny"/>
    <w:next w:val="JPNPara"/>
    <w:link w:val="JPNH5TitleChar"/>
    <w:rsid w:val="005173B0"/>
    <w:pPr>
      <w:keepNext/>
      <w:keepLines/>
      <w:widowControl/>
      <w:suppressAutoHyphens/>
      <w:spacing w:before="360" w:after="120"/>
      <w:jc w:val="both"/>
    </w:pPr>
    <w:rPr>
      <w:rFonts w:ascii="Times New Roman" w:eastAsia="Times New Roman" w:hAnsi="Times New Roman" w:cs="Times New Roman"/>
      <w:b/>
      <w:color w:val="auto"/>
      <w:szCs w:val="20"/>
      <w:lang w:val="fr-FR" w:eastAsia="fr-FR" w:bidi="ar-SA"/>
    </w:rPr>
  </w:style>
  <w:style w:type="character" w:customStyle="1" w:styleId="JPNH5TitleChar">
    <w:name w:val="JPN_H5_Title Char"/>
    <w:link w:val="JPNH5Title"/>
    <w:rsid w:val="005173B0"/>
    <w:rPr>
      <w:rFonts w:ascii="Times New Roman" w:eastAsia="Times New Roman" w:hAnsi="Times New Roman" w:cs="Times New Roman"/>
      <w:b/>
      <w:szCs w:val="20"/>
      <w:lang w:val="fr-FR" w:eastAsia="fr-FR" w:bidi="ar-SA"/>
    </w:rPr>
  </w:style>
  <w:style w:type="paragraph" w:customStyle="1" w:styleId="JPNH2JPN">
    <w:name w:val="JPN_H2_JPN"/>
    <w:basedOn w:val="Normalny"/>
    <w:next w:val="JPNH3Subject"/>
    <w:rsid w:val="005173B0"/>
    <w:pPr>
      <w:keepNext/>
      <w:keepLines/>
      <w:widowControl/>
      <w:suppressAutoHyphens/>
      <w:spacing w:before="240" w:after="120"/>
      <w:jc w:val="center"/>
    </w:pPr>
    <w:rPr>
      <w:rFonts w:ascii="Times New Roman" w:eastAsia="Times New Roman" w:hAnsi="Times New Roman" w:cs="Times New Roman"/>
      <w:b/>
      <w:color w:val="auto"/>
      <w:sz w:val="28"/>
      <w:szCs w:val="20"/>
      <w:lang w:val="fr-FR" w:eastAsia="en-GB" w:bidi="ar-SA"/>
    </w:rPr>
  </w:style>
  <w:style w:type="paragraph" w:customStyle="1" w:styleId="JPNH6SubTitle">
    <w:name w:val="JPN_H6_SubTitle"/>
    <w:basedOn w:val="Normalny"/>
    <w:next w:val="JPNPara"/>
    <w:link w:val="JPNH6SubTitleChar"/>
    <w:rsid w:val="005173B0"/>
    <w:pPr>
      <w:keepNext/>
      <w:keepLines/>
      <w:widowControl/>
      <w:suppressAutoHyphens/>
      <w:spacing w:before="120" w:after="120"/>
      <w:ind w:left="720"/>
      <w:jc w:val="both"/>
    </w:pPr>
    <w:rPr>
      <w:rFonts w:ascii="Times New Roman" w:eastAsia="Times New Roman" w:hAnsi="Times New Roman" w:cs="Times New Roman"/>
      <w:b/>
      <w:i/>
      <w:color w:val="auto"/>
      <w:szCs w:val="20"/>
      <w:lang w:val="fr-FR" w:eastAsia="fr-FR" w:bidi="ar-SA"/>
    </w:rPr>
  </w:style>
  <w:style w:type="character" w:customStyle="1" w:styleId="JPNH6SubTitleChar">
    <w:name w:val="JPN_H6_SubTitle Char"/>
    <w:link w:val="JPNH6SubTitle"/>
    <w:rsid w:val="005173B0"/>
    <w:rPr>
      <w:rFonts w:ascii="Times New Roman" w:eastAsia="Times New Roman" w:hAnsi="Times New Roman" w:cs="Times New Roman"/>
      <w:b/>
      <w:i/>
      <w:szCs w:val="20"/>
      <w:lang w:val="fr-FR" w:eastAsia="fr-FR" w:bidi="ar-SA"/>
    </w:rPr>
  </w:style>
  <w:style w:type="paragraph" w:customStyle="1" w:styleId="Titre">
    <w:name w:val="Titre"/>
    <w:basedOn w:val="Normalny"/>
    <w:rsid w:val="005173B0"/>
    <w:pPr>
      <w:widowControl/>
      <w:pBdr>
        <w:top w:val="double" w:sz="4" w:space="4" w:color="auto"/>
        <w:left w:val="double" w:sz="4" w:space="4" w:color="auto"/>
        <w:bottom w:val="double" w:sz="4" w:space="1" w:color="auto"/>
        <w:right w:val="double" w:sz="4" w:space="4" w:color="auto"/>
      </w:pBdr>
      <w:shd w:val="clear" w:color="auto" w:fill="CCCCCC"/>
      <w:spacing w:before="120" w:after="120" w:line="360" w:lineRule="auto"/>
      <w:jc w:val="center"/>
    </w:pPr>
    <w:rPr>
      <w:rFonts w:ascii="Garamond" w:eastAsia="Times New Roman" w:hAnsi="Garamond" w:cs="Times New Roman"/>
      <w:caps/>
      <w:color w:val="auto"/>
      <w:sz w:val="40"/>
      <w:szCs w:val="40"/>
      <w:lang w:val="fr-FR" w:eastAsia="fr-FR" w:bidi="ar-SA"/>
    </w:rPr>
  </w:style>
  <w:style w:type="paragraph" w:customStyle="1" w:styleId="JPNH1ECHR">
    <w:name w:val="JPN_H1_ECHR"/>
    <w:basedOn w:val="Normalny"/>
    <w:next w:val="JPNH2JPN"/>
    <w:rsid w:val="005173B0"/>
    <w:pPr>
      <w:keepNext/>
      <w:keepLines/>
      <w:widowControl/>
      <w:suppressAutoHyphens/>
      <w:spacing w:after="240"/>
      <w:jc w:val="center"/>
    </w:pPr>
    <w:rPr>
      <w:rFonts w:ascii="Times New Roman" w:eastAsia="Times New Roman" w:hAnsi="Times New Roman" w:cs="Times New Roman"/>
      <w:caps/>
      <w:color w:val="auto"/>
      <w:sz w:val="28"/>
      <w:szCs w:val="20"/>
      <w:lang w:val="en-GB" w:eastAsia="en-GB" w:bidi="ar-SA"/>
    </w:rPr>
  </w:style>
  <w:style w:type="character" w:customStyle="1" w:styleId="fulltext">
    <w:name w:val="fulltext"/>
    <w:basedOn w:val="Domylnaczcionkaakapitu"/>
    <w:rsid w:val="005173B0"/>
  </w:style>
  <w:style w:type="paragraph" w:customStyle="1" w:styleId="ECHRPara">
    <w:name w:val="ECHR_Para"/>
    <w:aliases w:val="Ju_Para,_Para"/>
    <w:basedOn w:val="Normalny"/>
    <w:link w:val="ECHRParaChar"/>
    <w:uiPriority w:val="4"/>
    <w:qFormat/>
    <w:rsid w:val="005173B0"/>
    <w:pPr>
      <w:widowControl/>
      <w:ind w:firstLine="284"/>
      <w:jc w:val="both"/>
    </w:pPr>
    <w:rPr>
      <w:rFonts w:asciiTheme="minorHAnsi" w:eastAsiaTheme="minorEastAsia" w:hAnsiTheme="minorHAnsi" w:cstheme="minorBidi"/>
      <w:color w:val="auto"/>
      <w:szCs w:val="22"/>
      <w:lang w:bidi="ar-SA"/>
    </w:rPr>
  </w:style>
  <w:style w:type="character" w:customStyle="1" w:styleId="ECHRParaChar">
    <w:name w:val="ECHR_Para Char"/>
    <w:aliases w:val="Ju_Para Char,_Para Char"/>
    <w:link w:val="ECHRPara"/>
    <w:uiPriority w:val="8"/>
    <w:rsid w:val="005173B0"/>
    <w:rPr>
      <w:rFonts w:asciiTheme="minorHAnsi" w:eastAsiaTheme="minorEastAsia" w:hAnsiTheme="minorHAnsi" w:cstheme="minorBidi"/>
      <w:szCs w:val="22"/>
      <w:lang w:bidi="ar-SA"/>
    </w:rPr>
  </w:style>
  <w:style w:type="paragraph" w:styleId="NormalnyWeb">
    <w:name w:val="Normal (Web)"/>
    <w:basedOn w:val="Normalny"/>
    <w:uiPriority w:val="99"/>
    <w:semiHidden/>
    <w:unhideWhenUsed/>
    <w:rsid w:val="005173B0"/>
    <w:pPr>
      <w:widowControl/>
      <w:spacing w:before="100" w:beforeAutospacing="1" w:after="100" w:afterAutospacing="1"/>
    </w:pPr>
    <w:rPr>
      <w:rFonts w:ascii="Times New Roman" w:eastAsia="Times New Roman" w:hAnsi="Times New Roman" w:cs="Times New Roman"/>
      <w:color w:val="auto"/>
      <w:lang w:val="fr-FR" w:eastAsia="fr-FR" w:bidi="ar-SA"/>
    </w:rPr>
  </w:style>
  <w:style w:type="character" w:styleId="Tytuksiki">
    <w:name w:val="Book Title"/>
    <w:uiPriority w:val="99"/>
    <w:qFormat/>
    <w:rsid w:val="005173B0"/>
    <w:rPr>
      <w:i/>
      <w:iCs/>
      <w:smallCaps/>
      <w:spacing w:val="5"/>
    </w:rPr>
  </w:style>
  <w:style w:type="character" w:customStyle="1" w:styleId="INItalic">
    <w:name w:val="IN_Italic"/>
    <w:basedOn w:val="Domylnaczcionkaakapitu"/>
    <w:uiPriority w:val="8"/>
    <w:qFormat/>
    <w:rsid w:val="005173B0"/>
    <w:rPr>
      <w:i/>
      <w:bdr w:val="none" w:sz="0" w:space="0" w:color="auto"/>
      <w:shd w:val="clear" w:color="auto" w:fill="auto"/>
      <w:lang w:val="en-US"/>
    </w:rPr>
  </w:style>
  <w:style w:type="character" w:styleId="Uwydatnienie">
    <w:name w:val="Emphasis"/>
    <w:uiPriority w:val="99"/>
    <w:qFormat/>
    <w:rsid w:val="005173B0"/>
    <w:rPr>
      <w:b/>
      <w:bCs/>
      <w:i/>
      <w:iCs/>
      <w:spacing w:val="10"/>
      <w:bdr w:val="none" w:sz="0" w:space="0" w:color="auto"/>
      <w:shd w:val="clear" w:color="auto" w:fill="auto"/>
    </w:rPr>
  </w:style>
  <w:style w:type="character" w:styleId="Wyrnienieintensywne">
    <w:name w:val="Intense Emphasis"/>
    <w:uiPriority w:val="99"/>
    <w:qFormat/>
    <w:rsid w:val="005173B0"/>
    <w:rPr>
      <w:b/>
      <w:bCs/>
    </w:rPr>
  </w:style>
  <w:style w:type="paragraph" w:styleId="Cytatintensywny">
    <w:name w:val="Intense Quote"/>
    <w:basedOn w:val="Normalny"/>
    <w:next w:val="Normalny"/>
    <w:link w:val="CytatintensywnyZnak"/>
    <w:uiPriority w:val="99"/>
    <w:qFormat/>
    <w:rsid w:val="005173B0"/>
    <w:pPr>
      <w:widowControl/>
      <w:pBdr>
        <w:bottom w:val="single" w:sz="4" w:space="1" w:color="auto"/>
      </w:pBdr>
      <w:spacing w:before="200" w:after="280"/>
      <w:ind w:left="1008" w:right="1152"/>
    </w:pPr>
    <w:rPr>
      <w:rFonts w:asciiTheme="minorHAnsi" w:eastAsiaTheme="minorHAnsi" w:hAnsiTheme="minorHAnsi" w:cstheme="minorBidi"/>
      <w:b/>
      <w:bCs/>
      <w:i/>
      <w:iCs/>
      <w:color w:val="auto"/>
      <w:sz w:val="22"/>
      <w:szCs w:val="22"/>
    </w:rPr>
  </w:style>
  <w:style w:type="character" w:customStyle="1" w:styleId="CytatintensywnyZnak">
    <w:name w:val="Cytat intensywny Znak"/>
    <w:basedOn w:val="Domylnaczcionkaakapitu"/>
    <w:link w:val="Cytatintensywny"/>
    <w:uiPriority w:val="99"/>
    <w:rsid w:val="005173B0"/>
    <w:rPr>
      <w:rFonts w:asciiTheme="minorHAnsi" w:eastAsiaTheme="minorHAnsi" w:hAnsiTheme="minorHAnsi" w:cstheme="minorBidi"/>
      <w:b/>
      <w:bCs/>
      <w:i/>
      <w:iCs/>
      <w:sz w:val="22"/>
      <w:szCs w:val="22"/>
    </w:rPr>
  </w:style>
  <w:style w:type="character" w:styleId="Odwoanieintensywne">
    <w:name w:val="Intense Reference"/>
    <w:uiPriority w:val="99"/>
    <w:qFormat/>
    <w:rsid w:val="005173B0"/>
    <w:rPr>
      <w:smallCaps/>
      <w:spacing w:val="5"/>
      <w:u w:val="single"/>
    </w:rPr>
  </w:style>
  <w:style w:type="paragraph" w:styleId="Akapitzlist">
    <w:name w:val="List Paragraph"/>
    <w:basedOn w:val="Normalny"/>
    <w:uiPriority w:val="99"/>
    <w:qFormat/>
    <w:rsid w:val="005173B0"/>
    <w:pPr>
      <w:widowControl/>
      <w:ind w:left="720"/>
      <w:contextualSpacing/>
    </w:pPr>
    <w:rPr>
      <w:rFonts w:asciiTheme="minorHAnsi" w:eastAsiaTheme="minorHAnsi" w:hAnsiTheme="minorHAnsi" w:cstheme="minorBidi"/>
      <w:color w:val="auto"/>
      <w:sz w:val="22"/>
      <w:szCs w:val="22"/>
      <w:lang w:bidi="ar-SA"/>
    </w:rPr>
  </w:style>
  <w:style w:type="paragraph" w:styleId="Cytat">
    <w:name w:val="Quote"/>
    <w:basedOn w:val="Normalny"/>
    <w:next w:val="Normalny"/>
    <w:link w:val="CytatZnak"/>
    <w:uiPriority w:val="99"/>
    <w:qFormat/>
    <w:rsid w:val="005173B0"/>
    <w:pPr>
      <w:widowControl/>
      <w:spacing w:before="200"/>
      <w:ind w:left="360" w:right="360"/>
    </w:pPr>
    <w:rPr>
      <w:rFonts w:asciiTheme="minorHAnsi" w:eastAsiaTheme="minorHAnsi" w:hAnsiTheme="minorHAnsi" w:cstheme="minorBidi"/>
      <w:i/>
      <w:iCs/>
      <w:color w:val="auto"/>
      <w:sz w:val="22"/>
      <w:szCs w:val="22"/>
    </w:rPr>
  </w:style>
  <w:style w:type="character" w:customStyle="1" w:styleId="CytatZnak">
    <w:name w:val="Cytat Znak"/>
    <w:basedOn w:val="Domylnaczcionkaakapitu"/>
    <w:link w:val="Cytat"/>
    <w:uiPriority w:val="99"/>
    <w:rsid w:val="005173B0"/>
    <w:rPr>
      <w:rFonts w:asciiTheme="minorHAnsi" w:eastAsiaTheme="minorHAnsi" w:hAnsiTheme="minorHAnsi" w:cstheme="minorBidi"/>
      <w:i/>
      <w:iCs/>
      <w:sz w:val="22"/>
      <w:szCs w:val="22"/>
    </w:rPr>
  </w:style>
  <w:style w:type="character" w:styleId="Pogrubienie">
    <w:name w:val="Strong"/>
    <w:uiPriority w:val="99"/>
    <w:qFormat/>
    <w:rsid w:val="005173B0"/>
    <w:rPr>
      <w:b/>
      <w:bCs/>
    </w:rPr>
  </w:style>
  <w:style w:type="character" w:styleId="Wyrnieniedelikatne">
    <w:name w:val="Subtle Emphasis"/>
    <w:uiPriority w:val="99"/>
    <w:qFormat/>
    <w:rsid w:val="005173B0"/>
    <w:rPr>
      <w:i/>
      <w:iCs/>
    </w:rPr>
  </w:style>
  <w:style w:type="character" w:styleId="Odwoaniedelikatne">
    <w:name w:val="Subtle Reference"/>
    <w:uiPriority w:val="99"/>
    <w:qFormat/>
    <w:rsid w:val="005173B0"/>
    <w:rPr>
      <w:smallCaps/>
    </w:rPr>
  </w:style>
  <w:style w:type="paragraph" w:styleId="Nagwekwykazurde">
    <w:name w:val="toa heading"/>
    <w:basedOn w:val="Normalny"/>
    <w:next w:val="Normalny"/>
    <w:uiPriority w:val="99"/>
    <w:semiHidden/>
    <w:rsid w:val="005173B0"/>
    <w:pPr>
      <w:keepNext/>
      <w:keepLines/>
      <w:widowControl/>
      <w:spacing w:before="240"/>
      <w:contextualSpacing/>
      <w:jc w:val="center"/>
    </w:pPr>
    <w:rPr>
      <w:rFonts w:asciiTheme="majorHAnsi" w:eastAsiaTheme="majorEastAsia" w:hAnsiTheme="majorHAnsi" w:cstheme="majorBidi"/>
      <w:b/>
      <w:bCs/>
      <w:color w:val="7B7B7B" w:themeColor="accent3" w:themeShade="BF"/>
      <w:sz w:val="28"/>
      <w:lang w:bidi="ar-SA"/>
    </w:rPr>
  </w:style>
  <w:style w:type="character" w:customStyle="1" w:styleId="INSuperscript">
    <w:name w:val="IN_Superscript"/>
    <w:basedOn w:val="Domylnaczcionkaakapitu"/>
    <w:uiPriority w:val="1"/>
    <w:rsid w:val="005173B0"/>
    <w:rPr>
      <w:vertAlign w:val="superscript"/>
    </w:rPr>
  </w:style>
  <w:style w:type="character" w:customStyle="1" w:styleId="UnresolvedMention1">
    <w:name w:val="Unresolved Mention1"/>
    <w:basedOn w:val="Domylnaczcionkaakapitu"/>
    <w:uiPriority w:val="99"/>
    <w:semiHidden/>
    <w:rsid w:val="005173B0"/>
    <w:rPr>
      <w:color w:val="605E5C"/>
      <w:shd w:val="clear" w:color="auto" w:fill="E1DFDD"/>
    </w:rPr>
  </w:style>
  <w:style w:type="character" w:customStyle="1" w:styleId="sfbbfee58">
    <w:name w:val="sfbbfee58"/>
    <w:basedOn w:val="Domylnaczcionkaakapitu"/>
    <w:rsid w:val="005173B0"/>
  </w:style>
  <w:style w:type="character" w:customStyle="1" w:styleId="sb8d990e2">
    <w:name w:val="sb8d990e2"/>
    <w:basedOn w:val="Domylnaczcionkaakapitu"/>
    <w:rsid w:val="005173B0"/>
  </w:style>
  <w:style w:type="character" w:customStyle="1" w:styleId="s6b621b36">
    <w:name w:val="s6b621b36"/>
    <w:basedOn w:val="Domylnaczcionkaakapitu"/>
    <w:rsid w:val="005173B0"/>
  </w:style>
  <w:style w:type="character" w:customStyle="1" w:styleId="column">
    <w:name w:val="column"/>
    <w:basedOn w:val="Domylnaczcionkaakapitu"/>
    <w:rsid w:val="005173B0"/>
  </w:style>
  <w:style w:type="character" w:customStyle="1" w:styleId="sdfc50a6a">
    <w:name w:val="sdfc50a6a"/>
    <w:basedOn w:val="Domylnaczcionkaakapitu"/>
    <w:rsid w:val="005173B0"/>
  </w:style>
  <w:style w:type="character" w:customStyle="1" w:styleId="UnresolvedMention">
    <w:name w:val="Unresolved Mention"/>
    <w:basedOn w:val="Domylnaczcionkaakapitu"/>
    <w:uiPriority w:val="99"/>
    <w:semiHidden/>
    <w:unhideWhenUsed/>
    <w:rsid w:val="005173B0"/>
    <w:rPr>
      <w:color w:val="605E5C"/>
      <w:shd w:val="clear" w:color="auto" w:fill="E1DFDD"/>
    </w:rPr>
  </w:style>
  <w:style w:type="character" w:customStyle="1" w:styleId="s1a844bc0">
    <w:name w:val="s1a844bc0"/>
    <w:basedOn w:val="Domylnaczcionkaakapitu"/>
    <w:rsid w:val="005173B0"/>
  </w:style>
  <w:style w:type="character" w:customStyle="1" w:styleId="s7d2086b4">
    <w:name w:val="s7d2086b4"/>
    <w:basedOn w:val="Domylnaczcionkaakapitu"/>
    <w:rsid w:val="005173B0"/>
  </w:style>
  <w:style w:type="character" w:customStyle="1" w:styleId="s38c10080">
    <w:name w:val="s38c10080"/>
    <w:basedOn w:val="Domylnaczcionkaakapitu"/>
    <w:rsid w:val="005173B0"/>
  </w:style>
  <w:style w:type="paragraph" w:customStyle="1" w:styleId="s6c429373">
    <w:name w:val="s6c429373"/>
    <w:basedOn w:val="Normalny"/>
    <w:rsid w:val="005173B0"/>
    <w:pPr>
      <w:widowControl/>
      <w:spacing w:before="100" w:beforeAutospacing="1" w:after="100" w:afterAutospacing="1"/>
    </w:pPr>
    <w:rPr>
      <w:rFonts w:ascii="Times New Roman" w:eastAsia="Times New Roman" w:hAnsi="Times New Roman" w:cs="Times New Roman"/>
      <w:color w:val="auto"/>
      <w:lang w:val="fr-FR" w:eastAsia="fr-FR" w:bidi="ar-SA"/>
    </w:rPr>
  </w:style>
  <w:style w:type="character" w:customStyle="1" w:styleId="s3ca6e50f">
    <w:name w:val="s3ca6e50f"/>
    <w:basedOn w:val="Domylnaczcionkaakapitu"/>
    <w:rsid w:val="005173B0"/>
  </w:style>
  <w:style w:type="character" w:customStyle="1" w:styleId="wordhighlighted">
    <w:name w:val="wordhighlighted"/>
    <w:basedOn w:val="Domylnaczcionkaakapitu"/>
    <w:rsid w:val="005173B0"/>
  </w:style>
  <w:style w:type="paragraph" w:customStyle="1" w:styleId="s30eec3f8">
    <w:name w:val="s30eec3f8"/>
    <w:basedOn w:val="Normalny"/>
    <w:rsid w:val="005173B0"/>
    <w:pPr>
      <w:widowControl/>
      <w:spacing w:before="100" w:beforeAutospacing="1" w:after="100" w:afterAutospacing="1"/>
    </w:pPr>
    <w:rPr>
      <w:rFonts w:ascii="Times New Roman" w:eastAsia="Times New Roman" w:hAnsi="Times New Roman" w:cs="Times New Roman"/>
      <w:color w:val="auto"/>
      <w:lang w:val="fr-FR" w:eastAsia="fr-FR" w:bidi="ar-SA"/>
    </w:rPr>
  </w:style>
  <w:style w:type="character" w:customStyle="1" w:styleId="textcolumn">
    <w:name w:val="textcolumn"/>
    <w:basedOn w:val="Domylnaczcionkaakapitu"/>
    <w:rsid w:val="005173B0"/>
  </w:style>
  <w:style w:type="character" w:customStyle="1" w:styleId="sf8bfa2bc">
    <w:name w:val="sf8bfa2bc"/>
    <w:basedOn w:val="Domylnaczcionkaakapitu"/>
    <w:rsid w:val="0051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hudoc.echr.coe.int/eng?i=001-92142" TargetMode="External"/><Relationship Id="rId1827" Type="http://schemas.openxmlformats.org/officeDocument/2006/relationships/hyperlink" Target="http://hudoc.echr.coe.int/eng?i=001-117890" TargetMode="External"/><Relationship Id="rId21" Type="http://schemas.openxmlformats.org/officeDocument/2006/relationships/hyperlink" Target="http://hudoc.echr.coe.int/eng?i=001-109868" TargetMode="External"/><Relationship Id="rId2089" Type="http://schemas.openxmlformats.org/officeDocument/2006/relationships/hyperlink" Target="http://hudoc.echr.coe.int/eng?i=001-91278" TargetMode="External"/><Relationship Id="rId170" Type="http://schemas.openxmlformats.org/officeDocument/2006/relationships/hyperlink" Target="http://hudoc.echr.coe.int/sites/eng/pages/search.aspx?i=001-89823" TargetMode="External"/><Relationship Id="rId2296" Type="http://schemas.openxmlformats.org/officeDocument/2006/relationships/hyperlink" Target="http://hudoc.echr.coe.int/eng?i=001-170354" TargetMode="External"/><Relationship Id="rId268" Type="http://schemas.openxmlformats.org/officeDocument/2006/relationships/hyperlink" Target="http://hudoc.echr.coe.int/eng?i=001-84828" TargetMode="External"/><Relationship Id="rId475" Type="http://schemas.openxmlformats.org/officeDocument/2006/relationships/hyperlink" Target="http://hudoc.echr.coe.int/eng?i=001-180488" TargetMode="External"/><Relationship Id="rId682" Type="http://schemas.openxmlformats.org/officeDocument/2006/relationships/hyperlink" Target="http://hudoc.echr.coe.int/eng?i=001-155662" TargetMode="External"/><Relationship Id="rId2156" Type="http://schemas.openxmlformats.org/officeDocument/2006/relationships/hyperlink" Target="http://hudoc.echr.coe.int/eng?i=001-22195" TargetMode="External"/><Relationship Id="rId2363" Type="http://schemas.openxmlformats.org/officeDocument/2006/relationships/hyperlink" Target="http://hudoc.echr.coe.int/eng?i=001-158155" TargetMode="External"/><Relationship Id="rId2570" Type="http://schemas.openxmlformats.org/officeDocument/2006/relationships/hyperlink" Target="http://hudoc.echr.coe.int/eng?i=001-79590" TargetMode="External"/><Relationship Id="rId128" Type="http://schemas.openxmlformats.org/officeDocument/2006/relationships/hyperlink" Target="https://hudoc.echr.coe.int/eng%23%7b%22itemid%22:%5b%22001-204603%22%5d%7d" TargetMode="External"/><Relationship Id="rId335" Type="http://schemas.openxmlformats.org/officeDocument/2006/relationships/hyperlink" Target="http://hudoc.echr.coe.int/eng?i=001-183555" TargetMode="External"/><Relationship Id="rId542" Type="http://schemas.openxmlformats.org/officeDocument/2006/relationships/hyperlink" Target="http://hudoc.echr.coe.int/eng?i=001-22092" TargetMode="External"/><Relationship Id="rId987" Type="http://schemas.openxmlformats.org/officeDocument/2006/relationships/hyperlink" Target="http://hudoc.echr.coe.int/eng?i=001-95990" TargetMode="External"/><Relationship Id="rId1172" Type="http://schemas.openxmlformats.org/officeDocument/2006/relationships/hyperlink" Target="http://hudoc.echr.coe.int/eng?i=001-163253" TargetMode="External"/><Relationship Id="rId2016" Type="http://schemas.openxmlformats.org/officeDocument/2006/relationships/hyperlink" Target="http://hudoc.echr.coe.int/eng?i=001-113626" TargetMode="External"/><Relationship Id="rId2223" Type="http://schemas.openxmlformats.org/officeDocument/2006/relationships/hyperlink" Target="http://hudoc.echr.coe.int/eng?i=001-22710" TargetMode="External"/><Relationship Id="rId2430" Type="http://schemas.openxmlformats.org/officeDocument/2006/relationships/hyperlink" Target="http://hudoc.echr.coe.int/eng?i=001-97079" TargetMode="External"/><Relationship Id="rId2668" Type="http://schemas.openxmlformats.org/officeDocument/2006/relationships/hyperlink" Target="https://hudoc.echr.coe.int/eng?i=001-216223" TargetMode="External"/><Relationship Id="rId402" Type="http://schemas.openxmlformats.org/officeDocument/2006/relationships/hyperlink" Target="http://hudoc.echr.coe.int/eng?i=001-155352" TargetMode="External"/><Relationship Id="rId847" Type="http://schemas.openxmlformats.org/officeDocument/2006/relationships/hyperlink" Target="http://hudoc.echr.coe.int/eng?i=001-202347" TargetMode="External"/><Relationship Id="rId1032" Type="http://schemas.openxmlformats.org/officeDocument/2006/relationships/hyperlink" Target="http://hudoc.echr.coe.int/eng?i=001-139908" TargetMode="External"/><Relationship Id="rId1477" Type="http://schemas.openxmlformats.org/officeDocument/2006/relationships/hyperlink" Target="http://hudoc.echr.coe.int/eng?i=001-201353" TargetMode="External"/><Relationship Id="rId1684" Type="http://schemas.openxmlformats.org/officeDocument/2006/relationships/hyperlink" Target="http://hudoc.echr.coe.int/eng?i=001-171804" TargetMode="External"/><Relationship Id="rId1891" Type="http://schemas.openxmlformats.org/officeDocument/2006/relationships/hyperlink" Target="http://hudoc.echr.coe.int/eng?i=001-107235" TargetMode="External"/><Relationship Id="rId2528" Type="http://schemas.openxmlformats.org/officeDocument/2006/relationships/hyperlink" Target="http://hudoc.echr.coe.int/eng?i=001-106308" TargetMode="External"/><Relationship Id="rId2735" Type="http://schemas.openxmlformats.org/officeDocument/2006/relationships/hyperlink" Target="http://hudoc.echr.coe.int/eng?i=001-146775" TargetMode="External"/><Relationship Id="rId707" Type="http://schemas.openxmlformats.org/officeDocument/2006/relationships/hyperlink" Target="http://hudoc.echr.coe.int/eng?i=001-58130" TargetMode="External"/><Relationship Id="rId914" Type="http://schemas.openxmlformats.org/officeDocument/2006/relationships/hyperlink" Target="http://hudoc.echr.coe.int/eng?i=001-5908" TargetMode="External"/><Relationship Id="rId1337" Type="http://schemas.openxmlformats.org/officeDocument/2006/relationships/hyperlink" Target="http://hudoc.echr.coe.int/eng?i=001-82811" TargetMode="External"/><Relationship Id="rId1544" Type="http://schemas.openxmlformats.org/officeDocument/2006/relationships/hyperlink" Target="http://hudoc.echr.coe.int/eng?i=001-83369" TargetMode="External"/><Relationship Id="rId1751" Type="http://schemas.openxmlformats.org/officeDocument/2006/relationships/hyperlink" Target="http://hudoc.echr.coe.int/eng?i=001-101713" TargetMode="External"/><Relationship Id="rId1989" Type="http://schemas.openxmlformats.org/officeDocument/2006/relationships/hyperlink" Target="http://hudoc.echr.coe.int/eng?i=001-188649" TargetMode="External"/><Relationship Id="rId2802" Type="http://schemas.openxmlformats.org/officeDocument/2006/relationships/hyperlink" Target="http://hudoc.echr.coe.int/eng?i=001-101151" TargetMode="External"/><Relationship Id="rId43" Type="http://schemas.openxmlformats.org/officeDocument/2006/relationships/hyperlink" Target="http://hudoc.echr.coe.int/sites/eng?i=001-128294" TargetMode="External"/><Relationship Id="rId1404" Type="http://schemas.openxmlformats.org/officeDocument/2006/relationships/hyperlink" Target="http://hudoc.echr.coe.int/eng?i=001-128043" TargetMode="External"/><Relationship Id="rId1611" Type="http://schemas.openxmlformats.org/officeDocument/2006/relationships/hyperlink" Target="http://hudoc.echr.coe.int/eng?i=001-186216" TargetMode="External"/><Relationship Id="rId1849" Type="http://schemas.openxmlformats.org/officeDocument/2006/relationships/hyperlink" Target="http://hudoc.echr.coe.int/eng?i=001-170839" TargetMode="External"/><Relationship Id="rId192" Type="http://schemas.openxmlformats.org/officeDocument/2006/relationships/hyperlink" Target="http://hudoc.echr.coe.int/eng?i=001-188649" TargetMode="External"/><Relationship Id="rId1709" Type="http://schemas.openxmlformats.org/officeDocument/2006/relationships/hyperlink" Target="http://hudoc.echr.coe.int/eng?i=001-58907" TargetMode="External"/><Relationship Id="rId1916" Type="http://schemas.openxmlformats.org/officeDocument/2006/relationships/hyperlink" Target="http://hudoc.echr.coe.int/eng?i=001-77413" TargetMode="External"/><Relationship Id="rId497" Type="http://schemas.openxmlformats.org/officeDocument/2006/relationships/hyperlink" Target="http://hudoc.echr.coe.int/eng?i=001-127684" TargetMode="External"/><Relationship Id="rId2080" Type="http://schemas.openxmlformats.org/officeDocument/2006/relationships/hyperlink" Target="http://hudoc.echr.coe.int/eng?i=001-99434" TargetMode="External"/><Relationship Id="rId2178" Type="http://schemas.openxmlformats.org/officeDocument/2006/relationships/hyperlink" Target="https://hudoc.echr.coe.int/eng?i=001-217952" TargetMode="External"/><Relationship Id="rId2385" Type="http://schemas.openxmlformats.org/officeDocument/2006/relationships/hyperlink" Target="http://hudoc.echr.coe.int/eng?i=001-106291" TargetMode="External"/><Relationship Id="rId357" Type="http://schemas.openxmlformats.org/officeDocument/2006/relationships/hyperlink" Target="http://hudoc.echr.coe.int/eng?i=001-91940" TargetMode="External"/><Relationship Id="rId1194" Type="http://schemas.openxmlformats.org/officeDocument/2006/relationships/hyperlink" Target="http://hudoc.echr.coe.int/eng?i=001-146780" TargetMode="External"/><Relationship Id="rId2038" Type="http://schemas.openxmlformats.org/officeDocument/2006/relationships/hyperlink" Target="http://hudoc.echr.coe.int/eng?i=001-86146" TargetMode="External"/><Relationship Id="rId2592" Type="http://schemas.openxmlformats.org/officeDocument/2006/relationships/hyperlink" Target="http://hudoc.echr.coe.int/eng?i=001-99207" TargetMode="External"/><Relationship Id="rId217" Type="http://schemas.openxmlformats.org/officeDocument/2006/relationships/hyperlink" Target="http://hudoc.echr.coe.int/eng?i=001-61731" TargetMode="External"/><Relationship Id="rId564" Type="http://schemas.openxmlformats.org/officeDocument/2006/relationships/hyperlink" Target="http://hudoc.echr.coe.int/eng?i=001-142518" TargetMode="External"/><Relationship Id="rId771" Type="http://schemas.openxmlformats.org/officeDocument/2006/relationships/hyperlink" Target="http://hudoc.echr.coe.int/eng?i=001-97649" TargetMode="External"/><Relationship Id="rId869" Type="http://schemas.openxmlformats.org/officeDocument/2006/relationships/hyperlink" Target="http://hudoc.echr.coe.int/eng?i=001-93660" TargetMode="External"/><Relationship Id="rId1499" Type="http://schemas.openxmlformats.org/officeDocument/2006/relationships/hyperlink" Target="http://hudoc.echr.coe.int/eng?i=001-76586" TargetMode="External"/><Relationship Id="rId2245" Type="http://schemas.openxmlformats.org/officeDocument/2006/relationships/hyperlink" Target="http://hudoc.echr.coe.int/eng?i=001-175502" TargetMode="External"/><Relationship Id="rId2452" Type="http://schemas.openxmlformats.org/officeDocument/2006/relationships/hyperlink" Target="http://hudoc.echr.coe.int/eng?i=001-87352" TargetMode="External"/><Relationship Id="rId424" Type="http://schemas.openxmlformats.org/officeDocument/2006/relationships/hyperlink" Target="http://hudoc.echr.coe.int/eng?i=001-99898" TargetMode="External"/><Relationship Id="rId631" Type="http://schemas.openxmlformats.org/officeDocument/2006/relationships/hyperlink" Target="https://hudoc.echr.coe.int/eng?i=001-212125" TargetMode="External"/><Relationship Id="rId729" Type="http://schemas.openxmlformats.org/officeDocument/2006/relationships/hyperlink" Target="http://hudoc.echr.coe.int/eng?i=001-102842" TargetMode="External"/><Relationship Id="rId1054" Type="http://schemas.openxmlformats.org/officeDocument/2006/relationships/hyperlink" Target="http://hudoc.echr.coe.int/eng?i=001-146540" TargetMode="External"/><Relationship Id="rId1261" Type="http://schemas.openxmlformats.org/officeDocument/2006/relationships/hyperlink" Target="http://hudoc.echr.coe.int/eng?i=001-96491" TargetMode="External"/><Relationship Id="rId1359" Type="http://schemas.openxmlformats.org/officeDocument/2006/relationships/hyperlink" Target="http://hudoc.echr.coe.int/eng?i=001-161055" TargetMode="External"/><Relationship Id="rId2105" Type="http://schemas.openxmlformats.org/officeDocument/2006/relationships/hyperlink" Target="http://hudoc.echr.coe.int/eng?i=001-87621" TargetMode="External"/><Relationship Id="rId2312" Type="http://schemas.openxmlformats.org/officeDocument/2006/relationships/hyperlink" Target="http://hudoc.echr.coe.int/eng?i=001-110258" TargetMode="External"/><Relationship Id="rId2757" Type="http://schemas.openxmlformats.org/officeDocument/2006/relationships/hyperlink" Target="http://hudoc.echr.coe.int/eng?i=001-76581" TargetMode="External"/><Relationship Id="rId936" Type="http://schemas.openxmlformats.org/officeDocument/2006/relationships/hyperlink" Target="http://hudoc.echr.coe.int/eng?i=001-145571" TargetMode="External"/><Relationship Id="rId1121" Type="http://schemas.openxmlformats.org/officeDocument/2006/relationships/hyperlink" Target="http://hudoc.echr.coe.int/eng?i=001-106308" TargetMode="External"/><Relationship Id="rId1219" Type="http://schemas.openxmlformats.org/officeDocument/2006/relationships/hyperlink" Target="http://hudoc.echr.coe.int/eng?i=001-23947" TargetMode="External"/><Relationship Id="rId1566" Type="http://schemas.openxmlformats.org/officeDocument/2006/relationships/hyperlink" Target="http://hudoc.echr.coe.int/eng?i=001-75882" TargetMode="External"/><Relationship Id="rId1773" Type="http://schemas.openxmlformats.org/officeDocument/2006/relationships/hyperlink" Target="http://hudoc.echr.coe.int/eng?i=001-105269" TargetMode="External"/><Relationship Id="rId1980" Type="http://schemas.openxmlformats.org/officeDocument/2006/relationships/hyperlink" Target="http://hudoc.echr.coe.int/eng?i=001-76493" TargetMode="External"/><Relationship Id="rId2617" Type="http://schemas.openxmlformats.org/officeDocument/2006/relationships/hyperlink" Target="http://hudoc.echr.coe.int/eng?i=001-84836" TargetMode="External"/><Relationship Id="rId2824" Type="http://schemas.openxmlformats.org/officeDocument/2006/relationships/hyperlink" Target="http://hudoc.echr.coe.int/eng?i=001-74794" TargetMode="External"/><Relationship Id="rId65" Type="http://schemas.openxmlformats.org/officeDocument/2006/relationships/hyperlink" Target="http://hudoc.echr.coe.int/eng?i=001-67328" TargetMode="External"/><Relationship Id="rId1426" Type="http://schemas.openxmlformats.org/officeDocument/2006/relationships/hyperlink" Target="http://hudoc.echr.coe.int/eng?i=001-92899" TargetMode="External"/><Relationship Id="rId1633" Type="http://schemas.openxmlformats.org/officeDocument/2006/relationships/hyperlink" Target="http://hudoc.echr.coe.int/eng?i=001-98428" TargetMode="External"/><Relationship Id="rId1840" Type="http://schemas.openxmlformats.org/officeDocument/2006/relationships/hyperlink" Target="http://hudoc.echr.coe.int/eng?i=001-103468" TargetMode="External"/><Relationship Id="rId1700" Type="http://schemas.openxmlformats.org/officeDocument/2006/relationships/hyperlink" Target="http://hudoc.echr.coe.int/eng?i=001-104875" TargetMode="External"/><Relationship Id="rId1938" Type="http://schemas.openxmlformats.org/officeDocument/2006/relationships/hyperlink" Target="https://hudoc.echr.coe.int/eng%23%7b%22docname%22:%5b%22albert%22%5d,%22documentcollectionid2%22:%5b%22GRANDCHAMBER%22,%22CHAMBER%22%5d,%22itemid%22:%5b%22001-203850%22%5d%7d" TargetMode="External"/><Relationship Id="rId281" Type="http://schemas.openxmlformats.org/officeDocument/2006/relationships/hyperlink" Target="http://hudoc.echr.coe.int/eng?i=001-202610" TargetMode="External"/><Relationship Id="rId141" Type="http://schemas.openxmlformats.org/officeDocument/2006/relationships/hyperlink" Target="http://hudoc.echr.coe.int/sites/eng?i=001-58238" TargetMode="External"/><Relationship Id="rId379" Type="http://schemas.openxmlformats.org/officeDocument/2006/relationships/hyperlink" Target="http://hudoc.echr.coe.int/eng?i=001-201204" TargetMode="External"/><Relationship Id="rId586" Type="http://schemas.openxmlformats.org/officeDocument/2006/relationships/hyperlink" Target="http://hudoc.echr.coe.int/eng?i=001-144681" TargetMode="External"/><Relationship Id="rId793" Type="http://schemas.openxmlformats.org/officeDocument/2006/relationships/hyperlink" Target="http://hudoc.echr.coe.int/eng?i=001-192926" TargetMode="External"/><Relationship Id="rId2267" Type="http://schemas.openxmlformats.org/officeDocument/2006/relationships/hyperlink" Target="http://hudoc.echr.coe.int/eng?i=001-72789" TargetMode="External"/><Relationship Id="rId2474" Type="http://schemas.openxmlformats.org/officeDocument/2006/relationships/hyperlink" Target="https://hudoc.echr.coe.int/eng%23%7b%22itemid%22:%5b%22001-206515%22%5d%7d" TargetMode="External"/><Relationship Id="rId2681" Type="http://schemas.openxmlformats.org/officeDocument/2006/relationships/hyperlink" Target="http://hudoc.echr.coe.int/eng?i=001-44512" TargetMode="External"/><Relationship Id="rId7" Type="http://schemas.openxmlformats.org/officeDocument/2006/relationships/endnotes" Target="endnotes.xml"/><Relationship Id="rId239" Type="http://schemas.openxmlformats.org/officeDocument/2006/relationships/hyperlink" Target="http://hudoc.echr.coe.int/eng?i=001-177090" TargetMode="External"/><Relationship Id="rId446" Type="http://schemas.openxmlformats.org/officeDocument/2006/relationships/hyperlink" Target="http://hudoc.echr.coe.int/eng?i=001-80958" TargetMode="External"/><Relationship Id="rId653" Type="http://schemas.openxmlformats.org/officeDocument/2006/relationships/hyperlink" Target="http://hudoc.echr.coe.int/eng?i=001-198717" TargetMode="External"/><Relationship Id="rId1076" Type="http://schemas.openxmlformats.org/officeDocument/2006/relationships/hyperlink" Target="http://hudoc.echr.coe.int/eng?i=001-44512" TargetMode="External"/><Relationship Id="rId1283" Type="http://schemas.openxmlformats.org/officeDocument/2006/relationships/hyperlink" Target="http://hudoc.echr.coe.int/eng?i=001-174966" TargetMode="External"/><Relationship Id="rId1490" Type="http://schemas.openxmlformats.org/officeDocument/2006/relationships/hyperlink" Target="http://hudoc.echr.coe.int/eng?i=001-22099" TargetMode="External"/><Relationship Id="rId2127" Type="http://schemas.openxmlformats.org/officeDocument/2006/relationships/hyperlink" Target="http://hudoc.echr.coe.int/eng?i=001-114056" TargetMode="External"/><Relationship Id="rId2334" Type="http://schemas.openxmlformats.org/officeDocument/2006/relationships/hyperlink" Target="http://hudoc.echr.coe.int/eng?i=001-89432" TargetMode="External"/><Relationship Id="rId2779" Type="http://schemas.openxmlformats.org/officeDocument/2006/relationships/hyperlink" Target="http://hudoc.echr.coe.int/sites/eng?i=001-114473" TargetMode="External"/><Relationship Id="rId306" Type="http://schemas.openxmlformats.org/officeDocument/2006/relationships/hyperlink" Target="http://hudoc.echr.coe.int/eng?i=001-23117" TargetMode="External"/><Relationship Id="rId860" Type="http://schemas.openxmlformats.org/officeDocument/2006/relationships/hyperlink" Target="http://hudoc.echr.coe.int/eng?i=001-72929" TargetMode="External"/><Relationship Id="rId958" Type="http://schemas.openxmlformats.org/officeDocument/2006/relationships/hyperlink" Target="http://hudoc.echr.coe.int/eng?i=001-165032" TargetMode="External"/><Relationship Id="rId1143" Type="http://schemas.openxmlformats.org/officeDocument/2006/relationships/hyperlink" Target="http://hudoc.echr.coe.int/eng?i=001-121143" TargetMode="External"/><Relationship Id="rId1588" Type="http://schemas.openxmlformats.org/officeDocument/2006/relationships/hyperlink" Target="http://hudoc.echr.coe.int/eng?i=001-186724" TargetMode="External"/><Relationship Id="rId1795" Type="http://schemas.openxmlformats.org/officeDocument/2006/relationships/hyperlink" Target="http://hudoc.echr.coe.int/eng?i=001-113626" TargetMode="External"/><Relationship Id="rId2541" Type="http://schemas.openxmlformats.org/officeDocument/2006/relationships/hyperlink" Target="http://hudoc.echr.coe.int/eng?i=001-74403" TargetMode="External"/><Relationship Id="rId2639" Type="http://schemas.openxmlformats.org/officeDocument/2006/relationships/hyperlink" Target="http://hudoc.echr.coe.int/eng?i=001-159047" TargetMode="External"/><Relationship Id="rId2846" Type="http://schemas.openxmlformats.org/officeDocument/2006/relationships/hyperlink" Target="http://hudoc.echr.coe.int/eng?i=001-58115" TargetMode="External"/><Relationship Id="rId87" Type="http://schemas.openxmlformats.org/officeDocument/2006/relationships/hyperlink" Target="http://hudoc.echr.coe.int/eng?i=001-183860" TargetMode="External"/><Relationship Id="rId513" Type="http://schemas.openxmlformats.org/officeDocument/2006/relationships/hyperlink" Target="http://hudoc.echr.coe.int/eng?i=001-146540" TargetMode="External"/><Relationship Id="rId720" Type="http://schemas.openxmlformats.org/officeDocument/2006/relationships/hyperlink" Target="https://hudoc.echr.coe.int/eng%23%7b%22docname%22:%5b%22demirtas%22%5d,%22documentcollectionid2%22:%5b%22GRANDCHAMBER%22,%22CHAMBER%22%5d,%22itemid%22:%5b%22001-207173%22%5d%7d" TargetMode="External"/><Relationship Id="rId818" Type="http://schemas.openxmlformats.org/officeDocument/2006/relationships/hyperlink" Target="http://hudoc.echr.coe.int/eng?i=001-144367" TargetMode="External"/><Relationship Id="rId1350" Type="http://schemas.openxmlformats.org/officeDocument/2006/relationships/hyperlink" Target="http://hudoc.echr.coe.int/eng?i=001-1184" TargetMode="External"/><Relationship Id="rId1448" Type="http://schemas.openxmlformats.org/officeDocument/2006/relationships/hyperlink" Target="http://hudoc.echr.coe.int/eng?i=001-58912" TargetMode="External"/><Relationship Id="rId1655" Type="http://schemas.openxmlformats.org/officeDocument/2006/relationships/hyperlink" Target="https://www.echr.coe.int/Documents/Guide_Art_2_FRA.pdf" TargetMode="External"/><Relationship Id="rId2401" Type="http://schemas.openxmlformats.org/officeDocument/2006/relationships/hyperlink" Target="http://hudoc.echr.coe.int/eng?i=001-106535" TargetMode="External"/><Relationship Id="rId2706" Type="http://schemas.openxmlformats.org/officeDocument/2006/relationships/hyperlink" Target="http://hudoc.echr.coe.int/eng?i=001-22597" TargetMode="External"/><Relationship Id="rId1003" Type="http://schemas.openxmlformats.org/officeDocument/2006/relationships/hyperlink" Target="http://hudoc.echr.coe.int/eng?i=001-122432" TargetMode="External"/><Relationship Id="rId1210" Type="http://schemas.openxmlformats.org/officeDocument/2006/relationships/hyperlink" Target="http://hudoc.echr.coe.int/eng?i=001-119514" TargetMode="External"/><Relationship Id="rId1308" Type="http://schemas.openxmlformats.org/officeDocument/2006/relationships/hyperlink" Target="http://hudoc.echr.coe.int/eng?i=001-201353" TargetMode="External"/><Relationship Id="rId1862" Type="http://schemas.openxmlformats.org/officeDocument/2006/relationships/hyperlink" Target="http://hudoc.echr.coe.int/eng?i=001-170354" TargetMode="External"/><Relationship Id="rId1515" Type="http://schemas.openxmlformats.org/officeDocument/2006/relationships/hyperlink" Target="http://hudoc.echr.coe.int/eng?i=001-75882" TargetMode="External"/><Relationship Id="rId1722" Type="http://schemas.openxmlformats.org/officeDocument/2006/relationships/hyperlink" Target="http://hudoc.echr.coe.int/eng?i=001-47809" TargetMode="External"/><Relationship Id="rId14" Type="http://schemas.openxmlformats.org/officeDocument/2006/relationships/header" Target="header1.xml"/><Relationship Id="rId2191" Type="http://schemas.openxmlformats.org/officeDocument/2006/relationships/hyperlink" Target="http://hudoc.echr.coe.int/eng?i=001-102535" TargetMode="External"/><Relationship Id="rId163" Type="http://schemas.openxmlformats.org/officeDocument/2006/relationships/hyperlink" Target="http://hudoc.echr.coe.int/eng?i=001-163666" TargetMode="External"/><Relationship Id="rId370" Type="http://schemas.openxmlformats.org/officeDocument/2006/relationships/hyperlink" Target="http://hudoc.echr.coe.int/sites/eng?i=001-22264" TargetMode="External"/><Relationship Id="rId2051" Type="http://schemas.openxmlformats.org/officeDocument/2006/relationships/hyperlink" Target="http://hudoc.echr.coe.int/eng?i=001-59216" TargetMode="External"/><Relationship Id="rId2289" Type="http://schemas.openxmlformats.org/officeDocument/2006/relationships/hyperlink" Target="http://hudoc.echr.coe.int/eng?i=001-159199" TargetMode="External"/><Relationship Id="rId2496" Type="http://schemas.openxmlformats.org/officeDocument/2006/relationships/hyperlink" Target="http://hudoc.echr.coe.int/eng?i=001-167483" TargetMode="External"/><Relationship Id="rId230" Type="http://schemas.openxmlformats.org/officeDocument/2006/relationships/hyperlink" Target="http://hudoc.echr.coe.int/eng?i=001-57800" TargetMode="External"/><Relationship Id="rId468" Type="http://schemas.openxmlformats.org/officeDocument/2006/relationships/hyperlink" Target="http://hudoc.echr.coe.int/eng?i=001-107546" TargetMode="External"/><Relationship Id="rId675" Type="http://schemas.openxmlformats.org/officeDocument/2006/relationships/hyperlink" Target="http://hudoc.echr.coe.int/eng?i=001-198708" TargetMode="External"/><Relationship Id="rId882" Type="http://schemas.openxmlformats.org/officeDocument/2006/relationships/hyperlink" Target="http://hudoc.echr.coe.int/eng?i=001-172817" TargetMode="External"/><Relationship Id="rId1098" Type="http://schemas.openxmlformats.org/officeDocument/2006/relationships/hyperlink" Target="http://hudoc.echr.coe.int/eng?i=001-74405" TargetMode="External"/><Relationship Id="rId2149" Type="http://schemas.openxmlformats.org/officeDocument/2006/relationships/hyperlink" Target="http://hudoc.echr.coe.int/eng?i=001-113628" TargetMode="External"/><Relationship Id="rId2356" Type="http://schemas.openxmlformats.org/officeDocument/2006/relationships/hyperlink" Target="http://hudoc.echr.coe.int/eng?i=001-67584" TargetMode="External"/><Relationship Id="rId2563" Type="http://schemas.openxmlformats.org/officeDocument/2006/relationships/hyperlink" Target="https://hudoc.echr.coe.int/eng?i=001-160441" TargetMode="External"/><Relationship Id="rId2770" Type="http://schemas.openxmlformats.org/officeDocument/2006/relationships/hyperlink" Target="http://hudoc.echr.coe.int/eng?i=001-197253" TargetMode="External"/><Relationship Id="rId328" Type="http://schemas.openxmlformats.org/officeDocument/2006/relationships/hyperlink" Target="http://hudoc.echr.coe.int/eng?i=001-95631" TargetMode="External"/><Relationship Id="rId535" Type="http://schemas.openxmlformats.org/officeDocument/2006/relationships/hyperlink" Target="http://hudoc.echr.coe.int/eng?i=001-98885" TargetMode="External"/><Relationship Id="rId742" Type="http://schemas.openxmlformats.org/officeDocument/2006/relationships/hyperlink" Target="http://hudoc.echr.coe.int/eng?i=001-95317" TargetMode="External"/><Relationship Id="rId1165" Type="http://schemas.openxmlformats.org/officeDocument/2006/relationships/hyperlink" Target="http://hudoc.echr.coe.int/eng?i=001-44853" TargetMode="External"/><Relationship Id="rId1372" Type="http://schemas.openxmlformats.org/officeDocument/2006/relationships/hyperlink" Target="http://hudoc.echr.coe.int/eng?i=001-5184" TargetMode="External"/><Relationship Id="rId2009" Type="http://schemas.openxmlformats.org/officeDocument/2006/relationships/hyperlink" Target="http://hudoc.echr.coe.int/eng?i=001-72688" TargetMode="External"/><Relationship Id="rId2216" Type="http://schemas.openxmlformats.org/officeDocument/2006/relationships/hyperlink" Target="http://hudoc.echr.coe.int/eng?i=001-154398" TargetMode="External"/><Relationship Id="rId2423" Type="http://schemas.openxmlformats.org/officeDocument/2006/relationships/hyperlink" Target="http://hudoc.echr.coe.int/eng?i=001-195527" TargetMode="External"/><Relationship Id="rId2630" Type="http://schemas.openxmlformats.org/officeDocument/2006/relationships/hyperlink" Target="http://hudoc.echr.coe.int/eng?i=001-155815" TargetMode="External"/><Relationship Id="rId602" Type="http://schemas.openxmlformats.org/officeDocument/2006/relationships/hyperlink" Target="http://hudoc.echr.coe.int/eng?i=001-72629" TargetMode="External"/><Relationship Id="rId1025" Type="http://schemas.openxmlformats.org/officeDocument/2006/relationships/hyperlink" Target="http://hudoc.echr.coe.int/eng?i=001-176769" TargetMode="External"/><Relationship Id="rId1232" Type="http://schemas.openxmlformats.org/officeDocument/2006/relationships/hyperlink" Target="http://hudoc.echr.coe.int/eng?i=001-94026" TargetMode="External"/><Relationship Id="rId1677" Type="http://schemas.openxmlformats.org/officeDocument/2006/relationships/hyperlink" Target="https://hudoc.echr.coe.int/eng%23%7b%22docname%22:%5b%22hanan%22%5d,%22documentcollectionid2%22:%5b%22GRANDCHAMBER%22,%22CHAMBER%22%5d,%22itemid%22:%5b%22001-208279%22%5d%7d" TargetMode="External"/><Relationship Id="rId1884" Type="http://schemas.openxmlformats.org/officeDocument/2006/relationships/hyperlink" Target="http://hudoc.echr.coe.int/eng?i=001-91940" TargetMode="External"/><Relationship Id="rId2728" Type="http://schemas.openxmlformats.org/officeDocument/2006/relationships/hyperlink" Target="http://hudoc.echr.coe.int/eng?i=001-83043" TargetMode="External"/><Relationship Id="rId907" Type="http://schemas.openxmlformats.org/officeDocument/2006/relationships/hyperlink" Target="http://hudoc.echr.coe.int/eng?i=001-94162" TargetMode="External"/><Relationship Id="rId1537" Type="http://schemas.openxmlformats.org/officeDocument/2006/relationships/hyperlink" Target="http://hudoc.echr.coe.int/eng?i=001-76084" TargetMode="External"/><Relationship Id="rId1744" Type="http://schemas.openxmlformats.org/officeDocument/2006/relationships/hyperlink" Target="http://hudoc.echr.coe.int/eng?i=001-166480" TargetMode="External"/><Relationship Id="rId1951" Type="http://schemas.openxmlformats.org/officeDocument/2006/relationships/hyperlink" Target="http://hudoc.echr.coe.int/eng?i=001-5357" TargetMode="External"/><Relationship Id="rId36" Type="http://schemas.openxmlformats.org/officeDocument/2006/relationships/hyperlink" Target="https://www.coe.int/en/web/conventions/full-list/-/conventions/treaty/213" TargetMode="External"/><Relationship Id="rId1604" Type="http://schemas.openxmlformats.org/officeDocument/2006/relationships/hyperlink" Target="http://hudoc.echr.coe.int/eng?i=001-67584" TargetMode="External"/><Relationship Id="rId185" Type="http://schemas.openxmlformats.org/officeDocument/2006/relationships/hyperlink" Target="http://hudoc.echr.coe.int/eng?i=001-111989" TargetMode="External"/><Relationship Id="rId1811" Type="http://schemas.openxmlformats.org/officeDocument/2006/relationships/hyperlink" Target="http://hudoc.echr.coe.int/eng?i=001-107043" TargetMode="External"/><Relationship Id="rId1909" Type="http://schemas.openxmlformats.org/officeDocument/2006/relationships/hyperlink" Target="http://hudoc.echr.coe.int/eng?i=001-116966" TargetMode="External"/><Relationship Id="rId392" Type="http://schemas.openxmlformats.org/officeDocument/2006/relationships/hyperlink" Target="https://hudoc.echr.coe.int/eng?i=001-215176" TargetMode="External"/><Relationship Id="rId697" Type="http://schemas.openxmlformats.org/officeDocument/2006/relationships/hyperlink" Target="http://hudoc.echr.coe.int/eng?i=001-152259" TargetMode="External"/><Relationship Id="rId2073" Type="http://schemas.openxmlformats.org/officeDocument/2006/relationships/hyperlink" Target="http://hudoc.echr.coe.int/eng?i=001-193736" TargetMode="External"/><Relationship Id="rId2280" Type="http://schemas.openxmlformats.org/officeDocument/2006/relationships/hyperlink" Target="http://hudoc.echr.coe.int/eng?i=001-99748" TargetMode="External"/><Relationship Id="rId2378" Type="http://schemas.openxmlformats.org/officeDocument/2006/relationships/hyperlink" Target="http://hudoc.echr.coe.int/eng?i=001-111634" TargetMode="External"/><Relationship Id="rId252" Type="http://schemas.openxmlformats.org/officeDocument/2006/relationships/hyperlink" Target="http://hudoc.echr.coe.int/eng?i=001-72925" TargetMode="External"/><Relationship Id="rId1187" Type="http://schemas.openxmlformats.org/officeDocument/2006/relationships/hyperlink" Target="http://hudoc.echr.coe.int/eng?i=001-174416" TargetMode="External"/><Relationship Id="rId2140" Type="http://schemas.openxmlformats.org/officeDocument/2006/relationships/hyperlink" Target="http://hudoc.echr.coe.int/eng?i=001-72214" TargetMode="External"/><Relationship Id="rId2585" Type="http://schemas.openxmlformats.org/officeDocument/2006/relationships/hyperlink" Target="http://hudoc.echr.coe.int/eng?i=001-172665" TargetMode="External"/><Relationship Id="rId2792" Type="http://schemas.openxmlformats.org/officeDocument/2006/relationships/hyperlink" Target="http://hudoc.echr.coe.int/sites/eng?i=001-112481" TargetMode="External"/><Relationship Id="rId112" Type="http://schemas.openxmlformats.org/officeDocument/2006/relationships/hyperlink" Target="http://hudoc.echr.coe.int/eng?i=001-109577" TargetMode="External"/><Relationship Id="rId557" Type="http://schemas.openxmlformats.org/officeDocument/2006/relationships/hyperlink" Target="http://hudoc.echr.coe.int/eng?i=001-71523" TargetMode="External"/><Relationship Id="rId764" Type="http://schemas.openxmlformats.org/officeDocument/2006/relationships/hyperlink" Target="http://hudoc.echr.coe.int/eng?i=001-101358" TargetMode="External"/><Relationship Id="rId971" Type="http://schemas.openxmlformats.org/officeDocument/2006/relationships/hyperlink" Target="http://hudoc.echr.coe.int/eng?i=001-165374" TargetMode="External"/><Relationship Id="rId1394" Type="http://schemas.openxmlformats.org/officeDocument/2006/relationships/hyperlink" Target="http://hudoc.echr.coe.int/eng?i=001-97979" TargetMode="External"/><Relationship Id="rId1699" Type="http://schemas.openxmlformats.org/officeDocument/2006/relationships/hyperlink" Target="http://hudoc.echr.coe.int/eng?i=001-156513" TargetMode="External"/><Relationship Id="rId2000" Type="http://schemas.openxmlformats.org/officeDocument/2006/relationships/hyperlink" Target="http://hudoc.echr.coe.int/eng?i=001-28355" TargetMode="External"/><Relationship Id="rId2238" Type="http://schemas.openxmlformats.org/officeDocument/2006/relationships/hyperlink" Target="http://hudoc.echr.coe.int/eng?i=001-99255" TargetMode="External"/><Relationship Id="rId2445" Type="http://schemas.openxmlformats.org/officeDocument/2006/relationships/hyperlink" Target="http://hudoc.echr.coe.int/eng?i=001-141213" TargetMode="External"/><Relationship Id="rId2652" Type="http://schemas.openxmlformats.org/officeDocument/2006/relationships/hyperlink" Target="http://hudoc.echr.coe.int/eng?i=001-108386" TargetMode="External"/><Relationship Id="rId417" Type="http://schemas.openxmlformats.org/officeDocument/2006/relationships/hyperlink" Target="http://hudoc.echr.coe.int/eng?i=001-59413" TargetMode="External"/><Relationship Id="rId624" Type="http://schemas.openxmlformats.org/officeDocument/2006/relationships/hyperlink" Target="http://hudoc.echr.coe.int/eng?i=001-23704" TargetMode="External"/><Relationship Id="rId831" Type="http://schemas.openxmlformats.org/officeDocument/2006/relationships/hyperlink" Target="http://hudoc.echr.coe.int/eng?i=001-43493" TargetMode="External"/><Relationship Id="rId1047" Type="http://schemas.openxmlformats.org/officeDocument/2006/relationships/hyperlink" Target="http://hudoc.echr.coe.int/eng?i=001-158477" TargetMode="External"/><Relationship Id="rId1254" Type="http://schemas.openxmlformats.org/officeDocument/2006/relationships/hyperlink" Target="http://hudoc.echr.coe.int/eng?i=001-89348" TargetMode="External"/><Relationship Id="rId1461" Type="http://schemas.openxmlformats.org/officeDocument/2006/relationships/hyperlink" Target="http://hudoc.echr.coe.int/eng?i=001-69564" TargetMode="External"/><Relationship Id="rId2305" Type="http://schemas.openxmlformats.org/officeDocument/2006/relationships/hyperlink" Target="http://hudoc.echr.coe.int/eng?i=001-44853" TargetMode="External"/><Relationship Id="rId2512" Type="http://schemas.openxmlformats.org/officeDocument/2006/relationships/hyperlink" Target="http://hudoc.echr.coe.int/eng?i=001-156476" TargetMode="External"/><Relationship Id="rId929" Type="http://schemas.openxmlformats.org/officeDocument/2006/relationships/hyperlink" Target="http://hudoc.echr.coe.int/eng?i=001-179556" TargetMode="External"/><Relationship Id="rId1114" Type="http://schemas.openxmlformats.org/officeDocument/2006/relationships/hyperlink" Target="http://hudoc.echr.coe.int/eng?i=001-103739" TargetMode="External"/><Relationship Id="rId1321" Type="http://schemas.openxmlformats.org/officeDocument/2006/relationships/hyperlink" Target="http://hudoc.echr.coe.int/eng?i=001-207757" TargetMode="External"/><Relationship Id="rId1559" Type="http://schemas.openxmlformats.org/officeDocument/2006/relationships/hyperlink" Target="http://hudoc.echr.coe.int/eng?i=001-72688" TargetMode="External"/><Relationship Id="rId1766" Type="http://schemas.openxmlformats.org/officeDocument/2006/relationships/hyperlink" Target="https://hudoc.echr.coe.int/eng%23%7b%22itemid%22:%5b%22001-204272%22%5d%7d" TargetMode="External"/><Relationship Id="rId1973" Type="http://schemas.openxmlformats.org/officeDocument/2006/relationships/hyperlink" Target="http://hudoc.echr.coe.int/eng?i=001-109049" TargetMode="External"/><Relationship Id="rId2817" Type="http://schemas.openxmlformats.org/officeDocument/2006/relationships/hyperlink" Target="http://hudoc.echr.coe.int/eng?i=001-91720" TargetMode="External"/><Relationship Id="rId58" Type="http://schemas.openxmlformats.org/officeDocument/2006/relationships/hyperlink" Target="http://hudoc.echr.coe.int/eng?i=001-187909" TargetMode="External"/><Relationship Id="rId1419" Type="http://schemas.openxmlformats.org/officeDocument/2006/relationships/hyperlink" Target="http://hudoc.echr.coe.int/eng?i=001-113118" TargetMode="External"/><Relationship Id="rId1626" Type="http://schemas.openxmlformats.org/officeDocument/2006/relationships/hyperlink" Target="http://hudoc.echr.coe.int/eng?i=001-75463" TargetMode="External"/><Relationship Id="rId1833" Type="http://schemas.openxmlformats.org/officeDocument/2006/relationships/hyperlink" Target="http://hudoc.echr.coe.int/eng?i=001-152831" TargetMode="External"/><Relationship Id="rId1900" Type="http://schemas.openxmlformats.org/officeDocument/2006/relationships/hyperlink" Target="http://hudoc.echr.coe.int/" TargetMode="External"/><Relationship Id="rId2095" Type="http://schemas.openxmlformats.org/officeDocument/2006/relationships/hyperlink" Target="http://hudoc.echr.coe.int/eng?i=001-86871" TargetMode="External"/><Relationship Id="rId274" Type="http://schemas.openxmlformats.org/officeDocument/2006/relationships/hyperlink" Target="http://hudoc.echr.coe.int/eng?i=001-99015" TargetMode="External"/><Relationship Id="rId481" Type="http://schemas.openxmlformats.org/officeDocument/2006/relationships/hyperlink" Target="http://hudoc.echr.coe.int/eng?i=001-191117" TargetMode="External"/><Relationship Id="rId2162" Type="http://schemas.openxmlformats.org/officeDocument/2006/relationships/hyperlink" Target="http://hudoc.echr.coe.int/eng?i=001-176769" TargetMode="External"/><Relationship Id="rId134" Type="http://schemas.openxmlformats.org/officeDocument/2006/relationships/hyperlink" Target="http://hudoc.echr.coe.int/sites/eng?i=001-22264" TargetMode="External"/><Relationship Id="rId579" Type="http://schemas.openxmlformats.org/officeDocument/2006/relationships/hyperlink" Target="http://hudoc.echr.coe.int/eng?i=001-142199" TargetMode="External"/><Relationship Id="rId786" Type="http://schemas.openxmlformats.org/officeDocument/2006/relationships/hyperlink" Target="http://hudoc.echr.coe.int/eng?i=001-97704" TargetMode="External"/><Relationship Id="rId993" Type="http://schemas.openxmlformats.org/officeDocument/2006/relationships/hyperlink" Target="http://hudoc.echr.coe.int/eng?i=001-111957" TargetMode="External"/><Relationship Id="rId2467" Type="http://schemas.openxmlformats.org/officeDocument/2006/relationships/hyperlink" Target="http://hudoc.echr.coe.int/eng?i=001-23887" TargetMode="External"/><Relationship Id="rId2674" Type="http://schemas.openxmlformats.org/officeDocument/2006/relationships/hyperlink" Target="https://hudoc.echr.coe.int/eng%23%7b%22docname%22:%5b%22demirtas%22%5d,%22documentcollectionid2%22:%5b%22GRANDCHAMBER%22,%22CHAMBER%22%5d,%22itemid%22:%5b%22001-207173%22%5d%7d" TargetMode="External"/><Relationship Id="rId341" Type="http://schemas.openxmlformats.org/officeDocument/2006/relationships/hyperlink" Target="http://hudoc.echr.coe.int/eng?i=001-86739" TargetMode="External"/><Relationship Id="rId439" Type="http://schemas.openxmlformats.org/officeDocument/2006/relationships/hyperlink" Target="http://hudoc.echr.coe.int/eng?i=001-85611" TargetMode="External"/><Relationship Id="rId646" Type="http://schemas.openxmlformats.org/officeDocument/2006/relationships/hyperlink" Target="http://hudoc.echr.coe.int/eng?i=001-127327" TargetMode="External"/><Relationship Id="rId1069" Type="http://schemas.openxmlformats.org/officeDocument/2006/relationships/hyperlink" Target="http://hudoc.echr.coe.int/eng?i=001-122763" TargetMode="External"/><Relationship Id="rId1276" Type="http://schemas.openxmlformats.org/officeDocument/2006/relationships/hyperlink" Target="http://hudoc.echr.coe.int/eng?i=001-165417" TargetMode="External"/><Relationship Id="rId1483" Type="http://schemas.openxmlformats.org/officeDocument/2006/relationships/hyperlink" Target="http://hudoc.echr.coe.int/eng?i=001-92351" TargetMode="External"/><Relationship Id="rId2022" Type="http://schemas.openxmlformats.org/officeDocument/2006/relationships/hyperlink" Target="http://hudoc.echr.coe.int/eng?i=001-97660" TargetMode="External"/><Relationship Id="rId2327" Type="http://schemas.openxmlformats.org/officeDocument/2006/relationships/hyperlink" Target="http://hudoc.echr.coe.int/eng?i=001-166737" TargetMode="External"/><Relationship Id="rId201" Type="http://schemas.openxmlformats.org/officeDocument/2006/relationships/hyperlink" Target="https://hudoc.echr.coe.int/eng%23%7b%22itemid%22:%5b%22001-206159%22%5d%7d" TargetMode="External"/><Relationship Id="rId506" Type="http://schemas.openxmlformats.org/officeDocument/2006/relationships/hyperlink" Target="http://hudoc.echr.coe.int/eng?i=001-102332" TargetMode="External"/><Relationship Id="rId853" Type="http://schemas.openxmlformats.org/officeDocument/2006/relationships/hyperlink" Target="http://hudoc.echr.coe.int/eng?i=001-80968" TargetMode="External"/><Relationship Id="rId1136" Type="http://schemas.openxmlformats.org/officeDocument/2006/relationships/hyperlink" Target="http://hudoc.echr.coe.int/eng?i=001-72492" TargetMode="External"/><Relationship Id="rId1690" Type="http://schemas.openxmlformats.org/officeDocument/2006/relationships/hyperlink" Target="http://hudoc.echr.coe.int/eng?i=001-171106" TargetMode="External"/><Relationship Id="rId1788" Type="http://schemas.openxmlformats.org/officeDocument/2006/relationships/hyperlink" Target="http://hudoc.echr.coe.int/eng?i=001-106652" TargetMode="External"/><Relationship Id="rId1995" Type="http://schemas.openxmlformats.org/officeDocument/2006/relationships/hyperlink" Target="http://hudoc.echr.coe.int/eng?i=001-101263" TargetMode="External"/><Relationship Id="rId2534" Type="http://schemas.openxmlformats.org/officeDocument/2006/relationships/hyperlink" Target="http://hudoc.echr.coe.int/eng?i=001-76677" TargetMode="External"/><Relationship Id="rId2741" Type="http://schemas.openxmlformats.org/officeDocument/2006/relationships/hyperlink" Target="http://hudoc.echr.coe.int/eng?i=001-145307" TargetMode="External"/><Relationship Id="rId2839" Type="http://schemas.openxmlformats.org/officeDocument/2006/relationships/hyperlink" Target="https://hudoc.echr.coe.int/eng%23%7b%22itemid%22:%5b%22001-204272%22%5d%7d" TargetMode="External"/><Relationship Id="rId713" Type="http://schemas.openxmlformats.org/officeDocument/2006/relationships/hyperlink" Target="http://hudoc.echr.coe.int/eng?i=001-67823" TargetMode="External"/><Relationship Id="rId920" Type="http://schemas.openxmlformats.org/officeDocument/2006/relationships/hyperlink" Target="http://hudoc.echr.coe.int/eng?i=001-175121" TargetMode="External"/><Relationship Id="rId1343" Type="http://schemas.openxmlformats.org/officeDocument/2006/relationships/hyperlink" Target="http://hudoc.echr.coe.int/eng?i=001-148367" TargetMode="External"/><Relationship Id="rId1550" Type="http://schemas.openxmlformats.org/officeDocument/2006/relationships/hyperlink" Target="http://hudoc.echr.coe.int/eng?i=001-31946" TargetMode="External"/><Relationship Id="rId1648" Type="http://schemas.openxmlformats.org/officeDocument/2006/relationships/hyperlink" Target="http://hudoc.echr.coe.int/eng?i=001-23303" TargetMode="External"/><Relationship Id="rId2601" Type="http://schemas.openxmlformats.org/officeDocument/2006/relationships/hyperlink" Target="http://hudoc.echr.coe.int/eng?i=001-88871" TargetMode="External"/><Relationship Id="rId1203" Type="http://schemas.openxmlformats.org/officeDocument/2006/relationships/hyperlink" Target="http://hudoc.echr.coe.int/eng?i=001-103578" TargetMode="External"/><Relationship Id="rId1410" Type="http://schemas.openxmlformats.org/officeDocument/2006/relationships/hyperlink" Target="http://hudoc.echr.coe.int/eng?i=001-202524" TargetMode="External"/><Relationship Id="rId1508" Type="http://schemas.openxmlformats.org/officeDocument/2006/relationships/hyperlink" Target="http://hudoc.echr.coe.int/eng?i=001-72219" TargetMode="External"/><Relationship Id="rId1855" Type="http://schemas.openxmlformats.org/officeDocument/2006/relationships/hyperlink" Target="http://hudoc.echr.coe.int/eng?i=001-163661" TargetMode="External"/><Relationship Id="rId1715" Type="http://schemas.openxmlformats.org/officeDocument/2006/relationships/hyperlink" Target="http://hudoc.echr.coe.int/eng?i=001-70407" TargetMode="External"/><Relationship Id="rId1922" Type="http://schemas.openxmlformats.org/officeDocument/2006/relationships/hyperlink" Target="http://hudoc.echr.coe.int/eng?i=001-180307" TargetMode="External"/><Relationship Id="rId296" Type="http://schemas.openxmlformats.org/officeDocument/2006/relationships/hyperlink" Target="http://hudoc.echr.coe.int/eng?i=001-171773" TargetMode="External"/><Relationship Id="rId2184" Type="http://schemas.openxmlformats.org/officeDocument/2006/relationships/hyperlink" Target="http://hudoc.echr.coe.int/eng?i=001-57489" TargetMode="External"/><Relationship Id="rId2391" Type="http://schemas.openxmlformats.org/officeDocument/2006/relationships/hyperlink" Target="http://hudoc.echr.coe.int/eng?i=001-97460" TargetMode="External"/><Relationship Id="rId156" Type="http://schemas.openxmlformats.org/officeDocument/2006/relationships/hyperlink" Target="http://hudoc.echr.coe.int/eng?i=001-176928" TargetMode="External"/><Relationship Id="rId363" Type="http://schemas.openxmlformats.org/officeDocument/2006/relationships/hyperlink" Target="http://hudoc.echr.coe.int/eng?i=001-61263" TargetMode="External"/><Relationship Id="rId570" Type="http://schemas.openxmlformats.org/officeDocument/2006/relationships/hyperlink" Target="http://hudoc.echr.coe.int/eng?i=001-102393" TargetMode="External"/><Relationship Id="rId2044" Type="http://schemas.openxmlformats.org/officeDocument/2006/relationships/hyperlink" Target="http://hudoc.echr.coe.int/eng?i=001-164928" TargetMode="External"/><Relationship Id="rId2251" Type="http://schemas.openxmlformats.org/officeDocument/2006/relationships/hyperlink" Target="http://hudoc.echr.coe.int/eng?i=001-106650" TargetMode="External"/><Relationship Id="rId2489" Type="http://schemas.openxmlformats.org/officeDocument/2006/relationships/hyperlink" Target="http://hudoc.echr.coe.int/eng?i=001-112165" TargetMode="External"/><Relationship Id="rId2696" Type="http://schemas.openxmlformats.org/officeDocument/2006/relationships/hyperlink" Target="http://hudoc.echr.coe.int/eng?i=001-69891" TargetMode="External"/><Relationship Id="rId223" Type="http://schemas.openxmlformats.org/officeDocument/2006/relationships/hyperlink" Target="http://hudoc.echr.coe.int/eng?i=001-57510" TargetMode="External"/><Relationship Id="rId430" Type="http://schemas.openxmlformats.org/officeDocument/2006/relationships/hyperlink" Target="http://hudoc.echr.coe.int/eng?i=001-58198" TargetMode="External"/><Relationship Id="rId668" Type="http://schemas.openxmlformats.org/officeDocument/2006/relationships/hyperlink" Target="http://hudoc.echr.coe.int/eng?i=001-202346" TargetMode="External"/><Relationship Id="rId875" Type="http://schemas.openxmlformats.org/officeDocument/2006/relationships/hyperlink" Target="http://hudoc.echr.coe.int/eng?i=001-22702" TargetMode="External"/><Relationship Id="rId1060" Type="http://schemas.openxmlformats.org/officeDocument/2006/relationships/hyperlink" Target="http://hudoc.echr.coe.int/eng?i=001-108465" TargetMode="External"/><Relationship Id="rId1298" Type="http://schemas.openxmlformats.org/officeDocument/2006/relationships/hyperlink" Target="http://hudoc.echr.coe.int/eng?i=001-22099" TargetMode="External"/><Relationship Id="rId2111" Type="http://schemas.openxmlformats.org/officeDocument/2006/relationships/hyperlink" Target="http://hudoc.echr.coe.int/eng?i=001-102000" TargetMode="External"/><Relationship Id="rId2349" Type="http://schemas.openxmlformats.org/officeDocument/2006/relationships/hyperlink" Target="http://hudoc.echr.coe.int/eng?i=001-122697" TargetMode="External"/><Relationship Id="rId2556" Type="http://schemas.openxmlformats.org/officeDocument/2006/relationships/hyperlink" Target="http://hudoc.echr.coe.int/eng?i=001-84968" TargetMode="External"/><Relationship Id="rId2763" Type="http://schemas.openxmlformats.org/officeDocument/2006/relationships/hyperlink" Target="http://hudoc.echr.coe.int/eng?i=001-96818" TargetMode="External"/><Relationship Id="rId528" Type="http://schemas.openxmlformats.org/officeDocument/2006/relationships/hyperlink" Target="http://hudoc.echr.coe.int/eng?i=001-157408" TargetMode="External"/><Relationship Id="rId735" Type="http://schemas.openxmlformats.org/officeDocument/2006/relationships/hyperlink" Target="http://hudoc.echr.coe.int/eng?i=001-23610" TargetMode="External"/><Relationship Id="rId942" Type="http://schemas.openxmlformats.org/officeDocument/2006/relationships/hyperlink" Target="http://hudoc.echr.coe.int/eng?i=001-142638" TargetMode="External"/><Relationship Id="rId1158" Type="http://schemas.openxmlformats.org/officeDocument/2006/relationships/hyperlink" Target="http://hudoc.echr.coe.int/eng?i=001-145466" TargetMode="External"/><Relationship Id="rId1365" Type="http://schemas.openxmlformats.org/officeDocument/2006/relationships/hyperlink" Target="http://hudoc.echr.coe.int/eng?i=001-93401" TargetMode="External"/><Relationship Id="rId1572" Type="http://schemas.openxmlformats.org/officeDocument/2006/relationships/hyperlink" Target="http://hudoc.echr.coe.int/eng?i=001-61886" TargetMode="External"/><Relationship Id="rId2209" Type="http://schemas.openxmlformats.org/officeDocument/2006/relationships/hyperlink" Target="http://hudoc.echr.coe.int/eng?i=001-157408" TargetMode="External"/><Relationship Id="rId2416" Type="http://schemas.openxmlformats.org/officeDocument/2006/relationships/hyperlink" Target="http://hudoc.echr.coe.int/eng?i=001-180488" TargetMode="External"/><Relationship Id="rId2623" Type="http://schemas.openxmlformats.org/officeDocument/2006/relationships/hyperlink" Target="http://hudoc.echr.coe.int/eng?i=001-93660" TargetMode="External"/><Relationship Id="rId1018" Type="http://schemas.openxmlformats.org/officeDocument/2006/relationships/hyperlink" Target="http://hudoc.echr.coe.int/eng?i=001-6001" TargetMode="External"/><Relationship Id="rId1225" Type="http://schemas.openxmlformats.org/officeDocument/2006/relationships/hyperlink" Target="http://hudoc.echr.coe.int/eng?i=001-106602" TargetMode="External"/><Relationship Id="rId1432" Type="http://schemas.openxmlformats.org/officeDocument/2006/relationships/hyperlink" Target="http://hudoc.echr.coe.int/eng?i=001-90864" TargetMode="External"/><Relationship Id="rId1877" Type="http://schemas.openxmlformats.org/officeDocument/2006/relationships/hyperlink" Target="http://hudoc.echr.coe.int/eng?i=001-106192" TargetMode="External"/><Relationship Id="rId2830" Type="http://schemas.openxmlformats.org/officeDocument/2006/relationships/hyperlink" Target="http://hudoc.echr.coe.int/eng?i=001-61247" TargetMode="External"/><Relationship Id="rId71" Type="http://schemas.openxmlformats.org/officeDocument/2006/relationships/hyperlink" Target="http://hudoc.echr.coe.int/sites/eng?i=001-83421" TargetMode="External"/><Relationship Id="rId802" Type="http://schemas.openxmlformats.org/officeDocument/2006/relationships/hyperlink" Target="http://hudoc.echr.coe.int/eng?i=001-201341" TargetMode="External"/><Relationship Id="rId1737" Type="http://schemas.openxmlformats.org/officeDocument/2006/relationships/hyperlink" Target="http://hudoc.echr.coe.int/eng?i=001-168816" TargetMode="External"/><Relationship Id="rId1944" Type="http://schemas.openxmlformats.org/officeDocument/2006/relationships/hyperlink" Target="http://hudoc.echr.coe.int/eng?i=001-58417" TargetMode="External"/><Relationship Id="rId29" Type="http://schemas.openxmlformats.org/officeDocument/2006/relationships/hyperlink" Target="https://www.coe.int/en/web/conventions/full-list/-/conventions/treaty/213" TargetMode="External"/><Relationship Id="rId178" Type="http://schemas.openxmlformats.org/officeDocument/2006/relationships/hyperlink" Target="http://hudoc.echr.coe.int/eng?i=001-72259" TargetMode="External"/><Relationship Id="rId1804" Type="http://schemas.openxmlformats.org/officeDocument/2006/relationships/hyperlink" Target="http://hudoc.echr.coe.int/eng?i=001-106650" TargetMode="External"/><Relationship Id="rId385" Type="http://schemas.openxmlformats.org/officeDocument/2006/relationships/hyperlink" Target="https://hudoc.echr.coe.int/eng?i=001-76507" TargetMode="External"/><Relationship Id="rId592" Type="http://schemas.openxmlformats.org/officeDocument/2006/relationships/hyperlink" Target="http://hudoc.echr.coe.int/eng?i=001-156476" TargetMode="External"/><Relationship Id="rId2066" Type="http://schemas.openxmlformats.org/officeDocument/2006/relationships/hyperlink" Target="http://hudoc.echr.coe.int/eng?i=001-193652" TargetMode="External"/><Relationship Id="rId2273" Type="http://schemas.openxmlformats.org/officeDocument/2006/relationships/hyperlink" Target="http://hudoc.echr.coe.int/eng?i=001-127327" TargetMode="External"/><Relationship Id="rId2480" Type="http://schemas.openxmlformats.org/officeDocument/2006/relationships/hyperlink" Target="http://hudoc.echr.coe.int/eng?i=001-146540" TargetMode="External"/><Relationship Id="rId245" Type="http://schemas.openxmlformats.org/officeDocument/2006/relationships/hyperlink" Target="http://hudoc.echr.coe.int/eng?i=001-200344" TargetMode="External"/><Relationship Id="rId452" Type="http://schemas.openxmlformats.org/officeDocument/2006/relationships/hyperlink" Target="http://hudoc.echr.coe.int/eng?i=001-105699" TargetMode="External"/><Relationship Id="rId897" Type="http://schemas.openxmlformats.org/officeDocument/2006/relationships/hyperlink" Target="http://hudoc.echr.coe.int/eng?i=001-181591" TargetMode="External"/><Relationship Id="rId1082" Type="http://schemas.openxmlformats.org/officeDocument/2006/relationships/hyperlink" Target="http://hudoc.echr.coe.int/eng?i=001-94321" TargetMode="External"/><Relationship Id="rId2133" Type="http://schemas.openxmlformats.org/officeDocument/2006/relationships/hyperlink" Target="http://hudoc.echr.coe.int/eng?i=001-103813" TargetMode="External"/><Relationship Id="rId2340" Type="http://schemas.openxmlformats.org/officeDocument/2006/relationships/hyperlink" Target="http://hudoc.echr.coe.int/eng?i=001-169190" TargetMode="External"/><Relationship Id="rId2578" Type="http://schemas.openxmlformats.org/officeDocument/2006/relationships/hyperlink" Target="http://hudoc.echr.coe.int/eng?i=001-3353" TargetMode="External"/><Relationship Id="rId2785" Type="http://schemas.openxmlformats.org/officeDocument/2006/relationships/hyperlink" Target="http://hudoc.echr.coe.int/eng?i=001-58842" TargetMode="External"/><Relationship Id="rId105" Type="http://schemas.openxmlformats.org/officeDocument/2006/relationships/hyperlink" Target="http://hudoc.echr.coe.int/eng?i=001-98428" TargetMode="External"/><Relationship Id="rId312" Type="http://schemas.openxmlformats.org/officeDocument/2006/relationships/hyperlink" Target="https://hudoc.echr.coe.int/eng?i=001-216679" TargetMode="External"/><Relationship Id="rId757" Type="http://schemas.openxmlformats.org/officeDocument/2006/relationships/hyperlink" Target="http://hudoc.echr.coe.int/eng?i=001-67328" TargetMode="External"/><Relationship Id="rId964" Type="http://schemas.openxmlformats.org/officeDocument/2006/relationships/hyperlink" Target="http://hudoc.echr.coe.int/eng?i=001-187469" TargetMode="External"/><Relationship Id="rId1387" Type="http://schemas.openxmlformats.org/officeDocument/2006/relationships/hyperlink" Target="http://hudoc.echr.coe.int/eng?i=001-202524" TargetMode="External"/><Relationship Id="rId1594" Type="http://schemas.openxmlformats.org/officeDocument/2006/relationships/hyperlink" Target="http://hudoc.echr.coe.int/eng?i=001-92142" TargetMode="External"/><Relationship Id="rId2200" Type="http://schemas.openxmlformats.org/officeDocument/2006/relationships/hyperlink" Target="https://hudoc.echr.coe.int/eng?i=001-93906" TargetMode="External"/><Relationship Id="rId2438" Type="http://schemas.openxmlformats.org/officeDocument/2006/relationships/hyperlink" Target="http://hudoc.echr.coe.int/eng?i=001-144367" TargetMode="External"/><Relationship Id="rId2645" Type="http://schemas.openxmlformats.org/officeDocument/2006/relationships/hyperlink" Target="http://hudoc.echr.coe.int/eng?i=001-58735" TargetMode="External"/><Relationship Id="rId2852" Type="http://schemas.openxmlformats.org/officeDocument/2006/relationships/hyperlink" Target="http://hudoc.echr.coe.int/eng?i=001-92581" TargetMode="External"/><Relationship Id="rId93" Type="http://schemas.openxmlformats.org/officeDocument/2006/relationships/hyperlink" Target="http://hudoc.echr.coe.int/eng?i=001-85641" TargetMode="External"/><Relationship Id="rId617" Type="http://schemas.openxmlformats.org/officeDocument/2006/relationships/hyperlink" Target="https://hudoc.echr.coe.int/eng?i=001-79648" TargetMode="External"/><Relationship Id="rId824" Type="http://schemas.openxmlformats.org/officeDocument/2006/relationships/hyperlink" Target="http://hudoc.echr.coe.int/eng?i=001-200446" TargetMode="External"/><Relationship Id="rId1247" Type="http://schemas.openxmlformats.org/officeDocument/2006/relationships/hyperlink" Target="http://hudoc.echr.coe.int/eng?i=001-138958" TargetMode="External"/><Relationship Id="rId1454" Type="http://schemas.openxmlformats.org/officeDocument/2006/relationships/hyperlink" Target="http://hudoc.echr.coe.int/eng?i=001-148070" TargetMode="External"/><Relationship Id="rId1661" Type="http://schemas.openxmlformats.org/officeDocument/2006/relationships/hyperlink" Target="http://www.echr.coe.int/Documents/Guide_Art_8_ENG.pdf" TargetMode="External"/><Relationship Id="rId1899" Type="http://schemas.openxmlformats.org/officeDocument/2006/relationships/hyperlink" Target="http://hudoc.echr.coe.int/eng?i=001-110301" TargetMode="External"/><Relationship Id="rId2505" Type="http://schemas.openxmlformats.org/officeDocument/2006/relationships/hyperlink" Target="http://hudoc.echr.coe.int/eng?i=001-180276" TargetMode="External"/><Relationship Id="rId2712" Type="http://schemas.openxmlformats.org/officeDocument/2006/relationships/hyperlink" Target="http://hudoc.echr.coe.int/eng?i=001-57619" TargetMode="External"/><Relationship Id="rId1107" Type="http://schemas.openxmlformats.org/officeDocument/2006/relationships/hyperlink" Target="http://hudoc.echr.coe.int/eng?i=001-61787" TargetMode="External"/><Relationship Id="rId1314" Type="http://schemas.openxmlformats.org/officeDocument/2006/relationships/hyperlink" Target="http://hudoc.echr.coe.int/eng?i=001-61886" TargetMode="External"/><Relationship Id="rId1521" Type="http://schemas.openxmlformats.org/officeDocument/2006/relationships/hyperlink" Target="http://hudoc.echr.coe.int/eng?i=001-57951" TargetMode="External"/><Relationship Id="rId1759" Type="http://schemas.openxmlformats.org/officeDocument/2006/relationships/hyperlink" Target="http://hudoc.echr.coe.int/eng?i=001-201352" TargetMode="External"/><Relationship Id="rId1966" Type="http://schemas.openxmlformats.org/officeDocument/2006/relationships/hyperlink" Target="http://hudoc.echr.coe.int/eng?i=001-22367" TargetMode="External"/><Relationship Id="rId1619" Type="http://schemas.openxmlformats.org/officeDocument/2006/relationships/hyperlink" Target="http://hudoc.echr.coe.int/eng?i=001-150232" TargetMode="External"/><Relationship Id="rId1826" Type="http://schemas.openxmlformats.org/officeDocument/2006/relationships/hyperlink" Target="http://hudoc.echr.coe.int/eng?i=001-109335" TargetMode="External"/><Relationship Id="rId20" Type="http://schemas.openxmlformats.org/officeDocument/2006/relationships/hyperlink" Target="http://hudoc.echr.coe.int/eng?i=001-109868" TargetMode="External"/><Relationship Id="rId2088" Type="http://schemas.openxmlformats.org/officeDocument/2006/relationships/hyperlink" Target="http://hudoc.echr.coe.int/eng?i=001-58737" TargetMode="External"/><Relationship Id="rId2295" Type="http://schemas.openxmlformats.org/officeDocument/2006/relationships/hyperlink" Target="http://hudoc.echr.coe.int/eng?i=001-107145" TargetMode="External"/><Relationship Id="rId267" Type="http://schemas.openxmlformats.org/officeDocument/2006/relationships/hyperlink" Target="https://hudoc.echr.coe.int/eng%23%7b%22docname%22:%5b%22demirtas%22%5d,%22documentcollectionid2%22:%5b%22GRANDCHAMBER%22,%22CHAMBER%22%5d,%22itemid%22:%5b%22001-207173%22%5d%7d" TargetMode="External"/><Relationship Id="rId474" Type="http://schemas.openxmlformats.org/officeDocument/2006/relationships/hyperlink" Target="http://hudoc.echr.coe.int/eng?i=001-126550" TargetMode="External"/><Relationship Id="rId2155" Type="http://schemas.openxmlformats.org/officeDocument/2006/relationships/hyperlink" Target="http://hudoc.echr.coe.int/eng?i=001-117742" TargetMode="External"/><Relationship Id="rId127" Type="http://schemas.openxmlformats.org/officeDocument/2006/relationships/hyperlink" Target="http://hudoc.echr.coe.int/eng?i=001-178518" TargetMode="External"/><Relationship Id="rId681" Type="http://schemas.openxmlformats.org/officeDocument/2006/relationships/hyperlink" Target="http://hudoc.echr.coe.int/eng?i=001-155353" TargetMode="External"/><Relationship Id="rId779" Type="http://schemas.openxmlformats.org/officeDocument/2006/relationships/hyperlink" Target="http://hudoc.echr.coe.int/eng?i=001-169704" TargetMode="External"/><Relationship Id="rId986" Type="http://schemas.openxmlformats.org/officeDocument/2006/relationships/hyperlink" Target="http://hudoc.echr.coe.int/eng?i=001-95990" TargetMode="External"/><Relationship Id="rId2362" Type="http://schemas.openxmlformats.org/officeDocument/2006/relationships/hyperlink" Target="http://hudoc.echr.coe.int/eng?i=001-163253" TargetMode="External"/><Relationship Id="rId2667" Type="http://schemas.openxmlformats.org/officeDocument/2006/relationships/hyperlink" Target="http://hudoc.echr.coe.int/eng?i=001-58752" TargetMode="External"/><Relationship Id="rId334" Type="http://schemas.openxmlformats.org/officeDocument/2006/relationships/hyperlink" Target="http://hudoc.echr.coe.int/eng?i=001-175121" TargetMode="External"/><Relationship Id="rId541" Type="http://schemas.openxmlformats.org/officeDocument/2006/relationships/hyperlink" Target="http://hudoc.echr.coe.int/eng?i=001-22092" TargetMode="External"/><Relationship Id="rId639" Type="http://schemas.openxmlformats.org/officeDocument/2006/relationships/hyperlink" Target="http://hudoc.echr.coe.int/eng?i=001-22054" TargetMode="External"/><Relationship Id="rId1171" Type="http://schemas.openxmlformats.org/officeDocument/2006/relationships/hyperlink" Target="https://hudoc.echr.coe.int/eng?i=001-216939" TargetMode="External"/><Relationship Id="rId1269" Type="http://schemas.openxmlformats.org/officeDocument/2006/relationships/hyperlink" Target="https://hudoc.echr.coe.int/eng%23%7b%22sort%22:%5b%22EMPTY%22%5d,%22docname%22:%5b%22tokel%22%5d,%22documentcollectionid2%22:%5b%22GRANDCHAMBER%22,%22CHAMBER%22%5d,%22itemid%22:%5b%22001-207813%22%5d%7d" TargetMode="External"/><Relationship Id="rId1476" Type="http://schemas.openxmlformats.org/officeDocument/2006/relationships/hyperlink" Target="http://hudoc.echr.coe.int/eng?i=001-208279" TargetMode="External"/><Relationship Id="rId2015" Type="http://schemas.openxmlformats.org/officeDocument/2006/relationships/hyperlink" Target="http://hudoc.echr.coe.int/eng?i=001-97268" TargetMode="External"/><Relationship Id="rId2222" Type="http://schemas.openxmlformats.org/officeDocument/2006/relationships/hyperlink" Target="http://hudoc.echr.coe.int/eng?i=001-66953" TargetMode="External"/><Relationship Id="rId401" Type="http://schemas.openxmlformats.org/officeDocument/2006/relationships/hyperlink" Target="http://hudoc.echr.coe.int/eng?i=001-192208" TargetMode="External"/><Relationship Id="rId846" Type="http://schemas.openxmlformats.org/officeDocument/2006/relationships/hyperlink" Target="http://hudoc.echr.coe.int/eng?i=001-146873" TargetMode="External"/><Relationship Id="rId1031" Type="http://schemas.openxmlformats.org/officeDocument/2006/relationships/hyperlink" Target="http://hudoc.echr.coe.int/eng?i=001-139908" TargetMode="External"/><Relationship Id="rId1129" Type="http://schemas.openxmlformats.org/officeDocument/2006/relationships/hyperlink" Target="http://hudoc.echr.coe.int/eng?i=001-106308" TargetMode="External"/><Relationship Id="rId1683" Type="http://schemas.openxmlformats.org/officeDocument/2006/relationships/hyperlink" Target="http://hudoc.echr.coe.int/eng?i=001-58907" TargetMode="External"/><Relationship Id="rId1890" Type="http://schemas.openxmlformats.org/officeDocument/2006/relationships/hyperlink" Target="http://hudoc.echr.coe.int/eng?i=001-103812" TargetMode="External"/><Relationship Id="rId1988" Type="http://schemas.openxmlformats.org/officeDocument/2006/relationships/hyperlink" Target="http://hudoc.echr.coe.int/eng?i=001-57434" TargetMode="External"/><Relationship Id="rId2527" Type="http://schemas.openxmlformats.org/officeDocument/2006/relationships/hyperlink" Target="http://hudoc.echr.coe.int/eng?i=001-140235" TargetMode="External"/><Relationship Id="rId2734" Type="http://schemas.openxmlformats.org/officeDocument/2006/relationships/hyperlink" Target="http://hudoc.echr.coe.int/eng?i=001-85641" TargetMode="External"/><Relationship Id="rId706" Type="http://schemas.openxmlformats.org/officeDocument/2006/relationships/hyperlink" Target="http://hudoc.echr.coe.int/eng?i=001-146540" TargetMode="External"/><Relationship Id="rId913" Type="http://schemas.openxmlformats.org/officeDocument/2006/relationships/hyperlink" Target="https://hudoc.echr.coe.int/eng?i=001-216434" TargetMode="External"/><Relationship Id="rId1336" Type="http://schemas.openxmlformats.org/officeDocument/2006/relationships/hyperlink" Target="http://hudoc.echr.coe.int/eng?i=001-67460" TargetMode="External"/><Relationship Id="rId1543" Type="http://schemas.openxmlformats.org/officeDocument/2006/relationships/hyperlink" Target="http://hudoc.echr.coe.int/eng?i=001-83068" TargetMode="External"/><Relationship Id="rId1750" Type="http://schemas.openxmlformats.org/officeDocument/2006/relationships/hyperlink" Target="http://hudoc.echr.coe.int/eng?i=001-99843" TargetMode="External"/><Relationship Id="rId2801" Type="http://schemas.openxmlformats.org/officeDocument/2006/relationships/hyperlink" Target="http://hudoc.echr.coe.int/eng?i=001-93265" TargetMode="External"/><Relationship Id="rId42" Type="http://schemas.openxmlformats.org/officeDocument/2006/relationships/hyperlink" Target="http://hudoc.echr.coe.int/sites/eng?i=001-128294" TargetMode="External"/><Relationship Id="rId1403" Type="http://schemas.openxmlformats.org/officeDocument/2006/relationships/hyperlink" Target="http://hudoc.echr.coe.int/eng?i=001-207757" TargetMode="External"/><Relationship Id="rId1610" Type="http://schemas.openxmlformats.org/officeDocument/2006/relationships/hyperlink" Target="http://hudoc.echr.coe.int/eng?i=001-144276" TargetMode="External"/><Relationship Id="rId1848" Type="http://schemas.openxmlformats.org/officeDocument/2006/relationships/hyperlink" Target="http://hudoc.echr.coe.int/eng?i=001-108963" TargetMode="External"/><Relationship Id="rId191" Type="http://schemas.openxmlformats.org/officeDocument/2006/relationships/hyperlink" Target="http://hudoc.echr.coe.int/eng?i=001-181178" TargetMode="External"/><Relationship Id="rId1708" Type="http://schemas.openxmlformats.org/officeDocument/2006/relationships/hyperlink" Target="http://hudoc.echr.coe.int/eng?i=001-100012" TargetMode="External"/><Relationship Id="rId1915" Type="http://schemas.openxmlformats.org/officeDocument/2006/relationships/hyperlink" Target="http://hudoc.echr.coe.int/eng?i=001-3296" TargetMode="External"/><Relationship Id="rId289" Type="http://schemas.openxmlformats.org/officeDocument/2006/relationships/hyperlink" Target="http://hudoc.echr.coe.int/eng?i=001-97079" TargetMode="External"/><Relationship Id="rId496" Type="http://schemas.openxmlformats.org/officeDocument/2006/relationships/hyperlink" Target="http://hudoc.echr.coe.int/eng?i=001-127684" TargetMode="External"/><Relationship Id="rId2177" Type="http://schemas.openxmlformats.org/officeDocument/2006/relationships/hyperlink" Target="http://hudoc.echr.coe.int/eng?i=001-96157" TargetMode="External"/><Relationship Id="rId2384" Type="http://schemas.openxmlformats.org/officeDocument/2006/relationships/hyperlink" Target="http://hudoc.echr.coe.int/eng?i=001-110924" TargetMode="External"/><Relationship Id="rId2591" Type="http://schemas.openxmlformats.org/officeDocument/2006/relationships/hyperlink" Target="http://hudoc.echr.coe.int/eng?i=001-180884" TargetMode="External"/><Relationship Id="rId149" Type="http://schemas.openxmlformats.org/officeDocument/2006/relationships/hyperlink" Target="http://hudoc.echr.coe.int/eng?i=001-194217" TargetMode="External"/><Relationship Id="rId356" Type="http://schemas.openxmlformats.org/officeDocument/2006/relationships/hyperlink" Target="https://hudoc.echr.coe.int/eng%23%7b%22itemid%22:%5b%22001-206515%22%5d%7d" TargetMode="External"/><Relationship Id="rId563" Type="http://schemas.openxmlformats.org/officeDocument/2006/relationships/hyperlink" Target="http://hudoc.echr.coe.int/eng?i=001-95031" TargetMode="External"/><Relationship Id="rId770" Type="http://schemas.openxmlformats.org/officeDocument/2006/relationships/hyperlink" Target="http://hudoc.echr.coe.int/eng?i=001-101151" TargetMode="External"/><Relationship Id="rId1193" Type="http://schemas.openxmlformats.org/officeDocument/2006/relationships/hyperlink" Target="http://hudoc.echr.coe.int/eng?i=001-146780" TargetMode="External"/><Relationship Id="rId2037" Type="http://schemas.openxmlformats.org/officeDocument/2006/relationships/hyperlink" Target="http://hudoc.echr.coe.int/eng?i=001-80162" TargetMode="External"/><Relationship Id="rId2244" Type="http://schemas.openxmlformats.org/officeDocument/2006/relationships/hyperlink" Target="http://hudoc.echr.coe.int/eng?i=001-116438" TargetMode="External"/><Relationship Id="rId2451" Type="http://schemas.openxmlformats.org/officeDocument/2006/relationships/hyperlink" Target="http://hudoc.echr.coe.int/eng?i=001-58910" TargetMode="External"/><Relationship Id="rId2689" Type="http://schemas.openxmlformats.org/officeDocument/2006/relationships/hyperlink" Target="http://hudoc.echr.coe.int/eng?i=001-157400" TargetMode="External"/><Relationship Id="rId216" Type="http://schemas.openxmlformats.org/officeDocument/2006/relationships/hyperlink" Target="https://hudoc.echr.coe.int/eng?i=001-216195" TargetMode="External"/><Relationship Id="rId423" Type="http://schemas.openxmlformats.org/officeDocument/2006/relationships/hyperlink" Target="http://hudoc.echr.coe.int/eng?i=001-193486" TargetMode="External"/><Relationship Id="rId868" Type="http://schemas.openxmlformats.org/officeDocument/2006/relationships/hyperlink" Target="http://hudoc.echr.coe.int/eng?i=001-102533" TargetMode="External"/><Relationship Id="rId1053" Type="http://schemas.openxmlformats.org/officeDocument/2006/relationships/hyperlink" Target="http://hudoc.echr.coe.int/eng?i=001-118575" TargetMode="External"/><Relationship Id="rId1260" Type="http://schemas.openxmlformats.org/officeDocument/2006/relationships/hyperlink" Target="https://hudoc.echr.coe.int/eng%23%7b%22itemid%22:%5b%22001-203849%22%5d%7d" TargetMode="External"/><Relationship Id="rId1498" Type="http://schemas.openxmlformats.org/officeDocument/2006/relationships/hyperlink" Target="http://hudoc.echr.coe.int/eng?i=001-76586" TargetMode="External"/><Relationship Id="rId2104" Type="http://schemas.openxmlformats.org/officeDocument/2006/relationships/hyperlink" Target="http://hudoc.echr.coe.int/eng?i=001-110715" TargetMode="External"/><Relationship Id="rId2549" Type="http://schemas.openxmlformats.org/officeDocument/2006/relationships/hyperlink" Target="http://hudoc.echr.coe.int/eng?i=001-91702" TargetMode="External"/><Relationship Id="rId2756" Type="http://schemas.openxmlformats.org/officeDocument/2006/relationships/hyperlink" Target="http://hudoc.echr.coe.int/eng?i=001-107743" TargetMode="External"/><Relationship Id="rId630" Type="http://schemas.openxmlformats.org/officeDocument/2006/relationships/hyperlink" Target="http://hudoc.echr.coe.int/eng?i=001-144997" TargetMode="External"/><Relationship Id="rId728" Type="http://schemas.openxmlformats.org/officeDocument/2006/relationships/hyperlink" Target="http://hudoc.echr.coe.int/eng?i=001-187482" TargetMode="External"/><Relationship Id="rId935" Type="http://schemas.openxmlformats.org/officeDocument/2006/relationships/hyperlink" Target="http://hudoc.echr.coe.int/eng?i=001-145571" TargetMode="External"/><Relationship Id="rId1358" Type="http://schemas.openxmlformats.org/officeDocument/2006/relationships/hyperlink" Target="http://hudoc.echr.coe.int/eng?i=001-161055" TargetMode="External"/><Relationship Id="rId1565" Type="http://schemas.openxmlformats.org/officeDocument/2006/relationships/hyperlink" Target="http://hudoc.echr.coe.int/eng?i=001-58417" TargetMode="External"/><Relationship Id="rId1772" Type="http://schemas.openxmlformats.org/officeDocument/2006/relationships/hyperlink" Target="http://hudoc.echr.coe.int/eng?i=001-166737" TargetMode="External"/><Relationship Id="rId2311" Type="http://schemas.openxmlformats.org/officeDocument/2006/relationships/hyperlink" Target="http://hudoc.echr.coe.int/eng?i=001-22257" TargetMode="External"/><Relationship Id="rId2409" Type="http://schemas.openxmlformats.org/officeDocument/2006/relationships/hyperlink" Target="http://hudoc.echr.coe.int/eng?i=001-94321" TargetMode="External"/><Relationship Id="rId2616" Type="http://schemas.openxmlformats.org/officeDocument/2006/relationships/hyperlink" Target="http://hudoc.echr.coe.int/eng?i=001-110869" TargetMode="External"/><Relationship Id="rId64" Type="http://schemas.openxmlformats.org/officeDocument/2006/relationships/hyperlink" Target="http://hudoc.echr.coe.int/eng?i=001-57906" TargetMode="External"/><Relationship Id="rId1120" Type="http://schemas.openxmlformats.org/officeDocument/2006/relationships/hyperlink" Target="http://hudoc.echr.coe.int/eng?i=001-43241" TargetMode="External"/><Relationship Id="rId1218" Type="http://schemas.openxmlformats.org/officeDocument/2006/relationships/hyperlink" Target="http://hudoc.echr.coe.int/eng?i=001-171148" TargetMode="External"/><Relationship Id="rId1425" Type="http://schemas.openxmlformats.org/officeDocument/2006/relationships/hyperlink" Target="http://hudoc.echr.coe.int/eng?i=001-83109" TargetMode="External"/><Relationship Id="rId2823" Type="http://schemas.openxmlformats.org/officeDocument/2006/relationships/hyperlink" Target="http://hudoc.echr.coe.int/eng?i=001-73821" TargetMode="External"/><Relationship Id="rId1632" Type="http://schemas.openxmlformats.org/officeDocument/2006/relationships/hyperlink" Target="http://hudoc.echr.coe.int/eng?i=001-22231" TargetMode="External"/><Relationship Id="rId1937" Type="http://schemas.openxmlformats.org/officeDocument/2006/relationships/hyperlink" Target="http://hudoc.echr.coe.int/eng?i=001-84828" TargetMode="External"/><Relationship Id="rId2199" Type="http://schemas.openxmlformats.org/officeDocument/2006/relationships/hyperlink" Target="http://hudoc.echr.coe.int/eng?i=001-92899" TargetMode="External"/><Relationship Id="rId280" Type="http://schemas.openxmlformats.org/officeDocument/2006/relationships/hyperlink" Target="https://hudoc.echr.coe.int/eng?i=001-215716" TargetMode="External"/><Relationship Id="rId140" Type="http://schemas.openxmlformats.org/officeDocument/2006/relationships/hyperlink" Target="http://hudoc.echr.coe.int/eng?i=001-59451" TargetMode="External"/><Relationship Id="rId378" Type="http://schemas.openxmlformats.org/officeDocument/2006/relationships/hyperlink" Target="http://hudoc.echr.coe.int/eng?i=001-145577" TargetMode="External"/><Relationship Id="rId585" Type="http://schemas.openxmlformats.org/officeDocument/2006/relationships/hyperlink" Target="http://hudoc.echr.coe.int/eng?i=001-101361" TargetMode="External"/><Relationship Id="rId792" Type="http://schemas.openxmlformats.org/officeDocument/2006/relationships/hyperlink" Target="http://hudoc.echr.coe.int/eng?i=001-153901" TargetMode="External"/><Relationship Id="rId2059" Type="http://schemas.openxmlformats.org/officeDocument/2006/relationships/hyperlink" Target="http://hudoc.echr.coe.int/eng?i=001-81436" TargetMode="External"/><Relationship Id="rId2266" Type="http://schemas.openxmlformats.org/officeDocument/2006/relationships/hyperlink" Target="http://hudoc.echr.coe.int/eng?i=001-146047" TargetMode="External"/><Relationship Id="rId2473" Type="http://schemas.openxmlformats.org/officeDocument/2006/relationships/hyperlink" Target="http://hudoc.echr.coe.int/eng?i=001-102842" TargetMode="External"/><Relationship Id="rId2680" Type="http://schemas.openxmlformats.org/officeDocument/2006/relationships/hyperlink" Target="http://hudoc.echr.coe.int/eng?i=001-174416" TargetMode="External"/><Relationship Id="rId6" Type="http://schemas.openxmlformats.org/officeDocument/2006/relationships/footnotes" Target="footnotes.xml"/><Relationship Id="rId238" Type="http://schemas.openxmlformats.org/officeDocument/2006/relationships/hyperlink" Target="http://hudoc.echr.coe.int/eng?i=001-86146" TargetMode="External"/><Relationship Id="rId445" Type="http://schemas.openxmlformats.org/officeDocument/2006/relationships/hyperlink" Target="http://hudoc.echr.coe.int/eng?i=001-58244" TargetMode="External"/><Relationship Id="rId652" Type="http://schemas.openxmlformats.org/officeDocument/2006/relationships/hyperlink" Target="http://hudoc.echr.coe.int/eng?i=001-197253" TargetMode="External"/><Relationship Id="rId1075" Type="http://schemas.openxmlformats.org/officeDocument/2006/relationships/hyperlink" Target="http://hudoc.echr.coe.int/eng?i=001-122763" TargetMode="External"/><Relationship Id="rId1282" Type="http://schemas.openxmlformats.org/officeDocument/2006/relationships/hyperlink" Target="http://hudoc.echr.coe.int/eng?i=001-142449" TargetMode="External"/><Relationship Id="rId2126" Type="http://schemas.openxmlformats.org/officeDocument/2006/relationships/hyperlink" Target="http://hudoc.echr.coe.int/eng?i=001-202610" TargetMode="External"/><Relationship Id="rId2333" Type="http://schemas.openxmlformats.org/officeDocument/2006/relationships/hyperlink" Target="http://hudoc.echr.coe.int/eng?i=001-199515" TargetMode="External"/><Relationship Id="rId2540" Type="http://schemas.openxmlformats.org/officeDocument/2006/relationships/hyperlink" Target="http://hudoc.echr.coe.int/eng?i=001-68479" TargetMode="External"/><Relationship Id="rId2778" Type="http://schemas.openxmlformats.org/officeDocument/2006/relationships/hyperlink" Target="http://hudoc.echr.coe.int/sites/eng?i=001-128294" TargetMode="External"/><Relationship Id="rId305" Type="http://schemas.openxmlformats.org/officeDocument/2006/relationships/hyperlink" Target="http://hudoc.echr.coe.int/eng?i=001-23117" TargetMode="External"/><Relationship Id="rId512" Type="http://schemas.openxmlformats.org/officeDocument/2006/relationships/hyperlink" Target="http://hudoc.echr.coe.int/eng?i=001-157408" TargetMode="External"/><Relationship Id="rId957" Type="http://schemas.openxmlformats.org/officeDocument/2006/relationships/hyperlink" Target="http://hudoc.echr.coe.int/eng?i=001-195852" TargetMode="External"/><Relationship Id="rId1142" Type="http://schemas.openxmlformats.org/officeDocument/2006/relationships/hyperlink" Target="https://hudoc.echr.coe.int/eng?i=001-217625" TargetMode="External"/><Relationship Id="rId1587" Type="http://schemas.openxmlformats.org/officeDocument/2006/relationships/hyperlink" Target="http://hudoc.echr.coe.int/eng?i=001-177076" TargetMode="External"/><Relationship Id="rId1794" Type="http://schemas.openxmlformats.org/officeDocument/2006/relationships/hyperlink" Target="http://hudoc.echr.coe.int/eng?i=001-110301" TargetMode="External"/><Relationship Id="rId2400" Type="http://schemas.openxmlformats.org/officeDocument/2006/relationships/hyperlink" Target="http://hudoc.echr.coe.int/eng?i=001-193251" TargetMode="External"/><Relationship Id="rId2638" Type="http://schemas.openxmlformats.org/officeDocument/2006/relationships/hyperlink" Target="http://hudoc.echr.coe.int/eng?i=001-201097" TargetMode="External"/><Relationship Id="rId2845" Type="http://schemas.openxmlformats.org/officeDocument/2006/relationships/hyperlink" Target="https://hudoc.echr.coe.int/eng?i=001-212465" TargetMode="External"/><Relationship Id="rId86" Type="http://schemas.openxmlformats.org/officeDocument/2006/relationships/hyperlink" Target="http://hudoc.echr.coe.int/eng?i=001-95031" TargetMode="External"/><Relationship Id="rId817" Type="http://schemas.openxmlformats.org/officeDocument/2006/relationships/hyperlink" Target="http://hudoc.echr.coe.int/eng?i=001-146044" TargetMode="External"/><Relationship Id="rId1002" Type="http://schemas.openxmlformats.org/officeDocument/2006/relationships/hyperlink" Target="http://hudoc.echr.coe.int/eng?i=001-116966" TargetMode="External"/><Relationship Id="rId1447" Type="http://schemas.openxmlformats.org/officeDocument/2006/relationships/hyperlink" Target="http://hudoc.echr.coe.int/eng?i=001-58912" TargetMode="External"/><Relationship Id="rId1654" Type="http://schemas.openxmlformats.org/officeDocument/2006/relationships/hyperlink" Target="http://hudoc.echr.coe.int/eng?i=001-186216" TargetMode="External"/><Relationship Id="rId1861" Type="http://schemas.openxmlformats.org/officeDocument/2006/relationships/hyperlink" Target="http://hudoc.echr.coe.int/eng?i=001-117742" TargetMode="External"/><Relationship Id="rId2705" Type="http://schemas.openxmlformats.org/officeDocument/2006/relationships/hyperlink" Target="http://hudoc.echr.coe.int/eng?i=001-4542" TargetMode="External"/><Relationship Id="rId1307" Type="http://schemas.openxmlformats.org/officeDocument/2006/relationships/hyperlink" Target="http://hudoc.echr.coe.int/eng?i=001-203840" TargetMode="External"/><Relationship Id="rId1514" Type="http://schemas.openxmlformats.org/officeDocument/2006/relationships/hyperlink" Target="http://hudoc.echr.coe.int/eng?i=001-58417" TargetMode="External"/><Relationship Id="rId1721" Type="http://schemas.openxmlformats.org/officeDocument/2006/relationships/hyperlink" Target="http://hudoc.echr.coe.int/sites/eng?i=001-114277" TargetMode="External"/><Relationship Id="rId1959" Type="http://schemas.openxmlformats.org/officeDocument/2006/relationships/hyperlink" Target="http://hudoc.echr.coe.int/eng?i=001-61875" TargetMode="External"/><Relationship Id="rId13" Type="http://schemas.openxmlformats.org/officeDocument/2006/relationships/hyperlink" Target="https://twitter.com/ECHR_CEDH" TargetMode="External"/><Relationship Id="rId1819" Type="http://schemas.openxmlformats.org/officeDocument/2006/relationships/hyperlink" Target="http://hudoc.echr.coe.int/eng?i=001-104524" TargetMode="External"/><Relationship Id="rId2190" Type="http://schemas.openxmlformats.org/officeDocument/2006/relationships/hyperlink" Target="http://hudoc.echr.coe.int/eng?i=001-109335" TargetMode="External"/><Relationship Id="rId2288" Type="http://schemas.openxmlformats.org/officeDocument/2006/relationships/hyperlink" Target="http://hudoc.echr.coe.int/eng?i=001-107480" TargetMode="External"/><Relationship Id="rId2495" Type="http://schemas.openxmlformats.org/officeDocument/2006/relationships/hyperlink" Target="http://hudoc.echr.coe.int/eng?i=001-172817" TargetMode="External"/><Relationship Id="rId162" Type="http://schemas.openxmlformats.org/officeDocument/2006/relationships/hyperlink" Target="http://hudoc.echr.coe.int/eng?i=001-160431" TargetMode="External"/><Relationship Id="rId467" Type="http://schemas.openxmlformats.org/officeDocument/2006/relationships/hyperlink" Target="http://hudoc.echr.coe.int/eng?i=001-106519" TargetMode="External"/><Relationship Id="rId1097" Type="http://schemas.openxmlformats.org/officeDocument/2006/relationships/hyperlink" Target="http://hudoc.echr.coe.int/eng?i=001-103679" TargetMode="External"/><Relationship Id="rId2050" Type="http://schemas.openxmlformats.org/officeDocument/2006/relationships/hyperlink" Target="http://hudoc.echr.coe.int/eng?i=001-162218" TargetMode="External"/><Relationship Id="rId2148" Type="http://schemas.openxmlformats.org/officeDocument/2006/relationships/hyperlink" Target="http://hudoc.echr.coe.int/eng?i=001-113410" TargetMode="External"/><Relationship Id="rId674" Type="http://schemas.openxmlformats.org/officeDocument/2006/relationships/hyperlink" Target="http://hudoc.echr.coe.int/eng?i=001-205085" TargetMode="External"/><Relationship Id="rId881" Type="http://schemas.openxmlformats.org/officeDocument/2006/relationships/hyperlink" Target="http://hudoc.echr.coe.int/eng?i=001-142908" TargetMode="External"/><Relationship Id="rId979" Type="http://schemas.openxmlformats.org/officeDocument/2006/relationships/hyperlink" Target="http://hudoc.echr.coe.int/sites/eng?i=001-45086" TargetMode="External"/><Relationship Id="rId2355" Type="http://schemas.openxmlformats.org/officeDocument/2006/relationships/hyperlink" Target="http://hudoc.echr.coe.int/eng?i=001-151029" TargetMode="External"/><Relationship Id="rId2562" Type="http://schemas.openxmlformats.org/officeDocument/2006/relationships/hyperlink" Target="http://hudoc.echr.coe.int/eng?i=001-23610" TargetMode="External"/><Relationship Id="rId327" Type="http://schemas.openxmlformats.org/officeDocument/2006/relationships/hyperlink" Target="http://hudoc.echr.coe.int/eng?i=001-93523" TargetMode="External"/><Relationship Id="rId534" Type="http://schemas.openxmlformats.org/officeDocument/2006/relationships/hyperlink" Target="http://hudoc.echr.coe.int/eng?i=001-96157" TargetMode="External"/><Relationship Id="rId741" Type="http://schemas.openxmlformats.org/officeDocument/2006/relationships/hyperlink" Target="http://hudoc.echr.coe.int/eng?i=001-155819" TargetMode="External"/><Relationship Id="rId839" Type="http://schemas.openxmlformats.org/officeDocument/2006/relationships/hyperlink" Target="http://hudoc.echr.coe.int/eng?i=001-68477" TargetMode="External"/><Relationship Id="rId1164" Type="http://schemas.openxmlformats.org/officeDocument/2006/relationships/hyperlink" Target="http://hudoc.echr.coe.int/eng?i=001-103813" TargetMode="External"/><Relationship Id="rId1371" Type="http://schemas.openxmlformats.org/officeDocument/2006/relationships/hyperlink" Target="http://hudoc.echr.coe.int/eng?i=001-5184" TargetMode="External"/><Relationship Id="rId1469" Type="http://schemas.openxmlformats.org/officeDocument/2006/relationships/hyperlink" Target="http://hudoc.echr.coe.int/eng?i=001-59454" TargetMode="External"/><Relationship Id="rId2008" Type="http://schemas.openxmlformats.org/officeDocument/2006/relationships/hyperlink" Target="http://hudoc.echr.coe.int/eng?i=001-93401" TargetMode="External"/><Relationship Id="rId2215" Type="http://schemas.openxmlformats.org/officeDocument/2006/relationships/hyperlink" Target="http://hudoc.echr.coe.int/eng?i=001-107043" TargetMode="External"/><Relationship Id="rId2422" Type="http://schemas.openxmlformats.org/officeDocument/2006/relationships/hyperlink" Target="http://hudoc.echr.coe.int/eng?i=001-103050" TargetMode="External"/><Relationship Id="rId601" Type="http://schemas.openxmlformats.org/officeDocument/2006/relationships/hyperlink" Target="http://hudoc.echr.coe.int/eng?i=001-208279" TargetMode="External"/><Relationship Id="rId1024" Type="http://schemas.openxmlformats.org/officeDocument/2006/relationships/hyperlink" Target="http://hudoc.echr.coe.int/eng?i=001-70282" TargetMode="External"/><Relationship Id="rId1231" Type="http://schemas.openxmlformats.org/officeDocument/2006/relationships/hyperlink" Target="http://hudoc.echr.coe.int/eng?i=001-67990" TargetMode="External"/><Relationship Id="rId1676" Type="http://schemas.openxmlformats.org/officeDocument/2006/relationships/hyperlink" Target="https://hudoc.echr.coe.int/eng%23%7b%22docname%22:%5b%22hanan%22%5d,%22documentcollectionid2%22:%5b%22GRANDCHAMBER%22,%22CHAMBER%22%5d,%22itemid%22:%5b%22001-208279%22%5d%7d" TargetMode="External"/><Relationship Id="rId1883" Type="http://schemas.openxmlformats.org/officeDocument/2006/relationships/hyperlink" Target="http://hudoc.echr.coe.int/eng?i=001-139933" TargetMode="External"/><Relationship Id="rId2727" Type="http://schemas.openxmlformats.org/officeDocument/2006/relationships/hyperlink" Target="http://hudoc.echr.coe.int/eng?i=001-92351" TargetMode="External"/><Relationship Id="rId906" Type="http://schemas.openxmlformats.org/officeDocument/2006/relationships/hyperlink" Target="http://hudoc.echr.coe.int/eng?i=001-181591" TargetMode="External"/><Relationship Id="rId1329" Type="http://schemas.openxmlformats.org/officeDocument/2006/relationships/hyperlink" Target="http://hudoc.echr.coe.int/eng?i=001-207757" TargetMode="External"/><Relationship Id="rId1536" Type="http://schemas.openxmlformats.org/officeDocument/2006/relationships/hyperlink" Target="http://hudoc.echr.coe.int/eng?i=001-72688" TargetMode="External"/><Relationship Id="rId1743" Type="http://schemas.openxmlformats.org/officeDocument/2006/relationships/hyperlink" Target="http://hudoc.echr.coe.int/eng?i=001-166480" TargetMode="External"/><Relationship Id="rId1950" Type="http://schemas.openxmlformats.org/officeDocument/2006/relationships/hyperlink" Target="http://hudoc.echr.coe.int/eng?i=001-58102" TargetMode="External"/><Relationship Id="rId35" Type="http://schemas.openxmlformats.org/officeDocument/2006/relationships/hyperlink" Target="https://rm.coe.int/copenhagen-declaration/16807b915c" TargetMode="External"/><Relationship Id="rId1603" Type="http://schemas.openxmlformats.org/officeDocument/2006/relationships/hyperlink" Target="http://hudoc.echr.coe.int/eng?i=001-57489" TargetMode="External"/><Relationship Id="rId1810" Type="http://schemas.openxmlformats.org/officeDocument/2006/relationships/hyperlink" Target="http://hudoc.echr.coe.int/eng?i=001-106192" TargetMode="External"/><Relationship Id="rId184" Type="http://schemas.openxmlformats.org/officeDocument/2006/relationships/hyperlink" Target="http://hudoc.echr.coe.int/eng?i=001-85775" TargetMode="External"/><Relationship Id="rId391" Type="http://schemas.openxmlformats.org/officeDocument/2006/relationships/hyperlink" Target="https://hudoc.echr.coe.int/eng?i=001-195909" TargetMode="External"/><Relationship Id="rId1908" Type="http://schemas.openxmlformats.org/officeDocument/2006/relationships/hyperlink" Target="http://hudoc.echr.coe.int/eng?i=001-113287" TargetMode="External"/><Relationship Id="rId2072" Type="http://schemas.openxmlformats.org/officeDocument/2006/relationships/hyperlink" Target="http://hudoc.echr.coe.int/eng?i=001-60941" TargetMode="External"/><Relationship Id="rId251" Type="http://schemas.openxmlformats.org/officeDocument/2006/relationships/hyperlink" Target="http://hudoc.echr.coe.int/eng?i=001-96491" TargetMode="External"/><Relationship Id="rId489" Type="http://schemas.openxmlformats.org/officeDocument/2006/relationships/hyperlink" Target="http://hudoc.echr.coe.int/eng?i=001-104636" TargetMode="External"/><Relationship Id="rId696" Type="http://schemas.openxmlformats.org/officeDocument/2006/relationships/hyperlink" Target="http://hudoc.echr.coe.int/eng?i=001-102535" TargetMode="External"/><Relationship Id="rId2377" Type="http://schemas.openxmlformats.org/officeDocument/2006/relationships/hyperlink" Target="http://hudoc.echr.coe.int/eng?i=001-58920" TargetMode="External"/><Relationship Id="rId2584" Type="http://schemas.openxmlformats.org/officeDocument/2006/relationships/hyperlink" Target="http://hudoc.echr.coe.int/eng?i=001-183205" TargetMode="External"/><Relationship Id="rId2791" Type="http://schemas.openxmlformats.org/officeDocument/2006/relationships/hyperlink" Target="http://hudoc.echr.coe.int/eng?i=001-173256" TargetMode="External"/><Relationship Id="rId349" Type="http://schemas.openxmlformats.org/officeDocument/2006/relationships/hyperlink" Target="http://hudoc.echr.coe.int/eng?i=001-22633" TargetMode="External"/><Relationship Id="rId556" Type="http://schemas.openxmlformats.org/officeDocument/2006/relationships/hyperlink" Target="http://hudoc.echr.coe.int/eng?i=001-66550" TargetMode="External"/><Relationship Id="rId763" Type="http://schemas.openxmlformats.org/officeDocument/2006/relationships/hyperlink" Target="http://hudoc.echr.coe.int/eng?i=001-101358" TargetMode="External"/><Relationship Id="rId1186" Type="http://schemas.openxmlformats.org/officeDocument/2006/relationships/hyperlink" Target="http://hudoc.echr.coe.int/eng?i=001-172105" TargetMode="External"/><Relationship Id="rId1393" Type="http://schemas.openxmlformats.org/officeDocument/2006/relationships/hyperlink" Target="http://hudoc.echr.coe.int/eng?i=001-109231" TargetMode="External"/><Relationship Id="rId2237" Type="http://schemas.openxmlformats.org/officeDocument/2006/relationships/hyperlink" Target="http://hudoc.echr.coe.int/eng?i=001-45846" TargetMode="External"/><Relationship Id="rId2444" Type="http://schemas.openxmlformats.org/officeDocument/2006/relationships/hyperlink" Target="http://hudoc.echr.coe.int/eng?i=001-200866" TargetMode="External"/><Relationship Id="rId111" Type="http://schemas.openxmlformats.org/officeDocument/2006/relationships/hyperlink" Target="http://hudoc.echr.coe.int/eng?i=001-61263" TargetMode="External"/><Relationship Id="rId209" Type="http://schemas.openxmlformats.org/officeDocument/2006/relationships/hyperlink" Target="http://hudoc.echr.coe.int/eng?i=001-120956" TargetMode="External"/><Relationship Id="rId416" Type="http://schemas.openxmlformats.org/officeDocument/2006/relationships/hyperlink" Target="http://hudoc.echr.coe.int/eng?i=001-155352" TargetMode="External"/><Relationship Id="rId970" Type="http://schemas.openxmlformats.org/officeDocument/2006/relationships/hyperlink" Target="http://hudoc.echr.coe.int/eng?i=001-88946" TargetMode="External"/><Relationship Id="rId1046" Type="http://schemas.openxmlformats.org/officeDocument/2006/relationships/hyperlink" Target="http://hudoc.echr.coe.int/eng?i=001-146540" TargetMode="External"/><Relationship Id="rId1253" Type="http://schemas.openxmlformats.org/officeDocument/2006/relationships/hyperlink" Target="http://hudoc.echr.coe.int/eng?i=001-74412" TargetMode="External"/><Relationship Id="rId1698" Type="http://schemas.openxmlformats.org/officeDocument/2006/relationships/hyperlink" Target="http://hudoc.echr.coe.int/eng?i=001-111399" TargetMode="External"/><Relationship Id="rId2651" Type="http://schemas.openxmlformats.org/officeDocument/2006/relationships/hyperlink" Target="http://hudoc.echr.coe.int/eng?i=001-90535" TargetMode="External"/><Relationship Id="rId2749" Type="http://schemas.openxmlformats.org/officeDocument/2006/relationships/hyperlink" Target="http://hudoc.echr.coe.int/eng?i=001-152683" TargetMode="External"/><Relationship Id="rId623" Type="http://schemas.openxmlformats.org/officeDocument/2006/relationships/hyperlink" Target="http://hudoc.echr.coe.int/eng?i=001-119849" TargetMode="External"/><Relationship Id="rId830" Type="http://schemas.openxmlformats.org/officeDocument/2006/relationships/hyperlink" Target="http://hudoc.echr.coe.int/eng?i=001-43391" TargetMode="External"/><Relationship Id="rId928" Type="http://schemas.openxmlformats.org/officeDocument/2006/relationships/hyperlink" Target="http://hudoc.echr.coe.int/eng?i=001-196607" TargetMode="External"/><Relationship Id="rId1460" Type="http://schemas.openxmlformats.org/officeDocument/2006/relationships/hyperlink" Target="http://hudoc.echr.coe.int/eng?i=001-69564" TargetMode="External"/><Relationship Id="rId1558" Type="http://schemas.openxmlformats.org/officeDocument/2006/relationships/hyperlink" Target="http://hudoc.echr.coe.int/eng?i=001-110023" TargetMode="External"/><Relationship Id="rId1765" Type="http://schemas.openxmlformats.org/officeDocument/2006/relationships/hyperlink" Target="http://hudoc.echr.coe.int/eng?i=001-198482" TargetMode="External"/><Relationship Id="rId2304" Type="http://schemas.openxmlformats.org/officeDocument/2006/relationships/hyperlink" Target="http://hudoc.echr.coe.int/eng?i=001-165032" TargetMode="External"/><Relationship Id="rId2511" Type="http://schemas.openxmlformats.org/officeDocument/2006/relationships/hyperlink" Target="http://hudoc.echr.coe.int/eng?i=001-179878" TargetMode="External"/><Relationship Id="rId2609" Type="http://schemas.openxmlformats.org/officeDocument/2006/relationships/hyperlink" Target="http://hudoc.echr.coe.int/eng?i=001-163820" TargetMode="External"/><Relationship Id="rId57" Type="http://schemas.openxmlformats.org/officeDocument/2006/relationships/hyperlink" Target="http://hudoc.echr.coe.int/eng?i=001-187909" TargetMode="External"/><Relationship Id="rId1113" Type="http://schemas.openxmlformats.org/officeDocument/2006/relationships/hyperlink" Target="https://hudoc.echr.coe.int/eng?i=001-214673" TargetMode="External"/><Relationship Id="rId1320" Type="http://schemas.openxmlformats.org/officeDocument/2006/relationships/hyperlink" Target="http://hudoc.echr.coe.int/eng?i=001-97979" TargetMode="External"/><Relationship Id="rId1418" Type="http://schemas.openxmlformats.org/officeDocument/2006/relationships/hyperlink" Target="http://hudoc.echr.coe.int/eng?i=001-105612" TargetMode="External"/><Relationship Id="rId1972" Type="http://schemas.openxmlformats.org/officeDocument/2006/relationships/hyperlink" Target="http://hudoc.echr.coe.int/eng?i=001-163348" TargetMode="External"/><Relationship Id="rId2816" Type="http://schemas.openxmlformats.org/officeDocument/2006/relationships/hyperlink" Target="https://hudoc.echr.coe.int/eng?i=001-216677" TargetMode="External"/><Relationship Id="rId1625" Type="http://schemas.openxmlformats.org/officeDocument/2006/relationships/hyperlink" Target="https://hudoc.echr.coe.int/eng%23%7b%22itemid%22:%5b%22001-203164%22%5d%7d" TargetMode="External"/><Relationship Id="rId1832" Type="http://schemas.openxmlformats.org/officeDocument/2006/relationships/hyperlink" Target="http://hudoc.echr.coe.int/eng?i=001-114440" TargetMode="External"/><Relationship Id="rId2094" Type="http://schemas.openxmlformats.org/officeDocument/2006/relationships/hyperlink" Target="http://hudoc.echr.coe.int/eng?i=001-97879" TargetMode="External"/><Relationship Id="rId273" Type="http://schemas.openxmlformats.org/officeDocument/2006/relationships/hyperlink" Target="http://hudoc.echr.coe.int/eng?i=001-186435" TargetMode="External"/><Relationship Id="rId480" Type="http://schemas.openxmlformats.org/officeDocument/2006/relationships/hyperlink" Target="http://hudoc.echr.coe.int/eng?i=001-191117" TargetMode="External"/><Relationship Id="rId2161" Type="http://schemas.openxmlformats.org/officeDocument/2006/relationships/hyperlink" Target="http://hudoc.echr.coe.int/eng?i=001-47809" TargetMode="External"/><Relationship Id="rId2399" Type="http://schemas.openxmlformats.org/officeDocument/2006/relationships/hyperlink" Target="http://hudoc.echr.coe.int/eng?i=001-196380" TargetMode="External"/><Relationship Id="rId133" Type="http://schemas.openxmlformats.org/officeDocument/2006/relationships/hyperlink" Target="http://hudoc.echr.coe.int/eng?i=001-58735" TargetMode="External"/><Relationship Id="rId340" Type="http://schemas.openxmlformats.org/officeDocument/2006/relationships/hyperlink" Target="http://hudoc.echr.coe.int/eng?i=001-68389" TargetMode="External"/><Relationship Id="rId578" Type="http://schemas.openxmlformats.org/officeDocument/2006/relationships/hyperlink" Target="http://hudoc.echr.coe.int/eng?i=001-142199" TargetMode="External"/><Relationship Id="rId785" Type="http://schemas.openxmlformats.org/officeDocument/2006/relationships/hyperlink" Target="http://hudoc.echr.coe.int/eng?i=001-58056" TargetMode="External"/><Relationship Id="rId992" Type="http://schemas.openxmlformats.org/officeDocument/2006/relationships/hyperlink" Target="http://hudoc.echr.coe.int/eng?i=001-111957" TargetMode="External"/><Relationship Id="rId2021" Type="http://schemas.openxmlformats.org/officeDocument/2006/relationships/hyperlink" Target="http://hudoc.echr.coe.int/eng?i=001-43493" TargetMode="External"/><Relationship Id="rId2259" Type="http://schemas.openxmlformats.org/officeDocument/2006/relationships/hyperlink" Target="http://hudoc.echr.coe.int/eng?i=001-59616" TargetMode="External"/><Relationship Id="rId2466" Type="http://schemas.openxmlformats.org/officeDocument/2006/relationships/hyperlink" Target="http://hudoc.echr.coe.int/eng?i=001-178753" TargetMode="External"/><Relationship Id="rId2673" Type="http://schemas.openxmlformats.org/officeDocument/2006/relationships/hyperlink" Target="https://hudoc.echr.coe.int/eng?i=001-215642" TargetMode="External"/><Relationship Id="rId200" Type="http://schemas.openxmlformats.org/officeDocument/2006/relationships/hyperlink" Target="https://hudoc.echr.coe.int/eng%23%7b%22docname%22:%5b%22albert%22%5d,%22documentcollectionid2%22:%5b%22GRANDCHAMBER%22,%22CHAMBER%22%5d,%22itemid%22:%5b%22001-203850%22%5d%7d" TargetMode="External"/><Relationship Id="rId438" Type="http://schemas.openxmlformats.org/officeDocument/2006/relationships/hyperlink" Target="http://hudoc.echr.coe.int/eng?i=001-76295" TargetMode="External"/><Relationship Id="rId645" Type="http://schemas.openxmlformats.org/officeDocument/2006/relationships/hyperlink" Target="http://hudoc.echr.coe.int/eng?i=001-110869" TargetMode="External"/><Relationship Id="rId852" Type="http://schemas.openxmlformats.org/officeDocument/2006/relationships/hyperlink" Target="http://hudoc.echr.coe.int/eng?i=001-61377" TargetMode="External"/><Relationship Id="rId1068" Type="http://schemas.openxmlformats.org/officeDocument/2006/relationships/hyperlink" Target="http://hudoc.echr.coe.int/eng?i=001-122763" TargetMode="External"/><Relationship Id="rId1275" Type="http://schemas.openxmlformats.org/officeDocument/2006/relationships/hyperlink" Target="http://hudoc.echr.coe.int/eng?i=001-98442" TargetMode="External"/><Relationship Id="rId1482" Type="http://schemas.openxmlformats.org/officeDocument/2006/relationships/hyperlink" Target="http://hudoc.echr.coe.int/eng?i=001-173256" TargetMode="External"/><Relationship Id="rId2119" Type="http://schemas.openxmlformats.org/officeDocument/2006/relationships/hyperlink" Target="http://hudoc.echr.coe.int/eng?i=001-108963" TargetMode="External"/><Relationship Id="rId2326" Type="http://schemas.openxmlformats.org/officeDocument/2006/relationships/hyperlink" Target="http://hudoc.echr.coe.int/eng?i=001-204835" TargetMode="External"/><Relationship Id="rId2533" Type="http://schemas.openxmlformats.org/officeDocument/2006/relationships/hyperlink" Target="http://hudoc.echr.coe.int/eng?i=001-68389" TargetMode="External"/><Relationship Id="rId2740" Type="http://schemas.openxmlformats.org/officeDocument/2006/relationships/hyperlink" Target="https://hudoc.echr.coe.int/eng?i=001-215359" TargetMode="External"/><Relationship Id="rId505" Type="http://schemas.openxmlformats.org/officeDocument/2006/relationships/hyperlink" Target="http://hudoc.echr.coe.int/eng?i=001-57606" TargetMode="External"/><Relationship Id="rId712" Type="http://schemas.openxmlformats.org/officeDocument/2006/relationships/hyperlink" Target="http://hudoc.echr.coe.int/eng?i=001-67823" TargetMode="External"/><Relationship Id="rId1135" Type="http://schemas.openxmlformats.org/officeDocument/2006/relationships/hyperlink" Target="http://hudoc.echr.coe.int/eng?i=001-2026" TargetMode="External"/><Relationship Id="rId1342" Type="http://schemas.openxmlformats.org/officeDocument/2006/relationships/hyperlink" Target="http://hudoc.echr.coe.int/eng?i=001-146501" TargetMode="External"/><Relationship Id="rId1787" Type="http://schemas.openxmlformats.org/officeDocument/2006/relationships/hyperlink" Target="http://hudoc.echr.coe.int/eng?i=001-108926" TargetMode="External"/><Relationship Id="rId1994" Type="http://schemas.openxmlformats.org/officeDocument/2006/relationships/hyperlink" Target="http://hudoc.echr.coe.int/eng?i=001-180195" TargetMode="External"/><Relationship Id="rId2838" Type="http://schemas.openxmlformats.org/officeDocument/2006/relationships/hyperlink" Target="http://hudoc.echr.coe.int/eng?i=001-5646" TargetMode="External"/><Relationship Id="rId79" Type="http://schemas.openxmlformats.org/officeDocument/2006/relationships/hyperlink" Target="http://hudoc.echr.coe.int/eng?i=001-102000" TargetMode="External"/><Relationship Id="rId1202" Type="http://schemas.openxmlformats.org/officeDocument/2006/relationships/hyperlink" Target="http://hudoc.echr.coe.int/eng?i=001-76139" TargetMode="External"/><Relationship Id="rId1647" Type="http://schemas.openxmlformats.org/officeDocument/2006/relationships/hyperlink" Target="http://hudoc.echr.coe.int/eng?i=001-93265" TargetMode="External"/><Relationship Id="rId1854" Type="http://schemas.openxmlformats.org/officeDocument/2006/relationships/hyperlink" Target="http://hudoc.echr.coe.int/eng?i=001-120941" TargetMode="External"/><Relationship Id="rId2600" Type="http://schemas.openxmlformats.org/officeDocument/2006/relationships/hyperlink" Target="http://hudoc.echr.coe.int/eng?i=001-58056" TargetMode="External"/><Relationship Id="rId1507" Type="http://schemas.openxmlformats.org/officeDocument/2006/relationships/hyperlink" Target="http://hudoc.echr.coe.int/eng?i=001-72219" TargetMode="External"/><Relationship Id="rId1714" Type="http://schemas.openxmlformats.org/officeDocument/2006/relationships/hyperlink" Target="http://hudoc.echr.coe.int/eng?i=001-164515" TargetMode="External"/><Relationship Id="rId295" Type="http://schemas.openxmlformats.org/officeDocument/2006/relationships/hyperlink" Target="http://hudoc.echr.coe.int/eng?i=001-23363" TargetMode="External"/><Relationship Id="rId1921" Type="http://schemas.openxmlformats.org/officeDocument/2006/relationships/hyperlink" Target="http://hudoc.echr.coe.int/eng?i=001-97084" TargetMode="External"/><Relationship Id="rId2183" Type="http://schemas.openxmlformats.org/officeDocument/2006/relationships/hyperlink" Target="http://hudoc.echr.coe.int/eng?i=001-193593" TargetMode="External"/><Relationship Id="rId2390" Type="http://schemas.openxmlformats.org/officeDocument/2006/relationships/hyperlink" Target="http://hudoc.echr.coe.int/eng?i=001-157683" TargetMode="External"/><Relationship Id="rId2488" Type="http://schemas.openxmlformats.org/officeDocument/2006/relationships/hyperlink" Target="http://hudoc.echr.coe.int/eng?i=001-92372" TargetMode="External"/><Relationship Id="rId155" Type="http://schemas.openxmlformats.org/officeDocument/2006/relationships/hyperlink" Target="http://hudoc.echr.coe.int/eng?i=001-68767" TargetMode="External"/><Relationship Id="rId362" Type="http://schemas.openxmlformats.org/officeDocument/2006/relationships/hyperlink" Target="http://hudoc.echr.coe.int/eng?i=001-187455" TargetMode="External"/><Relationship Id="rId1297" Type="http://schemas.openxmlformats.org/officeDocument/2006/relationships/hyperlink" Target="http://hudoc.echr.coe.int/eng?i=001-105606" TargetMode="External"/><Relationship Id="rId2043" Type="http://schemas.openxmlformats.org/officeDocument/2006/relationships/hyperlink" Target="http://hudoc.echr.coe.int/eng?i=001-183860" TargetMode="External"/><Relationship Id="rId2250" Type="http://schemas.openxmlformats.org/officeDocument/2006/relationships/hyperlink" Target="http://hudoc.echr.coe.int/eng?i=001-146501" TargetMode="External"/><Relationship Id="rId2695" Type="http://schemas.openxmlformats.org/officeDocument/2006/relationships/hyperlink" Target="http://hudoc.echr.coe.int/eng?i=001-166788" TargetMode="External"/><Relationship Id="rId222" Type="http://schemas.openxmlformats.org/officeDocument/2006/relationships/hyperlink" Target="http://hudoc.echr.coe.int/eng?i=001-145577" TargetMode="External"/><Relationship Id="rId667" Type="http://schemas.openxmlformats.org/officeDocument/2006/relationships/hyperlink" Target="http://hudoc.echr.coe.int/eng?i=001-200866" TargetMode="External"/><Relationship Id="rId874" Type="http://schemas.openxmlformats.org/officeDocument/2006/relationships/hyperlink" Target="http://hudoc.echr.coe.int/eng?i=001-22702" TargetMode="External"/><Relationship Id="rId2110" Type="http://schemas.openxmlformats.org/officeDocument/2006/relationships/hyperlink" Target="http://hudoc.echr.coe.int/eng?i=001-89558" TargetMode="External"/><Relationship Id="rId2348" Type="http://schemas.openxmlformats.org/officeDocument/2006/relationships/hyperlink" Target="http://hudoc.echr.coe.int/eng?i=001-170054" TargetMode="External"/><Relationship Id="rId2555" Type="http://schemas.openxmlformats.org/officeDocument/2006/relationships/hyperlink" Target="http://hudoc.echr.coe.int/eng?i=001-170359" TargetMode="External"/><Relationship Id="rId2762" Type="http://schemas.openxmlformats.org/officeDocument/2006/relationships/hyperlink" Target="http://hudoc.echr.coe.int/eng?i=001-103301" TargetMode="External"/><Relationship Id="rId527" Type="http://schemas.openxmlformats.org/officeDocument/2006/relationships/hyperlink" Target="http://hudoc.echr.coe.int/eng?i=001-4806" TargetMode="External"/><Relationship Id="rId734" Type="http://schemas.openxmlformats.org/officeDocument/2006/relationships/hyperlink" Target="http://hudoc.echr.coe.int/eng?i=001-32472" TargetMode="External"/><Relationship Id="rId941" Type="http://schemas.openxmlformats.org/officeDocument/2006/relationships/hyperlink" Target="http://hudoc.echr.coe.int/eng?i=001-69481" TargetMode="External"/><Relationship Id="rId1157" Type="http://schemas.openxmlformats.org/officeDocument/2006/relationships/hyperlink" Target="http://hudoc.echr.coe.int/eng?i=001-145466" TargetMode="External"/><Relationship Id="rId1364" Type="http://schemas.openxmlformats.org/officeDocument/2006/relationships/hyperlink" Target="http://hudoc.echr.coe.int/eng?i=001-93400" TargetMode="External"/><Relationship Id="rId1571" Type="http://schemas.openxmlformats.org/officeDocument/2006/relationships/hyperlink" Target="http://hudoc.echr.coe.int/eng?i=001-88871" TargetMode="External"/><Relationship Id="rId2208" Type="http://schemas.openxmlformats.org/officeDocument/2006/relationships/hyperlink" Target="http://hudoc.echr.coe.int/eng?i=001-201098" TargetMode="External"/><Relationship Id="rId2415" Type="http://schemas.openxmlformats.org/officeDocument/2006/relationships/hyperlink" Target="http://hudoc.echr.coe.int/eng?i=001-188267" TargetMode="External"/><Relationship Id="rId2622" Type="http://schemas.openxmlformats.org/officeDocument/2006/relationships/hyperlink" Target="http://hudoc.echr.coe.int/eng?i=001-57565" TargetMode="External"/><Relationship Id="rId70" Type="http://schemas.openxmlformats.org/officeDocument/2006/relationships/hyperlink" Target="http://hudoc.echr.coe.int/eng?i=001-83951" TargetMode="External"/><Relationship Id="rId801" Type="http://schemas.openxmlformats.org/officeDocument/2006/relationships/hyperlink" Target="http://hudoc.echr.coe.int/eng?i=001-193251" TargetMode="External"/><Relationship Id="rId1017" Type="http://schemas.openxmlformats.org/officeDocument/2006/relationships/hyperlink" Target="http://hudoc.echr.coe.int/eng?i=001-6001" TargetMode="External"/><Relationship Id="rId1224" Type="http://schemas.openxmlformats.org/officeDocument/2006/relationships/hyperlink" Target="http://hudoc.echr.coe.int/eng?i=001-79204" TargetMode="External"/><Relationship Id="rId1431" Type="http://schemas.openxmlformats.org/officeDocument/2006/relationships/hyperlink" Target="http://hudoc.echr.coe.int/eng?i=001-93341" TargetMode="External"/><Relationship Id="rId1669" Type="http://schemas.openxmlformats.org/officeDocument/2006/relationships/hyperlink" Target="https://echr.coe.int/Documents/Guide_Art_2_Protocol_1_ENG.pdf" TargetMode="External"/><Relationship Id="rId1876" Type="http://schemas.openxmlformats.org/officeDocument/2006/relationships/hyperlink" Target="http://hudoc.echr.coe.int/eng?i=001-104698" TargetMode="External"/><Relationship Id="rId1529" Type="http://schemas.openxmlformats.org/officeDocument/2006/relationships/hyperlink" Target="http://hudoc.echr.coe.int/eng?i=001-59216" TargetMode="External"/><Relationship Id="rId1736" Type="http://schemas.openxmlformats.org/officeDocument/2006/relationships/hyperlink" Target="http://hudoc.echr.coe.int/eng?i=001-109895" TargetMode="External"/><Relationship Id="rId1943" Type="http://schemas.openxmlformats.org/officeDocument/2006/relationships/hyperlink" Target="http://hudoc.echr.coe.int/eng?i=001-6001" TargetMode="External"/><Relationship Id="rId28" Type="http://schemas.openxmlformats.org/officeDocument/2006/relationships/hyperlink" Target="https://www.coe.int/en/web/conventions/full-list/-/conventions/treaty/213" TargetMode="External"/><Relationship Id="rId1803" Type="http://schemas.openxmlformats.org/officeDocument/2006/relationships/hyperlink" Target="https://hudoc.echr.coe.int/eng?i=001-216223" TargetMode="External"/><Relationship Id="rId177" Type="http://schemas.openxmlformats.org/officeDocument/2006/relationships/hyperlink" Target="http://hudoc.echr.coe.int/eng?i=001-95031" TargetMode="External"/><Relationship Id="rId384" Type="http://schemas.openxmlformats.org/officeDocument/2006/relationships/hyperlink" Target="http://hudoc.echr.coe.int/eng?i=001-58831" TargetMode="External"/><Relationship Id="rId591" Type="http://schemas.openxmlformats.org/officeDocument/2006/relationships/hyperlink" Target="http://hudoc.echr.coe.int/eng?i=001-100804" TargetMode="External"/><Relationship Id="rId2065" Type="http://schemas.openxmlformats.org/officeDocument/2006/relationships/hyperlink" Target="http://hudoc.echr.coe.int/eng?i=001-115714" TargetMode="External"/><Relationship Id="rId2272" Type="http://schemas.openxmlformats.org/officeDocument/2006/relationships/hyperlink" Target="http://hudoc.echr.coe.int/eng?i=001-110986" TargetMode="External"/><Relationship Id="rId244" Type="http://schemas.openxmlformats.org/officeDocument/2006/relationships/hyperlink" Target="http://hudoc.echr.coe.int/eng?i=001-200344" TargetMode="External"/><Relationship Id="rId689" Type="http://schemas.openxmlformats.org/officeDocument/2006/relationships/hyperlink" Target="http://hudoc.echr.coe.int/eng?i=001-72629" TargetMode="External"/><Relationship Id="rId896" Type="http://schemas.openxmlformats.org/officeDocument/2006/relationships/hyperlink" Target="http://hudoc.echr.coe.int/eng?i=001-111957" TargetMode="External"/><Relationship Id="rId1081" Type="http://schemas.openxmlformats.org/officeDocument/2006/relationships/hyperlink" Target="http://hudoc.echr.coe.int/eng?i=001-105438" TargetMode="External"/><Relationship Id="rId2577" Type="http://schemas.openxmlformats.org/officeDocument/2006/relationships/hyperlink" Target="http://hudoc.echr.coe.int/eng?i=001-145571" TargetMode="External"/><Relationship Id="rId2784" Type="http://schemas.openxmlformats.org/officeDocument/2006/relationships/hyperlink" Target="http://hudoc.echr.coe.int/eng?i=001-177711" TargetMode="External"/><Relationship Id="rId451" Type="http://schemas.openxmlformats.org/officeDocument/2006/relationships/hyperlink" Target="http://hudoc.echr.coe.int/sites/eng?i=001-112481" TargetMode="External"/><Relationship Id="rId549" Type="http://schemas.openxmlformats.org/officeDocument/2006/relationships/hyperlink" Target="http://hudoc.echr.coe.int/eng?i=001-145790" TargetMode="External"/><Relationship Id="rId756" Type="http://schemas.openxmlformats.org/officeDocument/2006/relationships/hyperlink" Target="http://hudoc.echr.coe.int/eng?i=001-179420" TargetMode="External"/><Relationship Id="rId1179" Type="http://schemas.openxmlformats.org/officeDocument/2006/relationships/hyperlink" Target="http://hudoc.echr.coe.int/eng?i=001-60522" TargetMode="External"/><Relationship Id="rId1386" Type="http://schemas.openxmlformats.org/officeDocument/2006/relationships/hyperlink" Target="http://hudoc.echr.coe.int/eng?i=001-208279" TargetMode="External"/><Relationship Id="rId1593" Type="http://schemas.openxmlformats.org/officeDocument/2006/relationships/hyperlink" Target="http://hudoc.echr.coe.int/eng?i=001-146540" TargetMode="External"/><Relationship Id="rId2132" Type="http://schemas.openxmlformats.org/officeDocument/2006/relationships/hyperlink" Target="http://hudoc.echr.coe.int/eng/?i=001-164508" TargetMode="External"/><Relationship Id="rId2437" Type="http://schemas.openxmlformats.org/officeDocument/2006/relationships/hyperlink" Target="http://hudoc.echr.coe.int/eng?i=001-139933" TargetMode="External"/><Relationship Id="rId104" Type="http://schemas.openxmlformats.org/officeDocument/2006/relationships/hyperlink" Target="http://hudoc.echr.coe.int/eng?i=001-98428" TargetMode="External"/><Relationship Id="rId311" Type="http://schemas.openxmlformats.org/officeDocument/2006/relationships/hyperlink" Target="https://hudoc.echr.coe.int/eng%23%7b%22itemid%22:%5b%22001-203188%22%5d%7d" TargetMode="External"/><Relationship Id="rId409" Type="http://schemas.openxmlformats.org/officeDocument/2006/relationships/hyperlink" Target="http://hudoc.echr.coe.int/eng?i=001-153027" TargetMode="External"/><Relationship Id="rId963" Type="http://schemas.openxmlformats.org/officeDocument/2006/relationships/hyperlink" Target="http://hudoc.echr.coe.int/eng?i=001-94162" TargetMode="External"/><Relationship Id="rId1039" Type="http://schemas.openxmlformats.org/officeDocument/2006/relationships/hyperlink" Target="http://hudoc.echr.coe.int/eng?i=001-112586" TargetMode="External"/><Relationship Id="rId1246" Type="http://schemas.openxmlformats.org/officeDocument/2006/relationships/hyperlink" Target="http://hudoc.echr.coe.int/eng?i=001-138958" TargetMode="External"/><Relationship Id="rId1898" Type="http://schemas.openxmlformats.org/officeDocument/2006/relationships/hyperlink" Target="http://hudoc.echr.coe.int/eng?i=001-107145" TargetMode="External"/><Relationship Id="rId2644" Type="http://schemas.openxmlformats.org/officeDocument/2006/relationships/hyperlink" Target="http://hudoc.echr.coe.int/eng?i=001-200708" TargetMode="External"/><Relationship Id="rId2851" Type="http://schemas.openxmlformats.org/officeDocument/2006/relationships/hyperlink" Target="http://hudoc.echr.coe.int/eng?i=001-186763" TargetMode="External"/><Relationship Id="rId92" Type="http://schemas.openxmlformats.org/officeDocument/2006/relationships/hyperlink" Target="http://hudoc.echr.coe.int/eng?i=001-61731" TargetMode="External"/><Relationship Id="rId616" Type="http://schemas.openxmlformats.org/officeDocument/2006/relationships/hyperlink" Target="https://hudoc.echr.coe.int/eng?i=001-216676" TargetMode="External"/><Relationship Id="rId823" Type="http://schemas.openxmlformats.org/officeDocument/2006/relationships/hyperlink" Target="http://hudoc.echr.coe.int/eng?i=001-103050" TargetMode="External"/><Relationship Id="rId1453" Type="http://schemas.openxmlformats.org/officeDocument/2006/relationships/hyperlink" Target="http://hudoc.echr.coe.int/eng?i=001-91278" TargetMode="External"/><Relationship Id="rId1660" Type="http://schemas.openxmlformats.org/officeDocument/2006/relationships/hyperlink" Target="https://www.echr.coe.int/Documents/Guide_Art_7_ENG.pdf" TargetMode="External"/><Relationship Id="rId1758" Type="http://schemas.openxmlformats.org/officeDocument/2006/relationships/hyperlink" Target="http://hudoc.echr.coe.int/eng?i=001-202524" TargetMode="External"/><Relationship Id="rId2504" Type="http://schemas.openxmlformats.org/officeDocument/2006/relationships/hyperlink" Target="http://hudoc.echr.coe.int/eng?i=001-107247" TargetMode="External"/><Relationship Id="rId2711" Type="http://schemas.openxmlformats.org/officeDocument/2006/relationships/hyperlink" Target="http://hudoc.echr.coe.int/eng?i=001-128043" TargetMode="External"/><Relationship Id="rId2809" Type="http://schemas.openxmlformats.org/officeDocument/2006/relationships/hyperlink" Target="http://hudoc.echr.coe.int/eng?i=001-61564" TargetMode="External"/><Relationship Id="rId1106" Type="http://schemas.openxmlformats.org/officeDocument/2006/relationships/hyperlink" Target="http://hudoc.echr.coe.int/eng?i=001-25922" TargetMode="External"/><Relationship Id="rId1313" Type="http://schemas.openxmlformats.org/officeDocument/2006/relationships/hyperlink" Target="http://hudoc.echr.coe.int/eng?i=001-22099" TargetMode="External"/><Relationship Id="rId1520" Type="http://schemas.openxmlformats.org/officeDocument/2006/relationships/hyperlink" Target="http://hudoc.echr.coe.int/eng?i=001-182448" TargetMode="External"/><Relationship Id="rId1965" Type="http://schemas.openxmlformats.org/officeDocument/2006/relationships/hyperlink" Target="http://hudoc.echr.coe.int/eng?i=001-187469" TargetMode="External"/><Relationship Id="rId1618" Type="http://schemas.openxmlformats.org/officeDocument/2006/relationships/hyperlink" Target="http://hudoc.echr.coe.int/eng?i=001-150232" TargetMode="External"/><Relationship Id="rId1825" Type="http://schemas.openxmlformats.org/officeDocument/2006/relationships/hyperlink" Target="http://hudoc.echr.coe.int/eng?i=001-107235" TargetMode="External"/><Relationship Id="rId199" Type="http://schemas.openxmlformats.org/officeDocument/2006/relationships/hyperlink" Target="https://hudoc.echr.coe.int/eng%23%7b%22docname%22:%5b%22albert%22%5d,%22documentcollectionid2%22:%5b%22GRANDCHAMBER%22,%22CHAMBER%22%5d,%22itemid%22:%5b%22001-203850%22%5d%7d" TargetMode="External"/><Relationship Id="rId2087" Type="http://schemas.openxmlformats.org/officeDocument/2006/relationships/hyperlink" Target="http://hudoc.echr.coe.int/eng?i=001-90864" TargetMode="External"/><Relationship Id="rId2294" Type="http://schemas.openxmlformats.org/officeDocument/2006/relationships/hyperlink" Target="http://hudoc.echr.coe.int/eng?i=001-148367" TargetMode="External"/><Relationship Id="rId266" Type="http://schemas.openxmlformats.org/officeDocument/2006/relationships/hyperlink" Target="https://hudoc.echr.coe.int/eng%23%7b%22docname%22:%5b%22demirtas%22%5d,%22documentcollectionid2%22:%5b%22GRANDCHAMBER%22,%22CHAMBER%22%5d,%22itemid%22:%5b%22001-207173%22%5d%7d" TargetMode="External"/><Relationship Id="rId473" Type="http://schemas.openxmlformats.org/officeDocument/2006/relationships/hyperlink" Target="http://hudoc.echr.coe.int/eng?i=001-119416" TargetMode="External"/><Relationship Id="rId680" Type="http://schemas.openxmlformats.org/officeDocument/2006/relationships/hyperlink" Target="http://hudoc.echr.coe.int/eng?i=001-68419" TargetMode="External"/><Relationship Id="rId2154" Type="http://schemas.openxmlformats.org/officeDocument/2006/relationships/hyperlink" Target="http://hudoc.echr.coe.int/eng?i=001-104636" TargetMode="External"/><Relationship Id="rId2361" Type="http://schemas.openxmlformats.org/officeDocument/2006/relationships/hyperlink" Target="http://hudoc.echr.coe.int/eng?i=001-166744" TargetMode="External"/><Relationship Id="rId2599" Type="http://schemas.openxmlformats.org/officeDocument/2006/relationships/hyperlink" Target="http://hudoc.echr.coe.int/eng?i=001-93631" TargetMode="External"/><Relationship Id="rId126" Type="http://schemas.openxmlformats.org/officeDocument/2006/relationships/hyperlink" Target="http://hudoc.echr.coe.int/eng?i=001-178518" TargetMode="External"/><Relationship Id="rId333" Type="http://schemas.openxmlformats.org/officeDocument/2006/relationships/hyperlink" Target="http://hudoc.echr.coe.int/eng?i=001-175121" TargetMode="External"/><Relationship Id="rId540" Type="http://schemas.openxmlformats.org/officeDocument/2006/relationships/hyperlink" Target="http://hudoc.echr.coe.int/eng?i=001-61731" TargetMode="External"/><Relationship Id="rId778" Type="http://schemas.openxmlformats.org/officeDocument/2006/relationships/hyperlink" Target="http://hudoc.echr.coe.int/eng?i=001-142199" TargetMode="External"/><Relationship Id="rId985" Type="http://schemas.openxmlformats.org/officeDocument/2006/relationships/hyperlink" Target="http://hudoc.echr.coe.int/eng?i=001-140947" TargetMode="External"/><Relationship Id="rId1170" Type="http://schemas.openxmlformats.org/officeDocument/2006/relationships/hyperlink" Target="http://hudoc.echr.coe.int/eng?i=001-180195" TargetMode="External"/><Relationship Id="rId2014" Type="http://schemas.openxmlformats.org/officeDocument/2006/relationships/hyperlink" Target="http://hudoc.echr.coe.int/eng?i=001-152331" TargetMode="External"/><Relationship Id="rId2221" Type="http://schemas.openxmlformats.org/officeDocument/2006/relationships/hyperlink" Target="http://hudoc.echr.coe.int/eng?i=001-141794" TargetMode="External"/><Relationship Id="rId2459" Type="http://schemas.openxmlformats.org/officeDocument/2006/relationships/hyperlink" Target="http://hudoc.echr.coe.int/eng?i=001-97979" TargetMode="External"/><Relationship Id="rId2666" Type="http://schemas.openxmlformats.org/officeDocument/2006/relationships/hyperlink" Target="http://hudoc.echr.coe.int/eng?i=001-72925" TargetMode="External"/><Relationship Id="rId638" Type="http://schemas.openxmlformats.org/officeDocument/2006/relationships/hyperlink" Target="http://hudoc.echr.coe.int/eng?i=001-202123" TargetMode="External"/><Relationship Id="rId845" Type="http://schemas.openxmlformats.org/officeDocument/2006/relationships/hyperlink" Target="http://hudoc.echr.coe.int/eng?i=001-101349" TargetMode="External"/><Relationship Id="rId1030" Type="http://schemas.openxmlformats.org/officeDocument/2006/relationships/hyperlink" Target="http://hudoc.echr.coe.int/eng?i=001-94162" TargetMode="External"/><Relationship Id="rId1268" Type="http://schemas.openxmlformats.org/officeDocument/2006/relationships/hyperlink" Target="http://hudoc.echr.coe.int/eng?i=001-67580" TargetMode="External"/><Relationship Id="rId1475" Type="http://schemas.openxmlformats.org/officeDocument/2006/relationships/hyperlink" Target="http://hudoc.echr.coe.int/eng?i=001-189781" TargetMode="External"/><Relationship Id="rId1682" Type="http://schemas.openxmlformats.org/officeDocument/2006/relationships/hyperlink" Target="http://hudoc.echr.coe.int/eng?i=001-89558" TargetMode="External"/><Relationship Id="rId2319" Type="http://schemas.openxmlformats.org/officeDocument/2006/relationships/hyperlink" Target="http://hudoc.echr.coe.int/eng?i=001-105438" TargetMode="External"/><Relationship Id="rId2526" Type="http://schemas.openxmlformats.org/officeDocument/2006/relationships/hyperlink" Target="http://hudoc.echr.coe.int/eng?i=001-81359" TargetMode="External"/><Relationship Id="rId2733" Type="http://schemas.openxmlformats.org/officeDocument/2006/relationships/hyperlink" Target="http://hudoc.echr.coe.int/eng?i=001-200435" TargetMode="External"/><Relationship Id="rId400" Type="http://schemas.openxmlformats.org/officeDocument/2006/relationships/hyperlink" Target="https://hudoc.echr.coe.int/eng?i=001-212133" TargetMode="External"/><Relationship Id="rId705" Type="http://schemas.openxmlformats.org/officeDocument/2006/relationships/hyperlink" Target="http://hudoc.echr.coe.int/eng?i=001-188985" TargetMode="External"/><Relationship Id="rId1128" Type="http://schemas.openxmlformats.org/officeDocument/2006/relationships/hyperlink" Target="http://hudoc.echr.coe.int/eng?i=001-193851" TargetMode="External"/><Relationship Id="rId1335" Type="http://schemas.openxmlformats.org/officeDocument/2006/relationships/hyperlink" Target="http://hudoc.echr.coe.int/eng?i=001-67460" TargetMode="External"/><Relationship Id="rId1542" Type="http://schemas.openxmlformats.org/officeDocument/2006/relationships/hyperlink" Target="http://hudoc.echr.coe.int/eng?i=001-87032" TargetMode="External"/><Relationship Id="rId1987" Type="http://schemas.openxmlformats.org/officeDocument/2006/relationships/hyperlink" Target="https://hudoc.echr.coe.int/eng?i=001-79648" TargetMode="External"/><Relationship Id="rId912" Type="http://schemas.openxmlformats.org/officeDocument/2006/relationships/hyperlink" Target="https://rm.coe.int/CoERMPublicCommonSearchServices/DisplayDCTMContent?documentId=09000016800d383d" TargetMode="External"/><Relationship Id="rId1847" Type="http://schemas.openxmlformats.org/officeDocument/2006/relationships/hyperlink" Target="http://hudoc.echr.coe.int/eng?i=001-104913" TargetMode="External"/><Relationship Id="rId2800" Type="http://schemas.openxmlformats.org/officeDocument/2006/relationships/hyperlink" Target="http://hudoc.echr.coe.int/eng?i=001-58831" TargetMode="External"/><Relationship Id="rId41" Type="http://schemas.openxmlformats.org/officeDocument/2006/relationships/hyperlink" Target="http://hudoc.echr.coe.int/eng?i=001-57920" TargetMode="External"/><Relationship Id="rId1402" Type="http://schemas.openxmlformats.org/officeDocument/2006/relationships/hyperlink" Target="http://hudoc.echr.coe.int/eng?i=001-148367" TargetMode="External"/><Relationship Id="rId1707" Type="http://schemas.openxmlformats.org/officeDocument/2006/relationships/hyperlink" Target="http://hudoc.echr.coe.int/eng?i=001-100012" TargetMode="External"/><Relationship Id="rId190" Type="http://schemas.openxmlformats.org/officeDocument/2006/relationships/hyperlink" Target="http://hudoc.echr.coe.int/eng?i=001-127684" TargetMode="External"/><Relationship Id="rId288" Type="http://schemas.openxmlformats.org/officeDocument/2006/relationships/hyperlink" Target="http://hudoc.echr.coe.int/eng?i=001-97079" TargetMode="External"/><Relationship Id="rId1914" Type="http://schemas.openxmlformats.org/officeDocument/2006/relationships/hyperlink" Target="http://hudoc.echr.coe.int/eng?i=001-122894" TargetMode="External"/><Relationship Id="rId495" Type="http://schemas.openxmlformats.org/officeDocument/2006/relationships/hyperlink" Target="http://hudoc.echr.coe.int/eng?i=001-127684" TargetMode="External"/><Relationship Id="rId2176" Type="http://schemas.openxmlformats.org/officeDocument/2006/relationships/hyperlink" Target="http://hudoc.echr.coe.int/eng?i=001-83369" TargetMode="External"/><Relationship Id="rId2383" Type="http://schemas.openxmlformats.org/officeDocument/2006/relationships/hyperlink" Target="http://hudoc.echr.coe.int/eng?i=001-200433" TargetMode="External"/><Relationship Id="rId2590" Type="http://schemas.openxmlformats.org/officeDocument/2006/relationships/hyperlink" Target="http://hudoc.echr.coe.int/eng?i=001-198507" TargetMode="External"/><Relationship Id="rId148" Type="http://schemas.openxmlformats.org/officeDocument/2006/relationships/hyperlink" Target="http://hudoc.echr.coe.int/eng?i=001-160431" TargetMode="External"/><Relationship Id="rId355" Type="http://schemas.openxmlformats.org/officeDocument/2006/relationships/hyperlink" Target="http://hudoc.echr.coe.int/eng?i=001-204835" TargetMode="External"/><Relationship Id="rId562" Type="http://schemas.openxmlformats.org/officeDocument/2006/relationships/hyperlink" Target="http://hudoc.echr.coe.int/eng?i=001-91413" TargetMode="External"/><Relationship Id="rId1192" Type="http://schemas.openxmlformats.org/officeDocument/2006/relationships/hyperlink" Target="http://hudoc.echr.coe.int/eng?i=001-90014" TargetMode="External"/><Relationship Id="rId2036" Type="http://schemas.openxmlformats.org/officeDocument/2006/relationships/hyperlink" Target="http://hudoc.echr.coe.int/eng?i=001-165417" TargetMode="External"/><Relationship Id="rId2243" Type="http://schemas.openxmlformats.org/officeDocument/2006/relationships/hyperlink" Target="http://hudoc.echr.coe.int/eng?i=001-208279" TargetMode="External"/><Relationship Id="rId2450" Type="http://schemas.openxmlformats.org/officeDocument/2006/relationships/hyperlink" Target="http://hudoc.echr.coe.int/eng?i=001-104525" TargetMode="External"/><Relationship Id="rId2688" Type="http://schemas.openxmlformats.org/officeDocument/2006/relationships/hyperlink" Target="http://hudoc.echr.coe.int/eng?i=001-169650" TargetMode="External"/><Relationship Id="rId215" Type="http://schemas.openxmlformats.org/officeDocument/2006/relationships/hyperlink" Target="https://hudoc.echr.coe.int/eng?i=001-216195" TargetMode="External"/><Relationship Id="rId422" Type="http://schemas.openxmlformats.org/officeDocument/2006/relationships/hyperlink" Target="http://hudoc.echr.coe.int/eng?i=001-82877" TargetMode="External"/><Relationship Id="rId867" Type="http://schemas.openxmlformats.org/officeDocument/2006/relationships/hyperlink" Target="http://hudoc.echr.coe.int/eng?i=001-90671" TargetMode="External"/><Relationship Id="rId1052" Type="http://schemas.openxmlformats.org/officeDocument/2006/relationships/hyperlink" Target="http://hudoc.echr.coe.int/eng?i=001-200708" TargetMode="External"/><Relationship Id="rId1497" Type="http://schemas.openxmlformats.org/officeDocument/2006/relationships/hyperlink" Target="http://hudoc.echr.coe.int/eng?i=001-61886" TargetMode="External"/><Relationship Id="rId2103" Type="http://schemas.openxmlformats.org/officeDocument/2006/relationships/hyperlink" Target="http://hudoc.echr.coe.int/eng?i=001-82538" TargetMode="External"/><Relationship Id="rId2310" Type="http://schemas.openxmlformats.org/officeDocument/2006/relationships/hyperlink" Target="http://hudoc.echr.coe.int/eng?i=001-166578" TargetMode="External"/><Relationship Id="rId2548" Type="http://schemas.openxmlformats.org/officeDocument/2006/relationships/hyperlink" Target="http://hudoc.echr.coe.int/eng?i=001-102617" TargetMode="External"/><Relationship Id="rId2755" Type="http://schemas.openxmlformats.org/officeDocument/2006/relationships/hyperlink" Target="http://hudoc.echr.coe.int/eng?i=001-115937" TargetMode="External"/><Relationship Id="rId727" Type="http://schemas.openxmlformats.org/officeDocument/2006/relationships/hyperlink" Target="http://hudoc.echr.coe.int/eng?i=001-187871" TargetMode="External"/><Relationship Id="rId934" Type="http://schemas.openxmlformats.org/officeDocument/2006/relationships/hyperlink" Target="http://hudoc.echr.coe.int/eng?i=001-162852" TargetMode="External"/><Relationship Id="rId1357" Type="http://schemas.openxmlformats.org/officeDocument/2006/relationships/hyperlink" Target="http://hudoc.echr.coe.int/eng?i=001-114082" TargetMode="External"/><Relationship Id="rId1564" Type="http://schemas.openxmlformats.org/officeDocument/2006/relationships/hyperlink" Target="http://hudoc.echr.coe.int/eng?i=001-58417" TargetMode="External"/><Relationship Id="rId1771" Type="http://schemas.openxmlformats.org/officeDocument/2006/relationships/hyperlink" Target="http://hudoc.echr.coe.int/eng?i=001-163661" TargetMode="External"/><Relationship Id="rId2408" Type="http://schemas.openxmlformats.org/officeDocument/2006/relationships/hyperlink" Target="http://hudoc.echr.coe.int/eng?i=001-93839" TargetMode="External"/><Relationship Id="rId2615" Type="http://schemas.openxmlformats.org/officeDocument/2006/relationships/hyperlink" Target="http://hudoc.echr.coe.int/eng?i=001-22054" TargetMode="External"/><Relationship Id="rId2822" Type="http://schemas.openxmlformats.org/officeDocument/2006/relationships/hyperlink" Target="http://hudoc.echr.coe.int/eng?i=001-74523" TargetMode="External"/><Relationship Id="rId63" Type="http://schemas.openxmlformats.org/officeDocument/2006/relationships/hyperlink" Target="http://hudoc.echr.coe.int/eng?i=001-57906" TargetMode="External"/><Relationship Id="rId1217" Type="http://schemas.openxmlformats.org/officeDocument/2006/relationships/hyperlink" Target="http://hudoc.echr.coe.int/eng?i=001-171148" TargetMode="External"/><Relationship Id="rId1424" Type="http://schemas.openxmlformats.org/officeDocument/2006/relationships/hyperlink" Target="http://hudoc.echr.coe.int/eng?i=001-83109" TargetMode="External"/><Relationship Id="rId1631" Type="http://schemas.openxmlformats.org/officeDocument/2006/relationships/hyperlink" Target="http://hudoc.echr.coe.int/eng?i=001-72688" TargetMode="External"/><Relationship Id="rId1869" Type="http://schemas.openxmlformats.org/officeDocument/2006/relationships/hyperlink" Target="http://hudoc.echr.coe.int/eng?i=001-166788" TargetMode="External"/><Relationship Id="rId1729" Type="http://schemas.openxmlformats.org/officeDocument/2006/relationships/hyperlink" Target="http://hudoc.echr.coe.int/eng?i=001-95031" TargetMode="External"/><Relationship Id="rId1936" Type="http://schemas.openxmlformats.org/officeDocument/2006/relationships/hyperlink" Target="http://hudoc.echr.coe.int/eng?i=001-105606" TargetMode="External"/><Relationship Id="rId2198" Type="http://schemas.openxmlformats.org/officeDocument/2006/relationships/hyperlink" Target="http://hudoc.echr.coe.int/eng?i=001-103948" TargetMode="External"/><Relationship Id="rId377" Type="http://schemas.openxmlformats.org/officeDocument/2006/relationships/hyperlink" Target="http://hudoc.echr.coe.int/eng?i=001-145577" TargetMode="External"/><Relationship Id="rId584" Type="http://schemas.openxmlformats.org/officeDocument/2006/relationships/hyperlink" Target="http://hudoc.echr.coe.int/eng?i=001-181591" TargetMode="External"/><Relationship Id="rId2058" Type="http://schemas.openxmlformats.org/officeDocument/2006/relationships/hyperlink" Target="http://hudoc.echr.coe.int/eng?i=001-67445" TargetMode="External"/><Relationship Id="rId2265" Type="http://schemas.openxmlformats.org/officeDocument/2006/relationships/hyperlink" Target="http://hudoc.echr.coe.int/eng?i=001-58322" TargetMode="External"/><Relationship Id="rId5" Type="http://schemas.openxmlformats.org/officeDocument/2006/relationships/webSettings" Target="webSettings.xml"/><Relationship Id="rId237" Type="http://schemas.openxmlformats.org/officeDocument/2006/relationships/hyperlink" Target="http://hudoc.echr.coe.int/eng?i=001-109577" TargetMode="External"/><Relationship Id="rId791" Type="http://schemas.openxmlformats.org/officeDocument/2006/relationships/hyperlink" Target="http://hudoc.echr.coe.int/eng?i=001-103216" TargetMode="External"/><Relationship Id="rId889" Type="http://schemas.openxmlformats.org/officeDocument/2006/relationships/hyperlink" Target="http://hudoc.echr.coe.int/eng?i=001-100665" TargetMode="External"/><Relationship Id="rId1074" Type="http://schemas.openxmlformats.org/officeDocument/2006/relationships/hyperlink" Target="http://hudoc.echr.coe.int/eng?i=001-76830" TargetMode="External"/><Relationship Id="rId2472" Type="http://schemas.openxmlformats.org/officeDocument/2006/relationships/hyperlink" Target="http://hudoc.echr.coe.int/eng?i=001-139320" TargetMode="External"/><Relationship Id="rId2777" Type="http://schemas.openxmlformats.org/officeDocument/2006/relationships/hyperlink" Target="http://hudoc.echr.coe.int/eng?i=001-178682" TargetMode="External"/><Relationship Id="rId444" Type="http://schemas.openxmlformats.org/officeDocument/2006/relationships/hyperlink" Target="http://hudoc.echr.coe.int/eng?i=001-78585" TargetMode="External"/><Relationship Id="rId651" Type="http://schemas.openxmlformats.org/officeDocument/2006/relationships/hyperlink" Target="http://hudoc.echr.coe.int/eng?i=001-148258" TargetMode="External"/><Relationship Id="rId749" Type="http://schemas.openxmlformats.org/officeDocument/2006/relationships/hyperlink" Target="http://hudoc.echr.coe.int/eng?i=001-72925" TargetMode="External"/><Relationship Id="rId1281" Type="http://schemas.openxmlformats.org/officeDocument/2006/relationships/hyperlink" Target="http://hudoc.echr.coe.int/eng?i=001-142449" TargetMode="External"/><Relationship Id="rId1379" Type="http://schemas.openxmlformats.org/officeDocument/2006/relationships/hyperlink" Target="http://hudoc.echr.coe.int/eng?i=001-160998" TargetMode="External"/><Relationship Id="rId1586" Type="http://schemas.openxmlformats.org/officeDocument/2006/relationships/hyperlink" Target="http://hudoc.echr.coe.int/eng?i=001-154391" TargetMode="External"/><Relationship Id="rId2125" Type="http://schemas.openxmlformats.org/officeDocument/2006/relationships/hyperlink" Target="http://hudoc.echr.coe.int/eng?i=001-100384" TargetMode="External"/><Relationship Id="rId2332" Type="http://schemas.openxmlformats.org/officeDocument/2006/relationships/hyperlink" Target="http://hudoc.echr.coe.int/eng?i=001-142449" TargetMode="External"/><Relationship Id="rId304" Type="http://schemas.openxmlformats.org/officeDocument/2006/relationships/hyperlink" Target="http://hudoc.echr.coe.int/eng?i=001-72925" TargetMode="External"/><Relationship Id="rId511" Type="http://schemas.openxmlformats.org/officeDocument/2006/relationships/hyperlink" Target="http://hudoc.echr.coe.int/eng?i=001-92489" TargetMode="External"/><Relationship Id="rId609" Type="http://schemas.openxmlformats.org/officeDocument/2006/relationships/hyperlink" Target="http://hudoc.echr.coe.int/eng?i=001-4627" TargetMode="External"/><Relationship Id="rId956" Type="http://schemas.openxmlformats.org/officeDocument/2006/relationships/hyperlink" Target="http://hudoc.echr.coe.int/eng?i=001-68479" TargetMode="External"/><Relationship Id="rId1141" Type="http://schemas.openxmlformats.org/officeDocument/2006/relationships/hyperlink" Target="http://hudoc.echr.coe.int/eng?i=001-199515" TargetMode="External"/><Relationship Id="rId1239" Type="http://schemas.openxmlformats.org/officeDocument/2006/relationships/hyperlink" Target="http://hudoc.echr.coe.int/eng?i=001-175654" TargetMode="External"/><Relationship Id="rId1793" Type="http://schemas.openxmlformats.org/officeDocument/2006/relationships/hyperlink" Target="http://hudoc.echr.coe.int/eng?i=001-109895" TargetMode="External"/><Relationship Id="rId2637" Type="http://schemas.openxmlformats.org/officeDocument/2006/relationships/hyperlink" Target="http://hudoc.echr.coe.int/eng?i=001-61707" TargetMode="External"/><Relationship Id="rId2844" Type="http://schemas.openxmlformats.org/officeDocument/2006/relationships/hyperlink" Target="http://hudoc.echr.coe.int/eng?i=001-172547" TargetMode="External"/><Relationship Id="rId85" Type="http://schemas.openxmlformats.org/officeDocument/2006/relationships/hyperlink" Target="http://hudoc.echr.coe.int/eng?i=001-95031" TargetMode="External"/><Relationship Id="rId816" Type="http://schemas.openxmlformats.org/officeDocument/2006/relationships/hyperlink" Target="http://hudoc.echr.coe.int/eng?i=001-146044" TargetMode="External"/><Relationship Id="rId1001" Type="http://schemas.openxmlformats.org/officeDocument/2006/relationships/hyperlink" Target="http://hudoc.echr.coe.int/eng?i=001-181591" TargetMode="External"/><Relationship Id="rId1446" Type="http://schemas.openxmlformats.org/officeDocument/2006/relationships/hyperlink" Target="http://hudoc.echr.coe.int/eng?i=001-58299" TargetMode="External"/><Relationship Id="rId1653" Type="http://schemas.openxmlformats.org/officeDocument/2006/relationships/hyperlink" Target="http://hudoc.echr.coe.int/eng?i=001-187580" TargetMode="External"/><Relationship Id="rId1860" Type="http://schemas.openxmlformats.org/officeDocument/2006/relationships/hyperlink" Target="http://hudoc.echr.coe.int/eng?i=001-117742" TargetMode="External"/><Relationship Id="rId2704" Type="http://schemas.openxmlformats.org/officeDocument/2006/relationships/hyperlink" Target="http://hudoc.echr.coe.int/eng?i=001-194299" TargetMode="External"/><Relationship Id="rId1306" Type="http://schemas.openxmlformats.org/officeDocument/2006/relationships/hyperlink" Target="http://hudoc.echr.coe.int/eng?i=001-203840" TargetMode="External"/><Relationship Id="rId1513" Type="http://schemas.openxmlformats.org/officeDocument/2006/relationships/hyperlink" Target="http://hudoc.echr.coe.int/eng?i=001-58417" TargetMode="External"/><Relationship Id="rId1720" Type="http://schemas.openxmlformats.org/officeDocument/2006/relationships/hyperlink" Target="http://hudoc.echr.coe.int/eng?i=001-89014" TargetMode="External"/><Relationship Id="rId1958" Type="http://schemas.openxmlformats.org/officeDocument/2006/relationships/hyperlink" Target="https://hudoc.echr.coe.int/eng?i=001-216676" TargetMode="External"/><Relationship Id="rId12" Type="http://schemas.openxmlformats.org/officeDocument/2006/relationships/hyperlink" Target="http://www.echr.coe.int/" TargetMode="External"/><Relationship Id="rId1818" Type="http://schemas.openxmlformats.org/officeDocument/2006/relationships/hyperlink" Target="http://hudoc.echr.coe.int/eng?i=001-104525" TargetMode="External"/><Relationship Id="rId161" Type="http://schemas.openxmlformats.org/officeDocument/2006/relationships/hyperlink" Target="http://hudoc.echr.coe.int/eng?i=001-159914" TargetMode="External"/><Relationship Id="rId399" Type="http://schemas.openxmlformats.org/officeDocument/2006/relationships/hyperlink" Target="http://hudoc.echr.coe.int/eng?i=001-2897" TargetMode="External"/><Relationship Id="rId2287" Type="http://schemas.openxmlformats.org/officeDocument/2006/relationships/hyperlink" Target="http://hudoc.echr.coe.int/eng?i=001-67460" TargetMode="External"/><Relationship Id="rId2494" Type="http://schemas.openxmlformats.org/officeDocument/2006/relationships/hyperlink" Target="http://hudoc.echr.coe.int/eng?i=001-5648" TargetMode="External"/><Relationship Id="rId259" Type="http://schemas.openxmlformats.org/officeDocument/2006/relationships/hyperlink" Target="http://hudoc.echr.coe.int/eng?i=001-113118" TargetMode="External"/><Relationship Id="rId466" Type="http://schemas.openxmlformats.org/officeDocument/2006/relationships/hyperlink" Target="http://hudoc.echr.coe.int/eng?i=001-99026" TargetMode="External"/><Relationship Id="rId673" Type="http://schemas.openxmlformats.org/officeDocument/2006/relationships/hyperlink" Target="http://hudoc.echr.coe.int/eng?i=001-196380" TargetMode="External"/><Relationship Id="rId880" Type="http://schemas.openxmlformats.org/officeDocument/2006/relationships/hyperlink" Target="http://hudoc.echr.coe.int/eng?i=001-146873" TargetMode="External"/><Relationship Id="rId1096" Type="http://schemas.openxmlformats.org/officeDocument/2006/relationships/hyperlink" Target="http://hudoc.echr.coe.int/eng?i=001-4689" TargetMode="External"/><Relationship Id="rId2147" Type="http://schemas.openxmlformats.org/officeDocument/2006/relationships/hyperlink" Target="http://hudoc.echr.coe.int/eng?i=001-118248" TargetMode="External"/><Relationship Id="rId2354" Type="http://schemas.openxmlformats.org/officeDocument/2006/relationships/hyperlink" Target="http://hudoc.echr.coe.int/eng?i=001-57510" TargetMode="External"/><Relationship Id="rId2561" Type="http://schemas.openxmlformats.org/officeDocument/2006/relationships/hyperlink" Target="http://hudoc.echr.coe.int/eng?i=001-5908" TargetMode="External"/><Relationship Id="rId2799" Type="http://schemas.openxmlformats.org/officeDocument/2006/relationships/hyperlink" Target="http://hudoc.echr.coe.int/sites/eng?i=001-22264" TargetMode="External"/><Relationship Id="rId119" Type="http://schemas.openxmlformats.org/officeDocument/2006/relationships/hyperlink" Target="http://hudoc.echr.coe.int/eng?i=001-203762" TargetMode="External"/><Relationship Id="rId326" Type="http://schemas.openxmlformats.org/officeDocument/2006/relationships/hyperlink" Target="https://hudoc.echr.coe.int/eng%23%7b%22itemid%22:%5b%22001-202522%22%5d%7d" TargetMode="External"/><Relationship Id="rId533" Type="http://schemas.openxmlformats.org/officeDocument/2006/relationships/hyperlink" Target="http://hudoc.echr.coe.int/eng?i=001-96157" TargetMode="External"/><Relationship Id="rId978" Type="http://schemas.openxmlformats.org/officeDocument/2006/relationships/hyperlink" Target="http://hudoc.echr.coe.int/eng?i=001-94162" TargetMode="External"/><Relationship Id="rId1163" Type="http://schemas.openxmlformats.org/officeDocument/2006/relationships/hyperlink" Target="http://hudoc.echr.coe.int/eng?i=001-154398" TargetMode="External"/><Relationship Id="rId1370" Type="http://schemas.openxmlformats.org/officeDocument/2006/relationships/hyperlink" Target="http://hudoc.echr.coe.int/eng?i=001-83109" TargetMode="External"/><Relationship Id="rId2007" Type="http://schemas.openxmlformats.org/officeDocument/2006/relationships/hyperlink" Target="http://hudoc.echr.coe.int/eng?i=001-171942" TargetMode="External"/><Relationship Id="rId2214" Type="http://schemas.openxmlformats.org/officeDocument/2006/relationships/hyperlink" Target="http://hudoc.echr.coe.int/eng?i=001-105269" TargetMode="External"/><Relationship Id="rId2659" Type="http://schemas.openxmlformats.org/officeDocument/2006/relationships/hyperlink" Target="http://hudoc.echr.coe.int/eng?i=001-67823" TargetMode="External"/><Relationship Id="rId740" Type="http://schemas.openxmlformats.org/officeDocument/2006/relationships/hyperlink" Target="http://hudoc.echr.coe.int/eng?i=001-155819" TargetMode="External"/><Relationship Id="rId838" Type="http://schemas.openxmlformats.org/officeDocument/2006/relationships/hyperlink" Target="http://hudoc.echr.coe.int/eng?i=001-68476" TargetMode="External"/><Relationship Id="rId1023" Type="http://schemas.openxmlformats.org/officeDocument/2006/relationships/hyperlink" Target="http://hudoc.echr.coe.int/eng?i=001-6001" TargetMode="External"/><Relationship Id="rId1468" Type="http://schemas.openxmlformats.org/officeDocument/2006/relationships/hyperlink" Target="http://hudoc.echr.coe.int/eng?i=001-59454" TargetMode="External"/><Relationship Id="rId1675" Type="http://schemas.openxmlformats.org/officeDocument/2006/relationships/hyperlink" Target="http://hudoc.echr.coe.int/eng?i=001-97649" TargetMode="External"/><Relationship Id="rId1882" Type="http://schemas.openxmlformats.org/officeDocument/2006/relationships/hyperlink" Target="http://conventions.coe.int/Treaty/EN/Reports/Html/194.htm" TargetMode="External"/><Relationship Id="rId2421" Type="http://schemas.openxmlformats.org/officeDocument/2006/relationships/hyperlink" Target="http://hudoc.echr.coe.int/eng?i=001-152259" TargetMode="External"/><Relationship Id="rId2519" Type="http://schemas.openxmlformats.org/officeDocument/2006/relationships/hyperlink" Target="http://hudoc.echr.coe.int/eng?i=001-91302" TargetMode="External"/><Relationship Id="rId2726" Type="http://schemas.openxmlformats.org/officeDocument/2006/relationships/hyperlink" Target="http://hudoc.echr.coe.int/eng?i=001-90868" TargetMode="External"/><Relationship Id="rId600" Type="http://schemas.openxmlformats.org/officeDocument/2006/relationships/hyperlink" Target="https://hudoc.echr.coe.int/eng?i=001-160441" TargetMode="External"/><Relationship Id="rId1230" Type="http://schemas.openxmlformats.org/officeDocument/2006/relationships/hyperlink" Target="http://hudoc.echr.coe.int/eng?i=001-67990" TargetMode="External"/><Relationship Id="rId1328" Type="http://schemas.openxmlformats.org/officeDocument/2006/relationships/hyperlink" Target="http://hudoc.echr.coe.int/eng?i=001-207622" TargetMode="External"/><Relationship Id="rId1535" Type="http://schemas.openxmlformats.org/officeDocument/2006/relationships/hyperlink" Target="http://hudoc.echr.coe.int/eng?i=001-202765" TargetMode="External"/><Relationship Id="rId905" Type="http://schemas.openxmlformats.org/officeDocument/2006/relationships/hyperlink" Target="http://hudoc.echr.coe.int/eng?i=001-178753" TargetMode="External"/><Relationship Id="rId1742" Type="http://schemas.openxmlformats.org/officeDocument/2006/relationships/hyperlink" Target="http://hudoc.echr.coe.int/eng?i=001-166964" TargetMode="External"/><Relationship Id="rId34" Type="http://schemas.openxmlformats.org/officeDocument/2006/relationships/hyperlink" Target="https://www.echr.coe.int/Documents/Brussels_Declaration_ENG.pdf" TargetMode="External"/><Relationship Id="rId1602" Type="http://schemas.openxmlformats.org/officeDocument/2006/relationships/hyperlink" Target="http://hudoc.echr.coe.int/eng?i=001-58322" TargetMode="External"/><Relationship Id="rId183" Type="http://schemas.openxmlformats.org/officeDocument/2006/relationships/hyperlink" Target="http://hudoc.echr.coe.int/eng?i=001-100511" TargetMode="External"/><Relationship Id="rId390" Type="http://schemas.openxmlformats.org/officeDocument/2006/relationships/hyperlink" Target="https://hudoc.echr.coe.int/eng?i=001-216018" TargetMode="External"/><Relationship Id="rId1907" Type="http://schemas.openxmlformats.org/officeDocument/2006/relationships/hyperlink" Target="http://hudoc.echr.coe.int/eng?i=001-116936" TargetMode="External"/><Relationship Id="rId2071" Type="http://schemas.openxmlformats.org/officeDocument/2006/relationships/hyperlink" Target="http://hudoc.echr.coe.int/eng?i=001-73128" TargetMode="External"/><Relationship Id="rId250" Type="http://schemas.openxmlformats.org/officeDocument/2006/relationships/hyperlink" Target="http://hudoc.echr.coe.int/eng?i=001-96491" TargetMode="External"/><Relationship Id="rId488" Type="http://schemas.openxmlformats.org/officeDocument/2006/relationships/hyperlink" Target="http://hudoc.echr.coe.int/eng?i=001-127684" TargetMode="External"/><Relationship Id="rId695" Type="http://schemas.openxmlformats.org/officeDocument/2006/relationships/hyperlink" Target="http://hudoc.echr.coe.int/eng?i=001-101151" TargetMode="External"/><Relationship Id="rId2169" Type="http://schemas.openxmlformats.org/officeDocument/2006/relationships/hyperlink" Target="http://hudoc.echr.coe.int/eng?i=001-105301" TargetMode="External"/><Relationship Id="rId2376" Type="http://schemas.openxmlformats.org/officeDocument/2006/relationships/hyperlink" Target="http://hudoc.echr.coe.int/eng?i=001-138888" TargetMode="External"/><Relationship Id="rId2583" Type="http://schemas.openxmlformats.org/officeDocument/2006/relationships/hyperlink" Target="http://hudoc.echr.coe.int/eng?i=001-121143" TargetMode="External"/><Relationship Id="rId2790" Type="http://schemas.openxmlformats.org/officeDocument/2006/relationships/hyperlink" Target="http://hudoc.echr.coe.int/eng?i=001-158290" TargetMode="External"/><Relationship Id="rId110" Type="http://schemas.openxmlformats.org/officeDocument/2006/relationships/hyperlink" Target="http://hudoc.echr.coe.int/eng?i=001-61263" TargetMode="External"/><Relationship Id="rId348" Type="http://schemas.openxmlformats.org/officeDocument/2006/relationships/hyperlink" Target="http://hudoc.echr.coe.int/eng?i=001-197095" TargetMode="External"/><Relationship Id="rId555" Type="http://schemas.openxmlformats.org/officeDocument/2006/relationships/hyperlink" Target="http://hudoc.echr.coe.int/eng?i=001-93265" TargetMode="External"/><Relationship Id="rId762" Type="http://schemas.openxmlformats.org/officeDocument/2006/relationships/hyperlink" Target="http://hudoc.echr.coe.int/eng?i=001-98428" TargetMode="External"/><Relationship Id="rId1185" Type="http://schemas.openxmlformats.org/officeDocument/2006/relationships/hyperlink" Target="http://hudoc.echr.coe.int/eng?i=001-158467" TargetMode="External"/><Relationship Id="rId1392" Type="http://schemas.openxmlformats.org/officeDocument/2006/relationships/hyperlink" Target="http://hudoc.echr.coe.int/eng?i=001-109231" TargetMode="External"/><Relationship Id="rId2029" Type="http://schemas.openxmlformats.org/officeDocument/2006/relationships/hyperlink" Target="http://hudoc.echr.coe.int/eng?i=001-61377" TargetMode="External"/><Relationship Id="rId2236" Type="http://schemas.openxmlformats.org/officeDocument/2006/relationships/hyperlink" Target="http://hudoc.echr.coe.int/eng?i=001-189781" TargetMode="External"/><Relationship Id="rId2443" Type="http://schemas.openxmlformats.org/officeDocument/2006/relationships/hyperlink" Target="http://hudoc.echr.coe.int/eng?i=001-78623" TargetMode="External"/><Relationship Id="rId2650" Type="http://schemas.openxmlformats.org/officeDocument/2006/relationships/hyperlink" Target="http://hudoc.echr.coe.int/eng?i=001-22151" TargetMode="External"/><Relationship Id="rId208" Type="http://schemas.openxmlformats.org/officeDocument/2006/relationships/hyperlink" Target="http://hudoc.echr.coe.int/eng?i=001-120956" TargetMode="External"/><Relationship Id="rId415" Type="http://schemas.openxmlformats.org/officeDocument/2006/relationships/hyperlink" Target="http://hudoc.echr.coe.int/eng?i=001-122053" TargetMode="External"/><Relationship Id="rId622" Type="http://schemas.openxmlformats.org/officeDocument/2006/relationships/hyperlink" Target="http://hudoc.echr.coe.int/eng?i=001-179878" TargetMode="External"/><Relationship Id="rId1045" Type="http://schemas.openxmlformats.org/officeDocument/2006/relationships/hyperlink" Target="http://hudoc.echr.coe.int/eng?i=001-140947" TargetMode="External"/><Relationship Id="rId1252" Type="http://schemas.openxmlformats.org/officeDocument/2006/relationships/hyperlink" Target="http://hudoc.echr.coe.int/eng?i=001-145466" TargetMode="External"/><Relationship Id="rId1697" Type="http://schemas.openxmlformats.org/officeDocument/2006/relationships/hyperlink" Target="http://hudoc.echr.coe.int/eng?i=001-159449" TargetMode="External"/><Relationship Id="rId2303" Type="http://schemas.openxmlformats.org/officeDocument/2006/relationships/hyperlink" Target="http://hudoc.echr.coe.int/eng?i=001-21936" TargetMode="External"/><Relationship Id="rId2510" Type="http://schemas.openxmlformats.org/officeDocument/2006/relationships/hyperlink" Target="http://hudoc.echr.coe.int/eng?i=001-202765" TargetMode="External"/><Relationship Id="rId2748" Type="http://schemas.openxmlformats.org/officeDocument/2006/relationships/hyperlink" Target="http://hudoc.echr.coe.int/eng?i=001-148070" TargetMode="External"/><Relationship Id="rId927" Type="http://schemas.openxmlformats.org/officeDocument/2006/relationships/hyperlink" Target="http://hudoc.echr.coe.int/eng?i=001-167125" TargetMode="External"/><Relationship Id="rId1112" Type="http://schemas.openxmlformats.org/officeDocument/2006/relationships/hyperlink" Target="https://hudoc.echr.coe.int/eng?i=001-211794" TargetMode="External"/><Relationship Id="rId1557" Type="http://schemas.openxmlformats.org/officeDocument/2006/relationships/hyperlink" Target="http://hudoc.echr.coe.int/eng?i=001-77385" TargetMode="External"/><Relationship Id="rId1764" Type="http://schemas.openxmlformats.org/officeDocument/2006/relationships/hyperlink" Target="https://hudoc.echr.coe.int/eng?i=001-215642" TargetMode="External"/><Relationship Id="rId1971" Type="http://schemas.openxmlformats.org/officeDocument/2006/relationships/hyperlink" Target="http://hudoc.echr.coe.int/eng?i=001-89014" TargetMode="External"/><Relationship Id="rId2608" Type="http://schemas.openxmlformats.org/officeDocument/2006/relationships/hyperlink" Target="http://hudoc.echr.coe.int/eng?i=001-57870" TargetMode="External"/><Relationship Id="rId2815" Type="http://schemas.openxmlformats.org/officeDocument/2006/relationships/hyperlink" Target="http://hudoc.echr.coe.int/eng?i=001-76586" TargetMode="External"/><Relationship Id="rId56" Type="http://schemas.openxmlformats.org/officeDocument/2006/relationships/hyperlink" Target="http://hudoc.echr.coe.int/eng?i=001-205862" TargetMode="External"/><Relationship Id="rId1417" Type="http://schemas.openxmlformats.org/officeDocument/2006/relationships/hyperlink" Target="http://hudoc.echr.coe.int/eng?i=001-80830" TargetMode="External"/><Relationship Id="rId1624" Type="http://schemas.openxmlformats.org/officeDocument/2006/relationships/hyperlink" Target="http://hudoc.echr.coe.int/eng?i=001-172143" TargetMode="External"/><Relationship Id="rId1831" Type="http://schemas.openxmlformats.org/officeDocument/2006/relationships/hyperlink" Target="http://hudoc.echr.coe.int/eng?i=001-168816" TargetMode="External"/><Relationship Id="rId1929" Type="http://schemas.openxmlformats.org/officeDocument/2006/relationships/hyperlink" Target="http://hudoc.echr.coe.int/eng?i=001-146044" TargetMode="External"/><Relationship Id="rId2093" Type="http://schemas.openxmlformats.org/officeDocument/2006/relationships/hyperlink" Target="https://hudoc.echr.coe.int/eng%23%7b%22appno%22:%5b%2266994/14%22%5d,%22documentcollectionid2%22:%5b%22GRANDCHAMBER%22,%22CHAMBER%22%5d,%22itemid%22:%5b%22001-206513%22%5d%7d" TargetMode="External"/><Relationship Id="rId2398" Type="http://schemas.openxmlformats.org/officeDocument/2006/relationships/hyperlink" Target="http://hudoc.echr.coe.int/eng?i=001-83068" TargetMode="External"/><Relationship Id="rId272" Type="http://schemas.openxmlformats.org/officeDocument/2006/relationships/hyperlink" Target="http://hudoc.echr.coe.int/eng?i=001-99015" TargetMode="External"/><Relationship Id="rId577" Type="http://schemas.openxmlformats.org/officeDocument/2006/relationships/hyperlink" Target="http://hudoc.echr.coe.int/eng?i=001-61748" TargetMode="External"/><Relationship Id="rId2160" Type="http://schemas.openxmlformats.org/officeDocument/2006/relationships/hyperlink" Target="http://hudoc.echr.coe.int/eng?i=001-183555" TargetMode="External"/><Relationship Id="rId2258" Type="http://schemas.openxmlformats.org/officeDocument/2006/relationships/hyperlink" Target="http://hudoc.echr.coe.int/eng?i=001-2277" TargetMode="External"/><Relationship Id="rId132" Type="http://schemas.openxmlformats.org/officeDocument/2006/relationships/hyperlink" Target="http://hudoc.echr.coe.int/eng?i=001-57943" TargetMode="External"/><Relationship Id="rId784" Type="http://schemas.openxmlformats.org/officeDocument/2006/relationships/hyperlink" Target="http://hudoc.echr.coe.int/eng?i=001-58056" TargetMode="External"/><Relationship Id="rId991" Type="http://schemas.openxmlformats.org/officeDocument/2006/relationships/hyperlink" Target="http://hudoc.echr.coe.int/eng?i=001-99207" TargetMode="External"/><Relationship Id="rId1067" Type="http://schemas.openxmlformats.org/officeDocument/2006/relationships/hyperlink" Target="http://hudoc.echr.coe.int/eng?i=001-110986" TargetMode="External"/><Relationship Id="rId2020" Type="http://schemas.openxmlformats.org/officeDocument/2006/relationships/hyperlink" Target="http://hudoc.echr.coe.int/eng?i=001-69564" TargetMode="External"/><Relationship Id="rId2465" Type="http://schemas.openxmlformats.org/officeDocument/2006/relationships/hyperlink" Target="http://hudoc.echr.coe.int/eng?i=001-70407" TargetMode="External"/><Relationship Id="rId2672" Type="http://schemas.openxmlformats.org/officeDocument/2006/relationships/hyperlink" Target="https://hudoc.echr.coe.int/eng?i=001-212220" TargetMode="External"/><Relationship Id="rId437" Type="http://schemas.openxmlformats.org/officeDocument/2006/relationships/hyperlink" Target="http://hudoc.echr.coe.int/eng?i=001-84836" TargetMode="External"/><Relationship Id="rId644" Type="http://schemas.openxmlformats.org/officeDocument/2006/relationships/hyperlink" Target="http://hudoc.echr.coe.int/eng?i=001-110869" TargetMode="External"/><Relationship Id="rId851" Type="http://schemas.openxmlformats.org/officeDocument/2006/relationships/hyperlink" Target="http://hudoc.echr.coe.int/eng?i=001-61377" TargetMode="External"/><Relationship Id="rId1274" Type="http://schemas.openxmlformats.org/officeDocument/2006/relationships/hyperlink" Target="http://hudoc.echr.coe.int/eng?i=001-98442" TargetMode="External"/><Relationship Id="rId1481" Type="http://schemas.openxmlformats.org/officeDocument/2006/relationships/hyperlink" Target="http://hudoc.echr.coe.int/eng?i=001-208279" TargetMode="External"/><Relationship Id="rId1579" Type="http://schemas.openxmlformats.org/officeDocument/2006/relationships/hyperlink" Target="http://hudoc.echr.coe.int/eng?i=001-92142" TargetMode="External"/><Relationship Id="rId2118" Type="http://schemas.openxmlformats.org/officeDocument/2006/relationships/hyperlink" Target="http://hudoc.echr.coe.int/eng?i=001-45118" TargetMode="External"/><Relationship Id="rId2325" Type="http://schemas.openxmlformats.org/officeDocument/2006/relationships/hyperlink" Target="http://hudoc.echr.coe.int/eng?i=001-101361" TargetMode="External"/><Relationship Id="rId2532" Type="http://schemas.openxmlformats.org/officeDocument/2006/relationships/hyperlink" Target="http://hudoc.echr.coe.int/eng?i=001-179566" TargetMode="External"/><Relationship Id="rId504" Type="http://schemas.openxmlformats.org/officeDocument/2006/relationships/hyperlink" Target="http://hudoc.echr.coe.int/eng?i=001-57606" TargetMode="External"/><Relationship Id="rId711" Type="http://schemas.openxmlformats.org/officeDocument/2006/relationships/hyperlink" Target="http://hudoc.echr.coe.int/eng?i=001-57672" TargetMode="External"/><Relationship Id="rId949" Type="http://schemas.openxmlformats.org/officeDocument/2006/relationships/hyperlink" Target="http://hudoc.echr.coe.int/eng?i=001-89924" TargetMode="External"/><Relationship Id="rId1134" Type="http://schemas.openxmlformats.org/officeDocument/2006/relationships/hyperlink" Target="http://hudoc.echr.coe.int/eng?i=001-142444" TargetMode="External"/><Relationship Id="rId1341" Type="http://schemas.openxmlformats.org/officeDocument/2006/relationships/hyperlink" Target="http://hudoc.echr.coe.int/eng?i=001-105606" TargetMode="External"/><Relationship Id="rId1786" Type="http://schemas.openxmlformats.org/officeDocument/2006/relationships/hyperlink" Target="http://hudoc.echr.coe.int/eng?i=001-105441" TargetMode="External"/><Relationship Id="rId1993" Type="http://schemas.openxmlformats.org/officeDocument/2006/relationships/hyperlink" Target="http://hudoc.echr.coe.int/eng?i=001-171835" TargetMode="External"/><Relationship Id="rId2837" Type="http://schemas.openxmlformats.org/officeDocument/2006/relationships/hyperlink" Target="http://hudoc.echr.coe.int/eng?i=001-206265" TargetMode="External"/><Relationship Id="rId78" Type="http://schemas.openxmlformats.org/officeDocument/2006/relationships/hyperlink" Target="https://hudoc.echr.coe.int/eng%23%7b%22documentcollectionid2%22:%5b%22GRANDCHAMBER%22,%22DECGRANDCHAMBER%22%5d,%22itemid%22:%5b%22001-206897%22%5d%7d" TargetMode="External"/><Relationship Id="rId809" Type="http://schemas.openxmlformats.org/officeDocument/2006/relationships/hyperlink" Target="http://hudoc.echr.coe.int/eng?i=001-194307" TargetMode="External"/><Relationship Id="rId1201" Type="http://schemas.openxmlformats.org/officeDocument/2006/relationships/hyperlink" Target="http://hudoc.echr.coe.int/eng?i=001-72886" TargetMode="External"/><Relationship Id="rId1439" Type="http://schemas.openxmlformats.org/officeDocument/2006/relationships/hyperlink" Target="http://hudoc.echr.coe.int/eng?i=001-113118" TargetMode="External"/><Relationship Id="rId1646" Type="http://schemas.openxmlformats.org/officeDocument/2006/relationships/hyperlink" Target="http://hudoc.echr.coe.int/eng?i=001-93265" TargetMode="External"/><Relationship Id="rId1853" Type="http://schemas.openxmlformats.org/officeDocument/2006/relationships/hyperlink" Target="http://hudoc.echr.coe.int/sites/eng?i=001-105689" TargetMode="External"/><Relationship Id="rId1506" Type="http://schemas.openxmlformats.org/officeDocument/2006/relationships/hyperlink" Target="http://hudoc.echr.coe.int/eng?i=001-3072" TargetMode="External"/><Relationship Id="rId1713" Type="http://schemas.openxmlformats.org/officeDocument/2006/relationships/hyperlink" Target="http://hudoc.echr.coe.int/eng?i=001-97879" TargetMode="External"/><Relationship Id="rId1920" Type="http://schemas.openxmlformats.org/officeDocument/2006/relationships/hyperlink" Target="http://hudoc.echr.coe.int/eng?i=001-191120" TargetMode="External"/><Relationship Id="rId294" Type="http://schemas.openxmlformats.org/officeDocument/2006/relationships/hyperlink" Target="http://hudoc.echr.coe.int/eng?i=001-97660" TargetMode="External"/><Relationship Id="rId2182" Type="http://schemas.openxmlformats.org/officeDocument/2006/relationships/hyperlink" Target="http://hudoc.echr.coe.int/eng?i=001-106789" TargetMode="External"/><Relationship Id="rId154" Type="http://schemas.openxmlformats.org/officeDocument/2006/relationships/hyperlink" Target="http://hudoc.echr.coe.int/eng?i=001-72259" TargetMode="External"/><Relationship Id="rId361" Type="http://schemas.openxmlformats.org/officeDocument/2006/relationships/hyperlink" Target="http://hudoc.echr.coe.int/eng?i=001-169662" TargetMode="External"/><Relationship Id="rId599" Type="http://schemas.openxmlformats.org/officeDocument/2006/relationships/hyperlink" Target="http://hudoc.echr.coe.int/eng?i=001-202532" TargetMode="External"/><Relationship Id="rId2042" Type="http://schemas.openxmlformats.org/officeDocument/2006/relationships/hyperlink" Target="http://hudoc.echr.coe.int/eng?i=001-105441" TargetMode="External"/><Relationship Id="rId2487" Type="http://schemas.openxmlformats.org/officeDocument/2006/relationships/hyperlink" Target="http://hudoc.echr.coe.int/eng?i=001-98442" TargetMode="External"/><Relationship Id="rId2694" Type="http://schemas.openxmlformats.org/officeDocument/2006/relationships/hyperlink" Target="http://hudoc.echr.coe.int/eng?i=001-85611" TargetMode="External"/><Relationship Id="rId459" Type="http://schemas.openxmlformats.org/officeDocument/2006/relationships/hyperlink" Target="http://hudoc.echr.coe.int/eng?i=001-68183" TargetMode="External"/><Relationship Id="rId666" Type="http://schemas.openxmlformats.org/officeDocument/2006/relationships/hyperlink" Target="http://hudoc.echr.coe.int/eng?i=001-200866" TargetMode="External"/><Relationship Id="rId873" Type="http://schemas.openxmlformats.org/officeDocument/2006/relationships/hyperlink" Target="http://hudoc.echr.coe.int/eng?i=001-142908" TargetMode="External"/><Relationship Id="rId1089" Type="http://schemas.openxmlformats.org/officeDocument/2006/relationships/hyperlink" Target="http://hudoc.echr.coe.int/eng?i=001-162688" TargetMode="External"/><Relationship Id="rId1296" Type="http://schemas.openxmlformats.org/officeDocument/2006/relationships/hyperlink" Target="http://hudoc.echr.coe.int/eng?i=001-105606" TargetMode="External"/><Relationship Id="rId2347" Type="http://schemas.openxmlformats.org/officeDocument/2006/relationships/hyperlink" Target="http://hudoc.echr.coe.int/eng?i=001-179564" TargetMode="External"/><Relationship Id="rId2554" Type="http://schemas.openxmlformats.org/officeDocument/2006/relationships/hyperlink" Target="http://hudoc.echr.coe.int/eng?i=001-57836" TargetMode="External"/><Relationship Id="rId221" Type="http://schemas.openxmlformats.org/officeDocument/2006/relationships/hyperlink" Target="https://hudoc.echr.coe.int/eng?i=001-218494" TargetMode="External"/><Relationship Id="rId319" Type="http://schemas.openxmlformats.org/officeDocument/2006/relationships/hyperlink" Target="http://hudoc.echr.coe.int/eng?i=001-60941" TargetMode="External"/><Relationship Id="rId526" Type="http://schemas.openxmlformats.org/officeDocument/2006/relationships/hyperlink" Target="http://hudoc.echr.coe.int/eng?i=001-57565" TargetMode="External"/><Relationship Id="rId1156" Type="http://schemas.openxmlformats.org/officeDocument/2006/relationships/hyperlink" Target="http://hudoc.echr.coe.int/eng?i=001-94026" TargetMode="External"/><Relationship Id="rId1363" Type="http://schemas.openxmlformats.org/officeDocument/2006/relationships/hyperlink" Target="http://hudoc.echr.coe.int/eng?i=001-201353" TargetMode="External"/><Relationship Id="rId2207" Type="http://schemas.openxmlformats.org/officeDocument/2006/relationships/hyperlink" Target="http://hudoc.echr.coe.int/eng?i=001-87446" TargetMode="External"/><Relationship Id="rId2761" Type="http://schemas.openxmlformats.org/officeDocument/2006/relationships/hyperlink" Target="http://hudoc.echr.coe.int/eng?i=001-178518" TargetMode="External"/><Relationship Id="rId733" Type="http://schemas.openxmlformats.org/officeDocument/2006/relationships/hyperlink" Target="http://hudoc.echr.coe.int/eng?i=001-32472" TargetMode="External"/><Relationship Id="rId940" Type="http://schemas.openxmlformats.org/officeDocument/2006/relationships/hyperlink" Target="http://hudoc.echr.coe.int/eng?i=001-157765" TargetMode="External"/><Relationship Id="rId1016" Type="http://schemas.openxmlformats.org/officeDocument/2006/relationships/hyperlink" Target="http://hudoc.echr.coe.int/eng?i=001-194445" TargetMode="External"/><Relationship Id="rId1570" Type="http://schemas.openxmlformats.org/officeDocument/2006/relationships/hyperlink" Target="http://hudoc.echr.coe.int/eng?i=001-88871" TargetMode="External"/><Relationship Id="rId1668" Type="http://schemas.openxmlformats.org/officeDocument/2006/relationships/hyperlink" Target="https://www.echr.coe.int/Documents/Guide_Art_1_Protocol_1_ENG.pdf" TargetMode="External"/><Relationship Id="rId1875" Type="http://schemas.openxmlformats.org/officeDocument/2006/relationships/hyperlink" Target="http://hudoc.echr.coe.int/eng?i=001-166964" TargetMode="External"/><Relationship Id="rId2414" Type="http://schemas.openxmlformats.org/officeDocument/2006/relationships/hyperlink" Target="http://hudoc.echr.coe.int/eng?i=001-500" TargetMode="External"/><Relationship Id="rId2621" Type="http://schemas.openxmlformats.org/officeDocument/2006/relationships/hyperlink" Target="http://hudoc.echr.coe.int/eng?i=001-101713" TargetMode="External"/><Relationship Id="rId2719" Type="http://schemas.openxmlformats.org/officeDocument/2006/relationships/hyperlink" Target="http://hudoc.echr.coe.int/eng?i=001-100012" TargetMode="External"/><Relationship Id="rId800" Type="http://schemas.openxmlformats.org/officeDocument/2006/relationships/hyperlink" Target="http://hudoc.echr.coe.int/eng?i=001-187605" TargetMode="External"/><Relationship Id="rId1223" Type="http://schemas.openxmlformats.org/officeDocument/2006/relationships/hyperlink" Target="http://hudoc.echr.coe.int/eng?i=001-194448" TargetMode="External"/><Relationship Id="rId1430" Type="http://schemas.openxmlformats.org/officeDocument/2006/relationships/hyperlink" Target="http://hudoc.echr.coe.int/eng?i=001-93839" TargetMode="External"/><Relationship Id="rId1528" Type="http://schemas.openxmlformats.org/officeDocument/2006/relationships/hyperlink" Target="http://hudoc.echr.coe.int/eng?i=001-72688" TargetMode="External"/><Relationship Id="rId1735" Type="http://schemas.openxmlformats.org/officeDocument/2006/relationships/hyperlink" Target="https://hudoc.echr.coe.int/eng?i=001-212462" TargetMode="External"/><Relationship Id="rId1942" Type="http://schemas.openxmlformats.org/officeDocument/2006/relationships/hyperlink" Target="http://hudoc.echr.coe.int/eng?i=001-145782" TargetMode="External"/><Relationship Id="rId27" Type="http://schemas.openxmlformats.org/officeDocument/2006/relationships/hyperlink" Target="http://www.echr.coe.int/Documents/HUDOC_Manual_2016_ENG.PDF" TargetMode="External"/><Relationship Id="rId1802" Type="http://schemas.openxmlformats.org/officeDocument/2006/relationships/hyperlink" Target="https://hudoc.echr.coe.int/eng?i=001-216223" TargetMode="External"/><Relationship Id="rId176" Type="http://schemas.openxmlformats.org/officeDocument/2006/relationships/hyperlink" Target="https://hudoc.echr.coe.int/eng%23%7b%22docname%22:%5b%22akbay%22%5d,%22itemid%22:%5b%22001-204996%22%5d%7d" TargetMode="External"/><Relationship Id="rId383" Type="http://schemas.openxmlformats.org/officeDocument/2006/relationships/hyperlink" Target="http://hudoc.echr.coe.int/eng?i=001-90682" TargetMode="External"/><Relationship Id="rId590" Type="http://schemas.openxmlformats.org/officeDocument/2006/relationships/hyperlink" Target="http://hudoc.echr.coe.int/eng?i=001-100804" TargetMode="External"/><Relationship Id="rId2064" Type="http://schemas.openxmlformats.org/officeDocument/2006/relationships/hyperlink" Target="http://hudoc.echr.coe.int/eng?i=001-153901" TargetMode="External"/><Relationship Id="rId2271" Type="http://schemas.openxmlformats.org/officeDocument/2006/relationships/hyperlink" Target="http://hudoc.echr.coe.int/eng?i=001-72123" TargetMode="External"/><Relationship Id="rId243" Type="http://schemas.openxmlformats.org/officeDocument/2006/relationships/hyperlink" Target="http://hudoc.echr.coe.int/eng?i=001-183860" TargetMode="External"/><Relationship Id="rId450" Type="http://schemas.openxmlformats.org/officeDocument/2006/relationships/hyperlink" Target="http://hudoc.echr.coe.int/sites/eng?i=001-112481" TargetMode="External"/><Relationship Id="rId688" Type="http://schemas.openxmlformats.org/officeDocument/2006/relationships/hyperlink" Target="http://hudoc.echr.coe.int/eng?i=001-97649" TargetMode="External"/><Relationship Id="rId895" Type="http://schemas.openxmlformats.org/officeDocument/2006/relationships/hyperlink" Target="http://hudoc.echr.coe.int/eng?i=001-111957" TargetMode="External"/><Relationship Id="rId1080" Type="http://schemas.openxmlformats.org/officeDocument/2006/relationships/hyperlink" Target="http://hudoc.echr.coe.int/eng?i=001-175502" TargetMode="External"/><Relationship Id="rId2131" Type="http://schemas.openxmlformats.org/officeDocument/2006/relationships/hyperlink" Target="http://hudoc.echr.coe.int/eng?i=001-98220" TargetMode="External"/><Relationship Id="rId2369" Type="http://schemas.openxmlformats.org/officeDocument/2006/relationships/hyperlink" Target="http://hudoc.echr.coe.int/eng?i=001-99843" TargetMode="External"/><Relationship Id="rId2576" Type="http://schemas.openxmlformats.org/officeDocument/2006/relationships/hyperlink" Target="http://hudoc.echr.coe.int/eng?i=001-144997" TargetMode="External"/><Relationship Id="rId2783" Type="http://schemas.openxmlformats.org/officeDocument/2006/relationships/hyperlink" Target="http://hudoc.echr.coe.int/sites/eng?i=001-105689" TargetMode="External"/><Relationship Id="rId103" Type="http://schemas.openxmlformats.org/officeDocument/2006/relationships/hyperlink" Target="http://hudoc.echr.coe.int/eng?i=001-201353" TargetMode="External"/><Relationship Id="rId310" Type="http://schemas.openxmlformats.org/officeDocument/2006/relationships/hyperlink" Target="https://hudoc.echr.coe.int/eng%23%7b%22itemid%22:%5b%22001-203188%22%5d%7d" TargetMode="External"/><Relationship Id="rId548" Type="http://schemas.openxmlformats.org/officeDocument/2006/relationships/hyperlink" Target="http://hudoc.echr.coe.int/eng?i=001-99015" TargetMode="External"/><Relationship Id="rId755" Type="http://schemas.openxmlformats.org/officeDocument/2006/relationships/hyperlink" Target="http://hudoc.echr.coe.int/eng?i=001-179420" TargetMode="External"/><Relationship Id="rId962" Type="http://schemas.openxmlformats.org/officeDocument/2006/relationships/hyperlink" Target="http://hudoc.echr.coe.int/eng?i=001-22838" TargetMode="External"/><Relationship Id="rId1178" Type="http://schemas.openxmlformats.org/officeDocument/2006/relationships/hyperlink" Target="http://hudoc.echr.coe.int/eng?i=001-201097" TargetMode="External"/><Relationship Id="rId1385" Type="http://schemas.openxmlformats.org/officeDocument/2006/relationships/hyperlink" Target="http://hudoc.echr.coe.int/eng?i=001-207757" TargetMode="External"/><Relationship Id="rId1592" Type="http://schemas.openxmlformats.org/officeDocument/2006/relationships/hyperlink" Target="http://hudoc.echr.coe.int/sites/eng?i=001-109116" TargetMode="External"/><Relationship Id="rId2229" Type="http://schemas.openxmlformats.org/officeDocument/2006/relationships/hyperlink" Target="http://hudoc.echr.coe.int/eng?i=001-207477" TargetMode="External"/><Relationship Id="rId2436" Type="http://schemas.openxmlformats.org/officeDocument/2006/relationships/hyperlink" Target="http://hudoc.echr.coe.int/eng?i=001-43241" TargetMode="External"/><Relationship Id="rId2643" Type="http://schemas.openxmlformats.org/officeDocument/2006/relationships/hyperlink" Target="http://hudoc.echr.coe.int/eng?i=001-158477" TargetMode="External"/><Relationship Id="rId2850" Type="http://schemas.openxmlformats.org/officeDocument/2006/relationships/hyperlink" Target="http://hudoc.echr.coe.int/eng?i=001-194448" TargetMode="External"/><Relationship Id="rId91" Type="http://schemas.openxmlformats.org/officeDocument/2006/relationships/hyperlink" Target="http://hudoc.echr.coe.int/eng?i=001-61731" TargetMode="External"/><Relationship Id="rId408" Type="http://schemas.openxmlformats.org/officeDocument/2006/relationships/hyperlink" Target="http://hudoc.echr.coe.int/eng?i=001-153027" TargetMode="External"/><Relationship Id="rId615" Type="http://schemas.openxmlformats.org/officeDocument/2006/relationships/hyperlink" Target="http://hudoc.echr.coe.int/eng?i=001-98428" TargetMode="External"/><Relationship Id="rId822" Type="http://schemas.openxmlformats.org/officeDocument/2006/relationships/hyperlink" Target="http://hudoc.echr.coe.int/eng?i=001-75689" TargetMode="External"/><Relationship Id="rId1038" Type="http://schemas.openxmlformats.org/officeDocument/2006/relationships/hyperlink" Target="http://hudoc.echr.coe.int/eng?i=001-103138" TargetMode="External"/><Relationship Id="rId1245" Type="http://schemas.openxmlformats.org/officeDocument/2006/relationships/hyperlink" Target="http://hudoc.echr.coe.int/eng?i=001-139320" TargetMode="External"/><Relationship Id="rId1452" Type="http://schemas.openxmlformats.org/officeDocument/2006/relationships/hyperlink" Target="http://hudoc.echr.coe.int/eng?i=001-91278" TargetMode="External"/><Relationship Id="rId1897" Type="http://schemas.openxmlformats.org/officeDocument/2006/relationships/hyperlink" Target="http://hudoc.echr.coe.int/eng?i=001-107145" TargetMode="External"/><Relationship Id="rId2503" Type="http://schemas.openxmlformats.org/officeDocument/2006/relationships/hyperlink" Target="http://hudoc.echr.coe.int/eng?i=001-161247" TargetMode="External"/><Relationship Id="rId1105" Type="http://schemas.openxmlformats.org/officeDocument/2006/relationships/hyperlink" Target="http://hudoc.echr.coe.int/eng?i=001-25922" TargetMode="External"/><Relationship Id="rId1312" Type="http://schemas.openxmlformats.org/officeDocument/2006/relationships/hyperlink" Target="http://hudoc.echr.coe.int/eng?i=001-57920" TargetMode="External"/><Relationship Id="rId1757" Type="http://schemas.openxmlformats.org/officeDocument/2006/relationships/hyperlink" Target="http://hudoc.echr.coe.int/eng?i=001-147286" TargetMode="External"/><Relationship Id="rId1964" Type="http://schemas.openxmlformats.org/officeDocument/2006/relationships/hyperlink" Target="http://hudoc.echr.coe.int/eng?i=001-145973" TargetMode="External"/><Relationship Id="rId2710" Type="http://schemas.openxmlformats.org/officeDocument/2006/relationships/hyperlink" Target="http://hudoc.echr.coe.int/eng?i=001-148072" TargetMode="External"/><Relationship Id="rId2808" Type="http://schemas.openxmlformats.org/officeDocument/2006/relationships/hyperlink" Target="http://hudoc.echr.coe.int/eng?i=001-87836" TargetMode="External"/><Relationship Id="rId49" Type="http://schemas.openxmlformats.org/officeDocument/2006/relationships/hyperlink" Target="http://hudoc.echr.coe.int/eng?i=001-93768" TargetMode="External"/><Relationship Id="rId1617" Type="http://schemas.openxmlformats.org/officeDocument/2006/relationships/hyperlink" Target="http://hudoc.echr.coe.int/eng?i=001-191120" TargetMode="External"/><Relationship Id="rId1824" Type="http://schemas.openxmlformats.org/officeDocument/2006/relationships/hyperlink" Target="http://hudoc.echr.coe.int/eng?i=001-107145" TargetMode="External"/><Relationship Id="rId198" Type="http://schemas.openxmlformats.org/officeDocument/2006/relationships/hyperlink" Target="http://hudoc.echr.coe.int/eng?i=001-22825" TargetMode="External"/><Relationship Id="rId2086" Type="http://schemas.openxmlformats.org/officeDocument/2006/relationships/hyperlink" Target="http://hudoc.echr.coe.int/eng?i=001-74373" TargetMode="External"/><Relationship Id="rId2293" Type="http://schemas.openxmlformats.org/officeDocument/2006/relationships/hyperlink" Target="http://hudoc.echr.coe.int/eng?i=001-76307" TargetMode="External"/><Relationship Id="rId2598" Type="http://schemas.openxmlformats.org/officeDocument/2006/relationships/hyperlink" Target="http://hudoc.echr.coe.int/eng?i=001-43391" TargetMode="External"/><Relationship Id="rId265" Type="http://schemas.openxmlformats.org/officeDocument/2006/relationships/hyperlink" Target="http://hudoc.echr.coe.int/eng?i=001-84828" TargetMode="External"/><Relationship Id="rId472" Type="http://schemas.openxmlformats.org/officeDocument/2006/relationships/hyperlink" Target="http://hudoc.echr.coe.int/eng?i=001-113287" TargetMode="External"/><Relationship Id="rId2153" Type="http://schemas.openxmlformats.org/officeDocument/2006/relationships/hyperlink" Target="http://hudoc.echr.coe.int/eng?i=001-115621" TargetMode="External"/><Relationship Id="rId2360" Type="http://schemas.openxmlformats.org/officeDocument/2006/relationships/hyperlink" Target="https://hudoc.echr.coe.int/eng?i=001-212125" TargetMode="External"/><Relationship Id="rId125" Type="http://schemas.openxmlformats.org/officeDocument/2006/relationships/hyperlink" Target="http://hudoc.echr.coe.int/sites/eng?i=001-114473" TargetMode="External"/><Relationship Id="rId332" Type="http://schemas.openxmlformats.org/officeDocument/2006/relationships/hyperlink" Target="http://hudoc.echr.coe.int/eng?i=001-179408" TargetMode="External"/><Relationship Id="rId777" Type="http://schemas.openxmlformats.org/officeDocument/2006/relationships/hyperlink" Target="http://hudoc.echr.coe.int/eng?i=001-142199" TargetMode="External"/><Relationship Id="rId984" Type="http://schemas.openxmlformats.org/officeDocument/2006/relationships/hyperlink" Target="http://hudoc.echr.coe.int/eng?i=001-108386" TargetMode="External"/><Relationship Id="rId2013" Type="http://schemas.openxmlformats.org/officeDocument/2006/relationships/hyperlink" Target="http://hudoc.echr.coe.int/eng?i=001-159914" TargetMode="External"/><Relationship Id="rId2220" Type="http://schemas.openxmlformats.org/officeDocument/2006/relationships/hyperlink" Target="http://hudoc.echr.coe.int/eng?i=001-85775" TargetMode="External"/><Relationship Id="rId2458" Type="http://schemas.openxmlformats.org/officeDocument/2006/relationships/hyperlink" Target="http://hudoc.echr.coe.int/eng?i=001-60484" TargetMode="External"/><Relationship Id="rId2665" Type="http://schemas.openxmlformats.org/officeDocument/2006/relationships/hyperlink" Target="http://hudoc.echr.coe.int/eng?i=001-23731" TargetMode="External"/><Relationship Id="rId637" Type="http://schemas.openxmlformats.org/officeDocument/2006/relationships/hyperlink" Target="http://hudoc.echr.coe.int/eng?i=001-202123" TargetMode="External"/><Relationship Id="rId844" Type="http://schemas.openxmlformats.org/officeDocument/2006/relationships/hyperlink" Target="http://hudoc.echr.coe.int/eng?i=001-109049" TargetMode="External"/><Relationship Id="rId1267" Type="http://schemas.openxmlformats.org/officeDocument/2006/relationships/hyperlink" Target="http://hudoc.echr.coe.int/eng?i=001-196677" TargetMode="External"/><Relationship Id="rId1474" Type="http://schemas.openxmlformats.org/officeDocument/2006/relationships/hyperlink" Target="http://hudoc.echr.coe.int/eng?i=001-161055" TargetMode="External"/><Relationship Id="rId1681" Type="http://schemas.openxmlformats.org/officeDocument/2006/relationships/hyperlink" Target="http://hudoc.echr.coe.int/eng?i=001-57894" TargetMode="External"/><Relationship Id="rId2318" Type="http://schemas.openxmlformats.org/officeDocument/2006/relationships/hyperlink" Target="http://hudoc.echr.coe.int/eng?i=001-31946" TargetMode="External"/><Relationship Id="rId2525" Type="http://schemas.openxmlformats.org/officeDocument/2006/relationships/hyperlink" Target="http://hudoc.echr.coe.int/eng?i=001-80958" TargetMode="External"/><Relationship Id="rId2732" Type="http://schemas.openxmlformats.org/officeDocument/2006/relationships/hyperlink" Target="http://hudoc.echr.coe.int/eng?i=001-201341" TargetMode="External"/><Relationship Id="rId704" Type="http://schemas.openxmlformats.org/officeDocument/2006/relationships/hyperlink" Target="http://hudoc.echr.coe.int/eng?i=001-188985" TargetMode="External"/><Relationship Id="rId911" Type="http://schemas.openxmlformats.org/officeDocument/2006/relationships/hyperlink" Target="https://www.coe.int/en/web/conventions/full-list/-/conventions/treaty/213" TargetMode="External"/><Relationship Id="rId1127" Type="http://schemas.openxmlformats.org/officeDocument/2006/relationships/hyperlink" Target="http://hudoc.echr.coe.int/eng?i=001-142444" TargetMode="External"/><Relationship Id="rId1334" Type="http://schemas.openxmlformats.org/officeDocument/2006/relationships/hyperlink" Target="http://hudoc.echr.coe.int/eng?i=001-207622" TargetMode="External"/><Relationship Id="rId1541" Type="http://schemas.openxmlformats.org/officeDocument/2006/relationships/hyperlink" Target="http://hudoc.echr.coe.int/eng?i=001-94162" TargetMode="External"/><Relationship Id="rId1779" Type="http://schemas.openxmlformats.org/officeDocument/2006/relationships/hyperlink" Target="http://hudoc.echr.coe.int/eng?i=001-99748" TargetMode="External"/><Relationship Id="rId1986" Type="http://schemas.openxmlformats.org/officeDocument/2006/relationships/hyperlink" Target="http://hudoc.echr.coe.int/eng?i=001-100265" TargetMode="External"/><Relationship Id="rId40" Type="http://schemas.openxmlformats.org/officeDocument/2006/relationships/hyperlink" Target="http://hudoc.echr.coe.int/eng?i=001-57920" TargetMode="External"/><Relationship Id="rId1401" Type="http://schemas.openxmlformats.org/officeDocument/2006/relationships/hyperlink" Target="http://hudoc.echr.coe.int/eng?i=001-92351" TargetMode="External"/><Relationship Id="rId1639" Type="http://schemas.openxmlformats.org/officeDocument/2006/relationships/hyperlink" Target="http://hudoc.echr.coe.int/eng?i=001-60555" TargetMode="External"/><Relationship Id="rId1846" Type="http://schemas.openxmlformats.org/officeDocument/2006/relationships/hyperlink" Target="http://hudoc.echr.coe.int/eng?i=001-114841" TargetMode="External"/><Relationship Id="rId1706" Type="http://schemas.openxmlformats.org/officeDocument/2006/relationships/hyperlink" Target="http://hudoc.echr.coe.int/eng?i=001-78981" TargetMode="External"/><Relationship Id="rId1913" Type="http://schemas.openxmlformats.org/officeDocument/2006/relationships/hyperlink" Target="http://hudoc.echr.coe.int/eng?i=001-87180" TargetMode="External"/><Relationship Id="rId287" Type="http://schemas.openxmlformats.org/officeDocument/2006/relationships/hyperlink" Target="http://hudoc.echr.coe.int/eng?i=001-184520" TargetMode="External"/><Relationship Id="rId494" Type="http://schemas.openxmlformats.org/officeDocument/2006/relationships/hyperlink" Target="http://hudoc.echr.coe.int/eng?i=001-69616" TargetMode="External"/><Relationship Id="rId2175" Type="http://schemas.openxmlformats.org/officeDocument/2006/relationships/hyperlink" Target="http://hudoc.echr.coe.int/eng?i=001-108590" TargetMode="External"/><Relationship Id="rId2382" Type="http://schemas.openxmlformats.org/officeDocument/2006/relationships/hyperlink" Target="http://hudoc.echr.coe.int/eng?i=001-196677" TargetMode="External"/><Relationship Id="rId147" Type="http://schemas.openxmlformats.org/officeDocument/2006/relationships/hyperlink" Target="http://hudoc.echr.coe.int/eng?i=001-160431" TargetMode="External"/><Relationship Id="rId354" Type="http://schemas.openxmlformats.org/officeDocument/2006/relationships/hyperlink" Target="http://hudoc.echr.coe.int/eng?i=001-189757" TargetMode="External"/><Relationship Id="rId799" Type="http://schemas.openxmlformats.org/officeDocument/2006/relationships/hyperlink" Target="http://hudoc.echr.coe.int/eng?i=001-187605" TargetMode="External"/><Relationship Id="rId1191" Type="http://schemas.openxmlformats.org/officeDocument/2006/relationships/hyperlink" Target="http://hudoc.echr.coe.int/eng?i=001-82839" TargetMode="External"/><Relationship Id="rId2035" Type="http://schemas.openxmlformats.org/officeDocument/2006/relationships/hyperlink" Target="http://hudoc.echr.coe.int/eng?i=001-105699" TargetMode="External"/><Relationship Id="rId2687" Type="http://schemas.openxmlformats.org/officeDocument/2006/relationships/hyperlink" Target="http://hudoc.echr.coe.int/eng?i=001-148482" TargetMode="External"/><Relationship Id="rId561" Type="http://schemas.openxmlformats.org/officeDocument/2006/relationships/hyperlink" Target="http://hudoc.echr.coe.int/eng?i=001-108395" TargetMode="External"/><Relationship Id="rId659" Type="http://schemas.openxmlformats.org/officeDocument/2006/relationships/hyperlink" Target="http://hudoc.echr.coe.int/eng?i=001-192926" TargetMode="External"/><Relationship Id="rId866" Type="http://schemas.openxmlformats.org/officeDocument/2006/relationships/hyperlink" Target="http://hudoc.echr.coe.int/eng?i=001-71800" TargetMode="External"/><Relationship Id="rId1289" Type="http://schemas.openxmlformats.org/officeDocument/2006/relationships/hyperlink" Target="http://hudoc.echr.coe.int/eng?i=001-57774" TargetMode="External"/><Relationship Id="rId1496" Type="http://schemas.openxmlformats.org/officeDocument/2006/relationships/hyperlink" Target="http://hudoc.echr.coe.int/eng?i=001-22099" TargetMode="External"/><Relationship Id="rId2242" Type="http://schemas.openxmlformats.org/officeDocument/2006/relationships/hyperlink" Target="http://hudoc.echr.coe.int/eng?i=001-106519" TargetMode="External"/><Relationship Id="rId2547" Type="http://schemas.openxmlformats.org/officeDocument/2006/relationships/hyperlink" Target="http://hudoc.echr.coe.int/eng?i=001-189757" TargetMode="External"/><Relationship Id="rId214" Type="http://schemas.openxmlformats.org/officeDocument/2006/relationships/hyperlink" Target="http://hudoc.echr.coe.int/eng?i=001-206726" TargetMode="External"/><Relationship Id="rId421" Type="http://schemas.openxmlformats.org/officeDocument/2006/relationships/hyperlink" Target="http://hudoc.echr.coe.int/eng?i=001-68183" TargetMode="External"/><Relationship Id="rId519" Type="http://schemas.openxmlformats.org/officeDocument/2006/relationships/hyperlink" Target="http://hudoc.echr.coe.int/eng?i=001-97649" TargetMode="External"/><Relationship Id="rId1051" Type="http://schemas.openxmlformats.org/officeDocument/2006/relationships/hyperlink" Target="http://hudoc.echr.coe.int/eng?i=001-146540" TargetMode="External"/><Relationship Id="rId1149" Type="http://schemas.openxmlformats.org/officeDocument/2006/relationships/hyperlink" Target="http://hudoc.echr.coe.int/eng?i=001-103216" TargetMode="External"/><Relationship Id="rId1356" Type="http://schemas.openxmlformats.org/officeDocument/2006/relationships/hyperlink" Target="http://hudoc.echr.coe.int/eng?i=001-114082" TargetMode="External"/><Relationship Id="rId2102" Type="http://schemas.openxmlformats.org/officeDocument/2006/relationships/hyperlink" Target="http://hudoc.echr.coe.int/eng?i=001-166964" TargetMode="External"/><Relationship Id="rId2754" Type="http://schemas.openxmlformats.org/officeDocument/2006/relationships/hyperlink" Target="http://hudoc.echr.coe.int/eng?i=001-142638" TargetMode="External"/><Relationship Id="rId726" Type="http://schemas.openxmlformats.org/officeDocument/2006/relationships/hyperlink" Target="http://hudoc.echr.coe.int/eng?i=001-178682" TargetMode="External"/><Relationship Id="rId933" Type="http://schemas.openxmlformats.org/officeDocument/2006/relationships/hyperlink" Target="http://hudoc.echr.coe.int/eng?i=001-155161" TargetMode="External"/><Relationship Id="rId1009" Type="http://schemas.openxmlformats.org/officeDocument/2006/relationships/hyperlink" Target="https://www.echr.coe.int/Documents/PD_institution_proceedings_ENG.pdf" TargetMode="External"/><Relationship Id="rId1563" Type="http://schemas.openxmlformats.org/officeDocument/2006/relationships/hyperlink" Target="http://hudoc.echr.coe.int/eng?i=001-58007" TargetMode="External"/><Relationship Id="rId1770" Type="http://schemas.openxmlformats.org/officeDocument/2006/relationships/hyperlink" Target="http://hudoc.echr.coe.int/eng?i=001-99843" TargetMode="External"/><Relationship Id="rId1868" Type="http://schemas.openxmlformats.org/officeDocument/2006/relationships/hyperlink" Target="https://hudoc.echr.coe.int/eng%23%7b%22itemid%22:%5b%22001-204272%22%5d%7d" TargetMode="External"/><Relationship Id="rId2407" Type="http://schemas.openxmlformats.org/officeDocument/2006/relationships/hyperlink" Target="http://hudoc.echr.coe.int/eng?i=001-179556" TargetMode="External"/><Relationship Id="rId2614" Type="http://schemas.openxmlformats.org/officeDocument/2006/relationships/hyperlink" Target="http://hudoc.echr.coe.int/eng?i=001-23947" TargetMode="External"/><Relationship Id="rId2821" Type="http://schemas.openxmlformats.org/officeDocument/2006/relationships/hyperlink" Target="http://hudoc.echr.coe.int/eng?i=001-74474" TargetMode="External"/><Relationship Id="rId62" Type="http://schemas.openxmlformats.org/officeDocument/2006/relationships/hyperlink" Target="https://hudoc.echr.coe.int/eng%23%7b%22documentcollectionid2%22:%5b%22GRANDCHAMBER%22,%22DECGRANDCHAMBER%22%5d,%22itemid%22:%5b%22001-206897%22%5d%7d" TargetMode="External"/><Relationship Id="rId1216" Type="http://schemas.openxmlformats.org/officeDocument/2006/relationships/hyperlink" Target="http://hudoc.echr.coe.int/eng?i=001-170348" TargetMode="External"/><Relationship Id="rId1423" Type="http://schemas.openxmlformats.org/officeDocument/2006/relationships/hyperlink" Target="http://hudoc.echr.coe.int/eng?i=001-93401" TargetMode="External"/><Relationship Id="rId1630" Type="http://schemas.openxmlformats.org/officeDocument/2006/relationships/hyperlink" Target="http://hudoc.echr.coe.int/eng?i=001-161822" TargetMode="External"/><Relationship Id="rId1728" Type="http://schemas.openxmlformats.org/officeDocument/2006/relationships/hyperlink" Target="http://hudoc.echr.coe.int/eng?i=001-81359" TargetMode="External"/><Relationship Id="rId1935" Type="http://schemas.openxmlformats.org/officeDocument/2006/relationships/hyperlink" Target="http://hudoc.echr.coe.int/eng?i=001-97575" TargetMode="External"/><Relationship Id="rId2197" Type="http://schemas.openxmlformats.org/officeDocument/2006/relationships/hyperlink" Target="http://hudoc.echr.coe.int/eng?i=001-119514" TargetMode="External"/><Relationship Id="rId169" Type="http://schemas.openxmlformats.org/officeDocument/2006/relationships/hyperlink" Target="http://hudoc.echr.coe.int/eng?i=001-78989" TargetMode="External"/><Relationship Id="rId376" Type="http://schemas.openxmlformats.org/officeDocument/2006/relationships/hyperlink" Target="http://hudoc.echr.coe.int/eng?i=001-91158" TargetMode="External"/><Relationship Id="rId583" Type="http://schemas.openxmlformats.org/officeDocument/2006/relationships/hyperlink" Target="http://hudoc.echr.coe.int/eng?i=001-181591" TargetMode="External"/><Relationship Id="rId790" Type="http://schemas.openxmlformats.org/officeDocument/2006/relationships/hyperlink" Target="http://hudoc.echr.coe.int/eng?i=001-188985" TargetMode="External"/><Relationship Id="rId2057" Type="http://schemas.openxmlformats.org/officeDocument/2006/relationships/hyperlink" Target="http://hudoc.echr.coe.int/eng?i=001-126597" TargetMode="External"/><Relationship Id="rId2264" Type="http://schemas.openxmlformats.org/officeDocument/2006/relationships/hyperlink" Target="http://hudoc.echr.coe.int/eng?i=001-115920" TargetMode="External"/><Relationship Id="rId2471" Type="http://schemas.openxmlformats.org/officeDocument/2006/relationships/hyperlink" Target="http://hudoc.echr.coe.int/eng?i=001-115377" TargetMode="External"/><Relationship Id="rId4" Type="http://schemas.openxmlformats.org/officeDocument/2006/relationships/settings" Target="settings.xml"/><Relationship Id="rId236" Type="http://schemas.openxmlformats.org/officeDocument/2006/relationships/hyperlink" Target="http://hudoc.echr.coe.int/eng?i=001-78459" TargetMode="External"/><Relationship Id="rId443" Type="http://schemas.openxmlformats.org/officeDocument/2006/relationships/hyperlink" Target="http://hudoc.echr.coe.int/eng?i=001-193486" TargetMode="External"/><Relationship Id="rId650" Type="http://schemas.openxmlformats.org/officeDocument/2006/relationships/hyperlink" Target="http://hudoc.echr.coe.int/eng?i=001-150771" TargetMode="External"/><Relationship Id="rId888" Type="http://schemas.openxmlformats.org/officeDocument/2006/relationships/hyperlink" Target="http://hudoc.echr.coe.int/fre?i=001-202475" TargetMode="External"/><Relationship Id="rId1073" Type="http://schemas.openxmlformats.org/officeDocument/2006/relationships/hyperlink" Target="http://hudoc.echr.coe.int/eng?i=001-76830" TargetMode="External"/><Relationship Id="rId1280" Type="http://schemas.openxmlformats.org/officeDocument/2006/relationships/hyperlink" Target="http://hudoc.echr.coe.int/eng?i=001-205862" TargetMode="External"/><Relationship Id="rId2124" Type="http://schemas.openxmlformats.org/officeDocument/2006/relationships/hyperlink" Target="http://hudoc.echr.coe.int/eng?i=001-179664" TargetMode="External"/><Relationship Id="rId2331" Type="http://schemas.openxmlformats.org/officeDocument/2006/relationships/hyperlink" Target="http://hudoc.echr.coe.int/eng?i=001-162852" TargetMode="External"/><Relationship Id="rId2569" Type="http://schemas.openxmlformats.org/officeDocument/2006/relationships/hyperlink" Target="http://hudoc.echr.coe.int/eng?i=001-92489" TargetMode="External"/><Relationship Id="rId2776" Type="http://schemas.openxmlformats.org/officeDocument/2006/relationships/hyperlink" Target="http://hudoc.echr.coe.int/eng?i=001-192208" TargetMode="External"/><Relationship Id="rId303" Type="http://schemas.openxmlformats.org/officeDocument/2006/relationships/hyperlink" Target="http://hudoc.echr.coe.int/eng?i=001-5925" TargetMode="External"/><Relationship Id="rId748" Type="http://schemas.openxmlformats.org/officeDocument/2006/relationships/hyperlink" Target="http://hudoc.echr.coe.int/eng?i=001-22597" TargetMode="External"/><Relationship Id="rId955" Type="http://schemas.openxmlformats.org/officeDocument/2006/relationships/hyperlink" Target="http://hudoc.echr.coe.int/eng?i=001-58291" TargetMode="External"/><Relationship Id="rId1140" Type="http://schemas.openxmlformats.org/officeDocument/2006/relationships/hyperlink" Target="http://hudoc.echr.coe.int/eng?i=001-113410" TargetMode="External"/><Relationship Id="rId1378" Type="http://schemas.openxmlformats.org/officeDocument/2006/relationships/hyperlink" Target="http://hudoc.echr.coe.int/eng?i=001-160998" TargetMode="External"/><Relationship Id="rId1585" Type="http://schemas.openxmlformats.org/officeDocument/2006/relationships/hyperlink" Target="http://hudoc.echr.coe.int/eng?i=001-144680" TargetMode="External"/><Relationship Id="rId1792" Type="http://schemas.openxmlformats.org/officeDocument/2006/relationships/hyperlink" Target="http://hudoc.echr.coe.int/eng?i=001-109373" TargetMode="External"/><Relationship Id="rId2429" Type="http://schemas.openxmlformats.org/officeDocument/2006/relationships/hyperlink" Target="http://hudoc.echr.coe.int/eng?i=001-22633" TargetMode="External"/><Relationship Id="rId2636" Type="http://schemas.openxmlformats.org/officeDocument/2006/relationships/hyperlink" Target="http://hudoc.echr.coe.int/eng?i=001-111957" TargetMode="External"/><Relationship Id="rId2843" Type="http://schemas.openxmlformats.org/officeDocument/2006/relationships/hyperlink" Target="http://hudoc.echr.coe.int/eng?i=001-99226" TargetMode="External"/><Relationship Id="rId84" Type="http://schemas.openxmlformats.org/officeDocument/2006/relationships/hyperlink" Target="http://hudoc.echr.coe.int/eng?i=001-109577" TargetMode="External"/><Relationship Id="rId510" Type="http://schemas.openxmlformats.org/officeDocument/2006/relationships/hyperlink" Target="http://hudoc.echr.coe.int/eng?i=001-71523" TargetMode="External"/><Relationship Id="rId608" Type="http://schemas.openxmlformats.org/officeDocument/2006/relationships/hyperlink" Target="http://hudoc.echr.coe.int/eng?i=001-148482" TargetMode="External"/><Relationship Id="rId815" Type="http://schemas.openxmlformats.org/officeDocument/2006/relationships/hyperlink" Target="http://hudoc.echr.coe.int/eng?i=001-146047" TargetMode="External"/><Relationship Id="rId1238" Type="http://schemas.openxmlformats.org/officeDocument/2006/relationships/hyperlink" Target="http://hudoc.echr.coe.int/eng?i=001-94026" TargetMode="External"/><Relationship Id="rId1445" Type="http://schemas.openxmlformats.org/officeDocument/2006/relationships/hyperlink" Target="http://hudoc.echr.coe.int/eng?i=001-58068" TargetMode="External"/><Relationship Id="rId1652" Type="http://schemas.openxmlformats.org/officeDocument/2006/relationships/hyperlink" Target="http://hudoc.echr.coe.int/eng?i=001-175646" TargetMode="External"/><Relationship Id="rId1000" Type="http://schemas.openxmlformats.org/officeDocument/2006/relationships/hyperlink" Target="http://www.echr.coe.int/Documents/PD_institution_proceedings_ENG.pdf" TargetMode="External"/><Relationship Id="rId1305" Type="http://schemas.openxmlformats.org/officeDocument/2006/relationships/hyperlink" Target="http://hudoc.echr.coe.int/eng?i=001-188267" TargetMode="External"/><Relationship Id="rId1957" Type="http://schemas.openxmlformats.org/officeDocument/2006/relationships/hyperlink" Target="http://hudoc.echr.coe.int/sites/eng/pages/search.aspx?i=001-89823" TargetMode="External"/><Relationship Id="rId2703" Type="http://schemas.openxmlformats.org/officeDocument/2006/relationships/hyperlink" Target="http://hudoc.echr.coe.int/eng?i=001-172327" TargetMode="External"/><Relationship Id="rId1512" Type="http://schemas.openxmlformats.org/officeDocument/2006/relationships/hyperlink" Target="http://hudoc.echr.coe.int/eng?i=001-66758" TargetMode="External"/><Relationship Id="rId1817" Type="http://schemas.openxmlformats.org/officeDocument/2006/relationships/hyperlink" Target="http://hudoc.echr.coe.int/eng?i=001-103660" TargetMode="External"/><Relationship Id="rId11" Type="http://schemas.openxmlformats.org/officeDocument/2006/relationships/hyperlink" Target="http://www.echr.coe.int/Documents/Translations_pending_ENG.pdf" TargetMode="External"/><Relationship Id="rId398" Type="http://schemas.openxmlformats.org/officeDocument/2006/relationships/hyperlink" Target="http://hudoc.echr.coe.int/eng?i=001-2897" TargetMode="External"/><Relationship Id="rId2079" Type="http://schemas.openxmlformats.org/officeDocument/2006/relationships/hyperlink" Target="http://hudoc.echr.coe.int/eng?i=001-23653" TargetMode="External"/><Relationship Id="rId160" Type="http://schemas.openxmlformats.org/officeDocument/2006/relationships/hyperlink" Target="http://hudoc.echr.coe.int/eng?i=001-169649" TargetMode="External"/><Relationship Id="rId2286" Type="http://schemas.openxmlformats.org/officeDocument/2006/relationships/hyperlink" Target="http://hudoc.echr.coe.int/eng?i=001-83951" TargetMode="External"/><Relationship Id="rId2493" Type="http://schemas.openxmlformats.org/officeDocument/2006/relationships/hyperlink" Target="https://hudoc.echr.coe.int/eng?i=001-213867" TargetMode="External"/><Relationship Id="rId258" Type="http://schemas.openxmlformats.org/officeDocument/2006/relationships/hyperlink" Target="http://hudoc.echr.coe.int/eng?i=001-99015" TargetMode="External"/><Relationship Id="rId465" Type="http://schemas.openxmlformats.org/officeDocument/2006/relationships/hyperlink" Target="http://hudoc.echr.coe.int/eng?i=001-97575" TargetMode="External"/><Relationship Id="rId672" Type="http://schemas.openxmlformats.org/officeDocument/2006/relationships/hyperlink" Target="http://hudoc.echr.coe.int/eng?i=001-196423" TargetMode="External"/><Relationship Id="rId1095" Type="http://schemas.openxmlformats.org/officeDocument/2006/relationships/hyperlink" Target="http://hudoc.echr.coe.int/eng?i=001-4689" TargetMode="External"/><Relationship Id="rId2146" Type="http://schemas.openxmlformats.org/officeDocument/2006/relationships/hyperlink" Target="https://hudoc.echr.coe.int/eng?i=001-215176" TargetMode="External"/><Relationship Id="rId2353" Type="http://schemas.openxmlformats.org/officeDocument/2006/relationships/hyperlink" Target="http://hudoc.echr.coe.int/eng?i=001-168816" TargetMode="External"/><Relationship Id="rId2560" Type="http://schemas.openxmlformats.org/officeDocument/2006/relationships/hyperlink" Target="http://hudoc.echr.coe.int/eng?i=001-2026" TargetMode="External"/><Relationship Id="rId2798" Type="http://schemas.openxmlformats.org/officeDocument/2006/relationships/hyperlink" Target="http://hudoc.echr.coe.int/eng?i=001-118575" TargetMode="External"/><Relationship Id="rId118" Type="http://schemas.openxmlformats.org/officeDocument/2006/relationships/hyperlink" Target="http://hudoc.echr.coe.int/eng?i=001-200344" TargetMode="External"/><Relationship Id="rId325" Type="http://schemas.openxmlformats.org/officeDocument/2006/relationships/hyperlink" Target="https://hudoc.echr.coe.int/eng?i=001-216677" TargetMode="External"/><Relationship Id="rId532" Type="http://schemas.openxmlformats.org/officeDocument/2006/relationships/hyperlink" Target="http://hudoc.echr.coe.int/eng?i=001-83256" TargetMode="External"/><Relationship Id="rId977" Type="http://schemas.openxmlformats.org/officeDocument/2006/relationships/hyperlink" Target="http://hudoc.echr.coe.int/eng?i=001-111957" TargetMode="External"/><Relationship Id="rId1162" Type="http://schemas.openxmlformats.org/officeDocument/2006/relationships/hyperlink" Target="http://hudoc.echr.coe.int/eng?i=001-58842" TargetMode="External"/><Relationship Id="rId2006" Type="http://schemas.openxmlformats.org/officeDocument/2006/relationships/hyperlink" Target="http://hudoc.echr.coe.int/eng?i=001-186435" TargetMode="External"/><Relationship Id="rId2213" Type="http://schemas.openxmlformats.org/officeDocument/2006/relationships/hyperlink" Target="http://hudoc.echr.coe.int/eng?i=001-32472" TargetMode="External"/><Relationship Id="rId2420" Type="http://schemas.openxmlformats.org/officeDocument/2006/relationships/hyperlink" Target="http://hudoc.echr.coe.int/eng?i=001-155819" TargetMode="External"/><Relationship Id="rId2658" Type="http://schemas.openxmlformats.org/officeDocument/2006/relationships/hyperlink" Target="http://hudoc.echr.coe.int/eng?i=001-107235" TargetMode="External"/><Relationship Id="rId837" Type="http://schemas.openxmlformats.org/officeDocument/2006/relationships/hyperlink" Target="http://hudoc.echr.coe.int/eng?i=001-152683" TargetMode="External"/><Relationship Id="rId1022" Type="http://schemas.openxmlformats.org/officeDocument/2006/relationships/hyperlink" Target="http://hudoc.echr.coe.int/eng?i=001-187507" TargetMode="External"/><Relationship Id="rId1467" Type="http://schemas.openxmlformats.org/officeDocument/2006/relationships/hyperlink" Target="http://hudoc.echr.coe.int/eng?i=001-96491" TargetMode="External"/><Relationship Id="rId1674" Type="http://schemas.openxmlformats.org/officeDocument/2006/relationships/hyperlink" Target="http://hudoc.echr.coe.int/eng?i=001-22710" TargetMode="External"/><Relationship Id="rId1881" Type="http://schemas.openxmlformats.org/officeDocument/2006/relationships/hyperlink" Target="http://hudoc.echr.coe.int/eng?i=001-201341" TargetMode="External"/><Relationship Id="rId2518" Type="http://schemas.openxmlformats.org/officeDocument/2006/relationships/hyperlink" Target="http://hudoc.echr.coe.int/eng?i=001-22702" TargetMode="External"/><Relationship Id="rId2725" Type="http://schemas.openxmlformats.org/officeDocument/2006/relationships/hyperlink" Target="http://hudoc.echr.coe.int/eng?i=001-163666" TargetMode="External"/><Relationship Id="rId904" Type="http://schemas.openxmlformats.org/officeDocument/2006/relationships/hyperlink" Target="http://hudoc.echr.coe.int/eng?i=001-178753" TargetMode="External"/><Relationship Id="rId1327" Type="http://schemas.openxmlformats.org/officeDocument/2006/relationships/hyperlink" Target="http://hudoc.echr.coe.int/eng?i=001-146501" TargetMode="External"/><Relationship Id="rId1534" Type="http://schemas.openxmlformats.org/officeDocument/2006/relationships/hyperlink" Target="http://hudoc.echr.coe.int/eng?i=001-94162" TargetMode="External"/><Relationship Id="rId1741" Type="http://schemas.openxmlformats.org/officeDocument/2006/relationships/hyperlink" Target="http://hudoc.echr.coe.int/eng?i=001-104698" TargetMode="External"/><Relationship Id="rId1979" Type="http://schemas.openxmlformats.org/officeDocument/2006/relationships/hyperlink" Target="http://hudoc.echr.coe.int/eng?i=001-110301" TargetMode="External"/><Relationship Id="rId33" Type="http://schemas.openxmlformats.org/officeDocument/2006/relationships/hyperlink" Target="http://www.echr.coe.int/Documents/2012_Brighton_FinalDeclaration_ENG.pdf" TargetMode="External"/><Relationship Id="rId1601" Type="http://schemas.openxmlformats.org/officeDocument/2006/relationships/hyperlink" Target="http://hudoc.echr.coe.int/eng?i=001-182448" TargetMode="External"/><Relationship Id="rId1839" Type="http://schemas.openxmlformats.org/officeDocument/2006/relationships/hyperlink" Target="http://hudoc.echr.coe.int/eng?i=001-117742" TargetMode="External"/><Relationship Id="rId182" Type="http://schemas.openxmlformats.org/officeDocument/2006/relationships/hyperlink" Target="http://hudoc.echr.coe.int/eng?i=001-100511" TargetMode="External"/><Relationship Id="rId1906" Type="http://schemas.openxmlformats.org/officeDocument/2006/relationships/hyperlink" Target="http://hudoc.echr.coe.int/eng?i=001-192926" TargetMode="External"/><Relationship Id="rId487" Type="http://schemas.openxmlformats.org/officeDocument/2006/relationships/hyperlink" Target="http://hudoc.echr.coe.int/eng?i=001-127684" TargetMode="External"/><Relationship Id="rId694" Type="http://schemas.openxmlformats.org/officeDocument/2006/relationships/hyperlink" Target="http://hudoc.echr.coe.int/eng?i=001-207622" TargetMode="External"/><Relationship Id="rId2070" Type="http://schemas.openxmlformats.org/officeDocument/2006/relationships/hyperlink" Target="http://hudoc.echr.coe.int/eng?i=001-191649" TargetMode="External"/><Relationship Id="rId2168" Type="http://schemas.openxmlformats.org/officeDocument/2006/relationships/hyperlink" Target="http://hudoc.echr.coe.int/eng?i=001-76830" TargetMode="External"/><Relationship Id="rId2375" Type="http://schemas.openxmlformats.org/officeDocument/2006/relationships/hyperlink" Target="http://hudoc.echr.coe.int/eng?i=001-23114" TargetMode="External"/><Relationship Id="rId347" Type="http://schemas.openxmlformats.org/officeDocument/2006/relationships/hyperlink" Target="http://hudoc.echr.coe.int/eng?i=001-79022" TargetMode="External"/><Relationship Id="rId999" Type="http://schemas.openxmlformats.org/officeDocument/2006/relationships/hyperlink" Target="http://www.echr.coe.int/Documents/PD_institution_proceedings_ENG.pdf" TargetMode="External"/><Relationship Id="rId1184" Type="http://schemas.openxmlformats.org/officeDocument/2006/relationships/hyperlink" Target="https://hudoc.echr.coe.int/eng%23%7b%22sort%22:%5b%22EMPTY%22%5d,%22appno%22:%5b%2273313/17%22%5d,%22documentcollectionid2%22:%5b%22GRANDCHAMBER%22,%22CHAMBER%22,%22DECISIONS%22%5d,%22itemid%22:%5b%22001-207467%22%5d%7d" TargetMode="External"/><Relationship Id="rId2028" Type="http://schemas.openxmlformats.org/officeDocument/2006/relationships/hyperlink" Target="http://hudoc.echr.coe.int/eng?i=001-145790" TargetMode="External"/><Relationship Id="rId2582" Type="http://schemas.openxmlformats.org/officeDocument/2006/relationships/hyperlink" Target="http://hudoc.echr.coe.int/eng?i=001-139908" TargetMode="External"/><Relationship Id="rId554" Type="http://schemas.openxmlformats.org/officeDocument/2006/relationships/hyperlink" Target="http://hudoc.echr.coe.int/eng?i=001-87836" TargetMode="External"/><Relationship Id="rId761" Type="http://schemas.openxmlformats.org/officeDocument/2006/relationships/hyperlink" Target="http://hudoc.echr.coe.int/eng?i=001-103948" TargetMode="External"/><Relationship Id="rId859" Type="http://schemas.openxmlformats.org/officeDocument/2006/relationships/hyperlink" Target="http://hudoc.echr.coe.int/eng?i=001-72925" TargetMode="External"/><Relationship Id="rId1391" Type="http://schemas.openxmlformats.org/officeDocument/2006/relationships/hyperlink" Target="http://hudoc.echr.coe.int/eng?i=001-202468" TargetMode="External"/><Relationship Id="rId1489" Type="http://schemas.openxmlformats.org/officeDocument/2006/relationships/hyperlink" Target="http://hudoc.echr.coe.int/eng?i=001-202468" TargetMode="External"/><Relationship Id="rId1696" Type="http://schemas.openxmlformats.org/officeDocument/2006/relationships/hyperlink" Target="http://hudoc.echr.coe.int/eng?i=001-71728" TargetMode="External"/><Relationship Id="rId2235" Type="http://schemas.openxmlformats.org/officeDocument/2006/relationships/hyperlink" Target="http://hudoc.echr.coe.int/eng?i=001-109098" TargetMode="External"/><Relationship Id="rId2442" Type="http://schemas.openxmlformats.org/officeDocument/2006/relationships/hyperlink" Target="http://hudoc.echr.coe.int/eng?i=001-71728" TargetMode="External"/><Relationship Id="rId207" Type="http://schemas.openxmlformats.org/officeDocument/2006/relationships/hyperlink" Target="http://hudoc.echr.coe.int/eng?i=001-193251" TargetMode="External"/><Relationship Id="rId414" Type="http://schemas.openxmlformats.org/officeDocument/2006/relationships/hyperlink" Target="http://hudoc.echr.coe.int/eng?i=001-165417" TargetMode="External"/><Relationship Id="rId621" Type="http://schemas.openxmlformats.org/officeDocument/2006/relationships/hyperlink" Target="http://hudoc.echr.coe.int/eng?i=001-91720" TargetMode="External"/><Relationship Id="rId1044" Type="http://schemas.openxmlformats.org/officeDocument/2006/relationships/hyperlink" Target="https://hudoc.echr.coe.int/eng%23%7b%22docname%22:%5b%22samadov%22%5d,%22documentcollectionid2%22:%5b%22GRANDCHAMBER%22,%22CHAMBER%22,%22DECISIONS%22%5d,%22itemid%22:%5b%22001-208277%22%5d%7d" TargetMode="External"/><Relationship Id="rId1251" Type="http://schemas.openxmlformats.org/officeDocument/2006/relationships/hyperlink" Target="http://hudoc.echr.coe.int/eng?i=001-97268" TargetMode="External"/><Relationship Id="rId1349" Type="http://schemas.openxmlformats.org/officeDocument/2006/relationships/hyperlink" Target="http://hudoc.echr.coe.int/eng?i=001-207757" TargetMode="External"/><Relationship Id="rId2302" Type="http://schemas.openxmlformats.org/officeDocument/2006/relationships/hyperlink" Target="http://hudoc.echr.coe.int/eng?i=001-23117" TargetMode="External"/><Relationship Id="rId2747" Type="http://schemas.openxmlformats.org/officeDocument/2006/relationships/hyperlink" Target="http://hudoc.echr.coe.int/eng?i=001-58289" TargetMode="External"/><Relationship Id="rId719" Type="http://schemas.openxmlformats.org/officeDocument/2006/relationships/hyperlink" Target="http://hudoc.echr.coe.int/eng?i=001-162831" TargetMode="External"/><Relationship Id="rId926" Type="http://schemas.openxmlformats.org/officeDocument/2006/relationships/hyperlink" Target="http://hudoc.echr.coe.int/eng?i=001-72126" TargetMode="External"/><Relationship Id="rId1111" Type="http://schemas.openxmlformats.org/officeDocument/2006/relationships/hyperlink" Target="https://hudoc.echr.coe.int/eng?i=001-211794" TargetMode="External"/><Relationship Id="rId1556" Type="http://schemas.openxmlformats.org/officeDocument/2006/relationships/hyperlink" Target="http://hudoc.echr.coe.int/eng?i=001-77385" TargetMode="External"/><Relationship Id="rId1763" Type="http://schemas.openxmlformats.org/officeDocument/2006/relationships/hyperlink" Target="https://hudoc.echr.coe.int/eng%23%7b%22itemid%22:%5b%22001-206352%22%5d%7d" TargetMode="External"/><Relationship Id="rId1970" Type="http://schemas.openxmlformats.org/officeDocument/2006/relationships/hyperlink" Target="http://hudoc.echr.coe.int/eng?i=001-89014" TargetMode="External"/><Relationship Id="rId2607" Type="http://schemas.openxmlformats.org/officeDocument/2006/relationships/hyperlink" Target="http://hudoc.echr.coe.int/eng?i=001-181591" TargetMode="External"/><Relationship Id="rId2814" Type="http://schemas.openxmlformats.org/officeDocument/2006/relationships/hyperlink" Target="http://hudoc.echr.coe.int/eng?i=001-58912" TargetMode="External"/><Relationship Id="rId55" Type="http://schemas.openxmlformats.org/officeDocument/2006/relationships/hyperlink" Target="http://hudoc.echr.coe.int/eng?i=001-205862" TargetMode="External"/><Relationship Id="rId1209" Type="http://schemas.openxmlformats.org/officeDocument/2006/relationships/hyperlink" Target="http://hudoc.echr.coe.int/eng?i=001-182448" TargetMode="External"/><Relationship Id="rId1416" Type="http://schemas.openxmlformats.org/officeDocument/2006/relationships/hyperlink" Target="http://hudoc.echr.coe.int/eng?i=001-186763" TargetMode="External"/><Relationship Id="rId1623" Type="http://schemas.openxmlformats.org/officeDocument/2006/relationships/hyperlink" Target="http://hudoc.echr.coe.int/eng?i=001-163820" TargetMode="External"/><Relationship Id="rId1830" Type="http://schemas.openxmlformats.org/officeDocument/2006/relationships/hyperlink" Target="http://hudoc.echr.coe.int/sites/eng?i=001-126599" TargetMode="External"/><Relationship Id="rId1928" Type="http://schemas.openxmlformats.org/officeDocument/2006/relationships/hyperlink" Target="http://hudoc.echr.coe.int/eng?i=001-194065" TargetMode="External"/><Relationship Id="rId2092" Type="http://schemas.openxmlformats.org/officeDocument/2006/relationships/hyperlink" Target="http://hudoc.echr.coe.int/eng?i=001-61123" TargetMode="External"/><Relationship Id="rId271" Type="http://schemas.openxmlformats.org/officeDocument/2006/relationships/hyperlink" Target="http://hudoc.echr.coe.int/eng?i=001-111399" TargetMode="External"/><Relationship Id="rId2397" Type="http://schemas.openxmlformats.org/officeDocument/2006/relationships/hyperlink" Target="https://hudoc.echr.coe.int/eng?i=001-212688" TargetMode="External"/><Relationship Id="rId131" Type="http://schemas.openxmlformats.org/officeDocument/2006/relationships/hyperlink" Target="http://hudoc.echr.coe.int/eng?i=001-195527" TargetMode="External"/><Relationship Id="rId369" Type="http://schemas.openxmlformats.org/officeDocument/2006/relationships/hyperlink" Target="http://hudoc.echr.coe.int/eng?i=001-22633" TargetMode="External"/><Relationship Id="rId576" Type="http://schemas.openxmlformats.org/officeDocument/2006/relationships/hyperlink" Target="http://hudoc.echr.coe.int/eng?i=001-58906" TargetMode="External"/><Relationship Id="rId783" Type="http://schemas.openxmlformats.org/officeDocument/2006/relationships/hyperlink" Target="http://hudoc.echr.coe.int/eng?i=001-142199" TargetMode="External"/><Relationship Id="rId990" Type="http://schemas.openxmlformats.org/officeDocument/2006/relationships/hyperlink" Target="http://hudoc.echr.coe.int/eng?i=001-101263" TargetMode="External"/><Relationship Id="rId2257" Type="http://schemas.openxmlformats.org/officeDocument/2006/relationships/hyperlink" Target="http://hudoc.echr.coe.int/eng?i=001-102755" TargetMode="External"/><Relationship Id="rId2464" Type="http://schemas.openxmlformats.org/officeDocument/2006/relationships/hyperlink" Target="http://hudoc.echr.coe.int/eng?i=001-87032" TargetMode="External"/><Relationship Id="rId2671" Type="http://schemas.openxmlformats.org/officeDocument/2006/relationships/hyperlink" Target="http://hudoc.echr.coe.int/eng?i=001-72629" TargetMode="External"/><Relationship Id="rId229" Type="http://schemas.openxmlformats.org/officeDocument/2006/relationships/hyperlink" Target="https://hudoc.echr.coe.int/eng?i=001-213401" TargetMode="External"/><Relationship Id="rId436" Type="http://schemas.openxmlformats.org/officeDocument/2006/relationships/hyperlink" Target="http://hudoc.echr.coe.int/eng?i=001-73294" TargetMode="External"/><Relationship Id="rId643" Type="http://schemas.openxmlformats.org/officeDocument/2006/relationships/hyperlink" Target="http://hudoc.echr.coe.int/eng?i=001-106535" TargetMode="External"/><Relationship Id="rId1066" Type="http://schemas.openxmlformats.org/officeDocument/2006/relationships/hyperlink" Target="http://hudoc.echr.coe.int/eng?i=001-79053" TargetMode="External"/><Relationship Id="rId1273" Type="http://schemas.openxmlformats.org/officeDocument/2006/relationships/hyperlink" Target="http://hudoc.echr.coe.int/eng?i=001-98220" TargetMode="External"/><Relationship Id="rId1480" Type="http://schemas.openxmlformats.org/officeDocument/2006/relationships/hyperlink" Target="http://hudoc.echr.coe.int/eng?i=001-189781" TargetMode="External"/><Relationship Id="rId2117" Type="http://schemas.openxmlformats.org/officeDocument/2006/relationships/hyperlink" Target="http://hudoc.echr.coe.int/eng?i=001-79204" TargetMode="External"/><Relationship Id="rId2324" Type="http://schemas.openxmlformats.org/officeDocument/2006/relationships/hyperlink" Target="http://hudoc.echr.coe.int/eng?i=001-92500" TargetMode="External"/><Relationship Id="rId2769" Type="http://schemas.openxmlformats.org/officeDocument/2006/relationships/hyperlink" Target="http://hudoc.echr.coe.int/sites/eng?i=001-83421" TargetMode="External"/><Relationship Id="rId850" Type="http://schemas.openxmlformats.org/officeDocument/2006/relationships/hyperlink" Target="http://hudoc.echr.coe.int/eng?i=001-86871" TargetMode="External"/><Relationship Id="rId948" Type="http://schemas.openxmlformats.org/officeDocument/2006/relationships/hyperlink" Target="http://hudoc.echr.coe.int/eng?i=001-148072" TargetMode="External"/><Relationship Id="rId1133" Type="http://schemas.openxmlformats.org/officeDocument/2006/relationships/hyperlink" Target="http://hudoc.echr.coe.int/eng?i=001-103216" TargetMode="External"/><Relationship Id="rId1578" Type="http://schemas.openxmlformats.org/officeDocument/2006/relationships/hyperlink" Target="http://hudoc.echr.coe.int/eng?i=001-92142" TargetMode="External"/><Relationship Id="rId1785" Type="http://schemas.openxmlformats.org/officeDocument/2006/relationships/hyperlink" Target="http://hudoc.echr.coe.int/eng?i=001-105301" TargetMode="External"/><Relationship Id="rId1992" Type="http://schemas.openxmlformats.org/officeDocument/2006/relationships/hyperlink" Target="http://hudoc.echr.coe.int/eng?i=001-22092" TargetMode="External"/><Relationship Id="rId2531" Type="http://schemas.openxmlformats.org/officeDocument/2006/relationships/hyperlink" Target="http://hudoc.echr.coe.int/eng?i=001-78585" TargetMode="External"/><Relationship Id="rId2629" Type="http://schemas.openxmlformats.org/officeDocument/2006/relationships/hyperlink" Target="http://hudoc.echr.coe.int/eng?i=001-194445" TargetMode="External"/><Relationship Id="rId2836" Type="http://schemas.openxmlformats.org/officeDocument/2006/relationships/hyperlink" Target="http://hudoc.echr.coe.int/sites/eng?i=001-121561" TargetMode="External"/><Relationship Id="rId77" Type="http://schemas.openxmlformats.org/officeDocument/2006/relationships/hyperlink" Target="https://hudoc.echr.coe.int/eng%23%7b%22documentcollectionid2%22:%5b%22GRANDCHAMBER%22,%22DECGRANDCHAMBER%22%5d,%22itemid%22:%5b%22001-206897%22%5d%7d" TargetMode="External"/><Relationship Id="rId503" Type="http://schemas.openxmlformats.org/officeDocument/2006/relationships/hyperlink" Target="http://hudoc.echr.coe.int/eng?i=001-68790" TargetMode="External"/><Relationship Id="rId710" Type="http://schemas.openxmlformats.org/officeDocument/2006/relationships/hyperlink" Target="http://hudoc.echr.coe.int/eng?i=001-142199" TargetMode="External"/><Relationship Id="rId808" Type="http://schemas.openxmlformats.org/officeDocument/2006/relationships/hyperlink" Target="http://hudoc.echr.coe.int/eng?i=001-194307" TargetMode="External"/><Relationship Id="rId1340" Type="http://schemas.openxmlformats.org/officeDocument/2006/relationships/hyperlink" Target="http://hudoc.echr.coe.int/eng?i=001-105606" TargetMode="External"/><Relationship Id="rId1438" Type="http://schemas.openxmlformats.org/officeDocument/2006/relationships/hyperlink" Target="http://hudoc.echr.coe.int/eng?i=001-115377" TargetMode="External"/><Relationship Id="rId1645" Type="http://schemas.openxmlformats.org/officeDocument/2006/relationships/hyperlink" Target="http://hudoc.echr.coe.int/eng?i=001-93265" TargetMode="External"/><Relationship Id="rId1200" Type="http://schemas.openxmlformats.org/officeDocument/2006/relationships/hyperlink" Target="http://hudoc.echr.coe.int/eng?i=001-72886" TargetMode="External"/><Relationship Id="rId1852" Type="http://schemas.openxmlformats.org/officeDocument/2006/relationships/hyperlink" Target="http://hudoc.echr.coe.int/eng?i=001-147789" TargetMode="External"/><Relationship Id="rId1505" Type="http://schemas.openxmlformats.org/officeDocument/2006/relationships/hyperlink" Target="http://hudoc.echr.coe.int/eng?i=001-57587" TargetMode="External"/><Relationship Id="rId1712" Type="http://schemas.openxmlformats.org/officeDocument/2006/relationships/hyperlink" Target="http://hudoc.echr.coe.int/eng?i=001-112165" TargetMode="External"/><Relationship Id="rId293" Type="http://schemas.openxmlformats.org/officeDocument/2006/relationships/hyperlink" Target="http://hudoc.echr.coe.int/eng?i=001-68518" TargetMode="External"/><Relationship Id="rId2181" Type="http://schemas.openxmlformats.org/officeDocument/2006/relationships/hyperlink" Target="http://hudoc.echr.coe.int/eng?i=001-72492" TargetMode="External"/><Relationship Id="rId153" Type="http://schemas.openxmlformats.org/officeDocument/2006/relationships/hyperlink" Target="http://hudoc.echr.coe.int/eng?i=001-199287" TargetMode="External"/><Relationship Id="rId360" Type="http://schemas.openxmlformats.org/officeDocument/2006/relationships/hyperlink" Target="http://hudoc.echr.coe.int/eng?i=001-187508" TargetMode="External"/><Relationship Id="rId598" Type="http://schemas.openxmlformats.org/officeDocument/2006/relationships/hyperlink" Target="https://hudoc.echr.coe.int/eng?i=001-93906" TargetMode="External"/><Relationship Id="rId2041" Type="http://schemas.openxmlformats.org/officeDocument/2006/relationships/hyperlink" Target="http://hudoc.echr.coe.int/eng?i=001-187508" TargetMode="External"/><Relationship Id="rId2279" Type="http://schemas.openxmlformats.org/officeDocument/2006/relationships/hyperlink" Target="http://hudoc.echr.coe.int/eng?i=001-77932" TargetMode="External"/><Relationship Id="rId2486" Type="http://schemas.openxmlformats.org/officeDocument/2006/relationships/hyperlink" Target="http://hudoc.echr.coe.int/eng?i=001-175646" TargetMode="External"/><Relationship Id="rId2693" Type="http://schemas.openxmlformats.org/officeDocument/2006/relationships/hyperlink" Target="http://hudoc.echr.coe.int/eng?i=001-145780" TargetMode="External"/><Relationship Id="rId220" Type="http://schemas.openxmlformats.org/officeDocument/2006/relationships/hyperlink" Target="http://hudoc.echr.coe.int/eng?i=001-200344" TargetMode="External"/><Relationship Id="rId458" Type="http://schemas.openxmlformats.org/officeDocument/2006/relationships/hyperlink" Target="http://hudoc.echr.coe.int/eng?i=001-200315" TargetMode="External"/><Relationship Id="rId665" Type="http://schemas.openxmlformats.org/officeDocument/2006/relationships/hyperlink" Target="http://hudoc.echr.coe.int/eng?i=001-200866" TargetMode="External"/><Relationship Id="rId872" Type="http://schemas.openxmlformats.org/officeDocument/2006/relationships/hyperlink" Target="http://hudoc.echr.coe.int/eng?i=001-147375" TargetMode="External"/><Relationship Id="rId1088" Type="http://schemas.openxmlformats.org/officeDocument/2006/relationships/hyperlink" Target="http://hudoc.echr.coe.int/eng?i=001-162688" TargetMode="External"/><Relationship Id="rId1295" Type="http://schemas.openxmlformats.org/officeDocument/2006/relationships/hyperlink" Target="http://hudoc.echr.coe.int/eng?i=001-61886" TargetMode="External"/><Relationship Id="rId2139" Type="http://schemas.openxmlformats.org/officeDocument/2006/relationships/hyperlink" Target="http://hudoc.echr.coe.int/eng?i=001-57473" TargetMode="External"/><Relationship Id="rId2346" Type="http://schemas.openxmlformats.org/officeDocument/2006/relationships/hyperlink" Target="http://hudoc.echr.coe.int/eng?i=001-68419" TargetMode="External"/><Relationship Id="rId2553" Type="http://schemas.openxmlformats.org/officeDocument/2006/relationships/hyperlink" Target="http://hudoc.echr.coe.int/eng?i=001-58291" TargetMode="External"/><Relationship Id="rId2760" Type="http://schemas.openxmlformats.org/officeDocument/2006/relationships/hyperlink" Target="http://hudoc.echr.coe.int/eng?i=001-69616" TargetMode="External"/><Relationship Id="rId15" Type="http://schemas.openxmlformats.org/officeDocument/2006/relationships/footer" Target="footer1.xml"/><Relationship Id="rId318" Type="http://schemas.openxmlformats.org/officeDocument/2006/relationships/hyperlink" Target="http://hudoc.echr.coe.int/eng?i=001-58810" TargetMode="External"/><Relationship Id="rId525" Type="http://schemas.openxmlformats.org/officeDocument/2006/relationships/hyperlink" Target="http://hudoc.echr.coe.int/eng?i=001-83256" TargetMode="External"/><Relationship Id="rId732" Type="http://schemas.openxmlformats.org/officeDocument/2006/relationships/hyperlink" Target="http://hudoc.echr.coe.int/eng?i=001-45118" TargetMode="External"/><Relationship Id="rId1155" Type="http://schemas.openxmlformats.org/officeDocument/2006/relationships/hyperlink" Target="http://hudoc.echr.coe.int/eng?i=001-194448" TargetMode="External"/><Relationship Id="rId1362" Type="http://schemas.openxmlformats.org/officeDocument/2006/relationships/hyperlink" Target="http://hudoc.echr.coe.int/eng?i=001-183205" TargetMode="External"/><Relationship Id="rId2192" Type="http://schemas.openxmlformats.org/officeDocument/2006/relationships/hyperlink" Target="http://hudoc.echr.coe.int/eng?i=001-95230" TargetMode="External"/><Relationship Id="rId2206" Type="http://schemas.openxmlformats.org/officeDocument/2006/relationships/hyperlink" Target="http://hudoc.echr.coe.int/eng?i=001-207757" TargetMode="External"/><Relationship Id="rId2413" Type="http://schemas.openxmlformats.org/officeDocument/2006/relationships/hyperlink" Target="http://hudoc.echr.coe.int/eng?i=001-1390" TargetMode="External"/><Relationship Id="rId2620" Type="http://schemas.openxmlformats.org/officeDocument/2006/relationships/hyperlink" Target="http://hudoc.echr.coe.int/eng?i=001-75463" TargetMode="External"/><Relationship Id="rId2858" Type="http://schemas.openxmlformats.org/officeDocument/2006/relationships/theme" Target="theme/theme1.xml"/><Relationship Id="rId99" Type="http://schemas.openxmlformats.org/officeDocument/2006/relationships/hyperlink" Target="http://hudoc.echr.coe.int/eng?i=001-175121" TargetMode="External"/><Relationship Id="rId164" Type="http://schemas.openxmlformats.org/officeDocument/2006/relationships/hyperlink" Target="http://hudoc.echr.coe.int/eng?i=001-181178" TargetMode="External"/><Relationship Id="rId371" Type="http://schemas.openxmlformats.org/officeDocument/2006/relationships/hyperlink" Target="http://hudoc.echr.coe.int/eng?i=001-159199" TargetMode="External"/><Relationship Id="rId1015" Type="http://schemas.openxmlformats.org/officeDocument/2006/relationships/hyperlink" Target="http://hudoc.echr.coe.int/eng?i=001-194445" TargetMode="External"/><Relationship Id="rId1222" Type="http://schemas.openxmlformats.org/officeDocument/2006/relationships/hyperlink" Target="http://hudoc.echr.coe.int/eng?i=001-3593" TargetMode="External"/><Relationship Id="rId1667" Type="http://schemas.openxmlformats.org/officeDocument/2006/relationships/hyperlink" Target="https://www.echr.coe.int/Documents/Guide_Art_14_Art_1_Protocol_12_ENG.pdf" TargetMode="External"/><Relationship Id="rId1874" Type="http://schemas.openxmlformats.org/officeDocument/2006/relationships/hyperlink" Target="http://hudoc.echr.coe.int/eng?i=001-166964" TargetMode="External"/><Relationship Id="rId2052" Type="http://schemas.openxmlformats.org/officeDocument/2006/relationships/hyperlink" Target="http://hudoc.echr.coe.int/eng?i=001-58068" TargetMode="External"/><Relationship Id="rId2497" Type="http://schemas.openxmlformats.org/officeDocument/2006/relationships/hyperlink" Target="http://hudoc.echr.coe.int/eng?i=001-186828" TargetMode="External"/><Relationship Id="rId2718" Type="http://schemas.openxmlformats.org/officeDocument/2006/relationships/hyperlink" Target="http://hudoc.echr.coe.int/eng?i=001-3593" TargetMode="External"/><Relationship Id="rId469" Type="http://schemas.openxmlformats.org/officeDocument/2006/relationships/hyperlink" Target="https://hudoc.echr.coe.int/eng?i=001-215359" TargetMode="External"/><Relationship Id="rId676" Type="http://schemas.openxmlformats.org/officeDocument/2006/relationships/hyperlink" Target="http://hudoc.echr.coe.int/eng?i=001-178343" TargetMode="External"/><Relationship Id="rId883" Type="http://schemas.openxmlformats.org/officeDocument/2006/relationships/hyperlink" Target="http://hudoc.echr.coe.int/fre?i=001-202475" TargetMode="External"/><Relationship Id="rId1099" Type="http://schemas.openxmlformats.org/officeDocument/2006/relationships/hyperlink" Target="http://hudoc.echr.coe.int/eng?i=001-105438" TargetMode="External"/><Relationship Id="rId1527" Type="http://schemas.openxmlformats.org/officeDocument/2006/relationships/hyperlink" Target="http://www.conventions.coe.int/Treaty/en/Treaties/Html/155.htm" TargetMode="External"/><Relationship Id="rId1734" Type="http://schemas.openxmlformats.org/officeDocument/2006/relationships/hyperlink" Target="http://hudoc.echr.coe.int/eng?i=001-126597" TargetMode="External"/><Relationship Id="rId1941" Type="http://schemas.openxmlformats.org/officeDocument/2006/relationships/hyperlink" Target="http://hudoc.echr.coe.int/eng?i=001-90682" TargetMode="External"/><Relationship Id="rId2357" Type="http://schemas.openxmlformats.org/officeDocument/2006/relationships/hyperlink" Target="http://hudoc.echr.coe.int/eng?i=001-68518" TargetMode="External"/><Relationship Id="rId2564" Type="http://schemas.openxmlformats.org/officeDocument/2006/relationships/hyperlink" Target="https://hudoc.echr.coe.int/eng?i=001-201647" TargetMode="External"/><Relationship Id="rId26" Type="http://schemas.openxmlformats.org/officeDocument/2006/relationships/hyperlink" Target="http://hudoc.echr.coe.int/" TargetMode="External"/><Relationship Id="rId231" Type="http://schemas.openxmlformats.org/officeDocument/2006/relationships/hyperlink" Target="http://hudoc.echr.coe.int/eng?i=001-23238" TargetMode="External"/><Relationship Id="rId329" Type="http://schemas.openxmlformats.org/officeDocument/2006/relationships/hyperlink" Target="http://hudoc.echr.coe.int/eng?i=001-91222" TargetMode="External"/><Relationship Id="rId536" Type="http://schemas.openxmlformats.org/officeDocument/2006/relationships/hyperlink" Target="http://hudoc.echr.coe.int/eng?i=001-98885" TargetMode="External"/><Relationship Id="rId1166" Type="http://schemas.openxmlformats.org/officeDocument/2006/relationships/hyperlink" Target="http://hudoc.echr.coe.int/eng?i=001-89014" TargetMode="External"/><Relationship Id="rId1373" Type="http://schemas.openxmlformats.org/officeDocument/2006/relationships/hyperlink" Target="http://hudoc.echr.coe.int/eng?i=001-76581" TargetMode="External"/><Relationship Id="rId2217" Type="http://schemas.openxmlformats.org/officeDocument/2006/relationships/hyperlink" Target="http://hudoc.echr.coe.int/eng?i=001-60555" TargetMode="External"/><Relationship Id="rId2771" Type="http://schemas.openxmlformats.org/officeDocument/2006/relationships/hyperlink" Target="http://hudoc.echr.coe.int/sites/eng?i=001-45086" TargetMode="External"/><Relationship Id="rId175" Type="http://schemas.openxmlformats.org/officeDocument/2006/relationships/hyperlink" Target="http://hudoc.echr.coe.int/eng?i=001-95031" TargetMode="External"/><Relationship Id="rId743" Type="http://schemas.openxmlformats.org/officeDocument/2006/relationships/hyperlink" Target="http://hudoc.echr.coe.int/eng?i=001-161734" TargetMode="External"/><Relationship Id="rId950" Type="http://schemas.openxmlformats.org/officeDocument/2006/relationships/hyperlink" Target="http://hudoc.echr.coe.int/eng?i=001-44237" TargetMode="External"/><Relationship Id="rId1026" Type="http://schemas.openxmlformats.org/officeDocument/2006/relationships/hyperlink" Target="http://hudoc.echr.coe.int/eng?i=001-68263" TargetMode="External"/><Relationship Id="rId1580" Type="http://schemas.openxmlformats.org/officeDocument/2006/relationships/hyperlink" Target="http://hudoc.echr.coe.int/eng?i=001-127684" TargetMode="External"/><Relationship Id="rId1678" Type="http://schemas.openxmlformats.org/officeDocument/2006/relationships/hyperlink" Target="http://hudoc.echr.coe.int/eng?i=001-72925" TargetMode="External"/><Relationship Id="rId1801" Type="http://schemas.openxmlformats.org/officeDocument/2006/relationships/hyperlink" Target="http://hudoc.echr.coe.int/eng?i=001-202866" TargetMode="External"/><Relationship Id="rId1885" Type="http://schemas.openxmlformats.org/officeDocument/2006/relationships/hyperlink" Target="http://hudoc.echr.coe.int/eng?i=001-101713" TargetMode="External"/><Relationship Id="rId2424" Type="http://schemas.openxmlformats.org/officeDocument/2006/relationships/hyperlink" Target="http://hudoc.echr.coe.int/eng?i=001-172321" TargetMode="External"/><Relationship Id="rId2631" Type="http://schemas.openxmlformats.org/officeDocument/2006/relationships/hyperlink" Target="http://hudoc.echr.coe.int/eng?i=001-145466" TargetMode="External"/><Relationship Id="rId2729" Type="http://schemas.openxmlformats.org/officeDocument/2006/relationships/hyperlink" Target="http://hudoc.echr.coe.int/eng?i=001-158146" TargetMode="External"/><Relationship Id="rId382" Type="http://schemas.openxmlformats.org/officeDocument/2006/relationships/hyperlink" Target="http://hudoc.echr.coe.int/eng?i=001-90682" TargetMode="External"/><Relationship Id="rId603" Type="http://schemas.openxmlformats.org/officeDocument/2006/relationships/hyperlink" Target="http://hudoc.echr.coe.int/eng?i=001-102617" TargetMode="External"/><Relationship Id="rId687" Type="http://schemas.openxmlformats.org/officeDocument/2006/relationships/hyperlink" Target="http://hudoc.echr.coe.int/eng?i=001-194897" TargetMode="External"/><Relationship Id="rId810" Type="http://schemas.openxmlformats.org/officeDocument/2006/relationships/hyperlink" Target="http://hudoc.echr.coe.int/eng?i=001-100384" TargetMode="External"/><Relationship Id="rId908" Type="http://schemas.openxmlformats.org/officeDocument/2006/relationships/hyperlink" Target="http://hudoc.echr.coe.int/eng?i=001-188268" TargetMode="External"/><Relationship Id="rId1233" Type="http://schemas.openxmlformats.org/officeDocument/2006/relationships/hyperlink" Target="http://hudoc.echr.coe.int/eng?i=001-94026" TargetMode="External"/><Relationship Id="rId1440" Type="http://schemas.openxmlformats.org/officeDocument/2006/relationships/hyperlink" Target="http://hudoc.echr.coe.int/eng?i=001-164515" TargetMode="External"/><Relationship Id="rId1538" Type="http://schemas.openxmlformats.org/officeDocument/2006/relationships/hyperlink" Target="http://hudoc.echr.coe.int/eng?i=001-72688" TargetMode="External"/><Relationship Id="rId2063" Type="http://schemas.openxmlformats.org/officeDocument/2006/relationships/hyperlink" Target="http://hudoc.echr.coe.int/eng?i=001-167125" TargetMode="External"/><Relationship Id="rId2270" Type="http://schemas.openxmlformats.org/officeDocument/2006/relationships/hyperlink" Target="http://hudoc.echr.coe.int/eng?i=001-87105" TargetMode="External"/><Relationship Id="rId2368" Type="http://schemas.openxmlformats.org/officeDocument/2006/relationships/hyperlink" Target="http://hudoc.echr.coe.int/eng?i=001-75830" TargetMode="External"/><Relationship Id="rId242" Type="http://schemas.openxmlformats.org/officeDocument/2006/relationships/hyperlink" Target="http://hudoc.echr.coe.int/eng?i=001-183860" TargetMode="External"/><Relationship Id="rId894" Type="http://schemas.openxmlformats.org/officeDocument/2006/relationships/hyperlink" Target="http://hudoc.echr.coe.int/eng?i=001-187507" TargetMode="External"/><Relationship Id="rId1177" Type="http://schemas.openxmlformats.org/officeDocument/2006/relationships/hyperlink" Target="http://hudoc.echr.coe.int/eng?i=001-201098" TargetMode="External"/><Relationship Id="rId1300" Type="http://schemas.openxmlformats.org/officeDocument/2006/relationships/hyperlink" Target="http://hudoc.echr.coe.int/eng?i=001-114082" TargetMode="External"/><Relationship Id="rId1745" Type="http://schemas.openxmlformats.org/officeDocument/2006/relationships/hyperlink" Target="http://hudoc.echr.coe.int/eng?i=001-177711" TargetMode="External"/><Relationship Id="rId1952" Type="http://schemas.openxmlformats.org/officeDocument/2006/relationships/hyperlink" Target="http://hudoc.echr.coe.int/eng?i=001-106602" TargetMode="External"/><Relationship Id="rId2130" Type="http://schemas.openxmlformats.org/officeDocument/2006/relationships/hyperlink" Target="http://hudoc.echr.coe.int/eng?i=001-202123" TargetMode="External"/><Relationship Id="rId2575" Type="http://schemas.openxmlformats.org/officeDocument/2006/relationships/hyperlink" Target="http://hudoc.echr.coe.int/eng?i=001-150232" TargetMode="External"/><Relationship Id="rId2782" Type="http://schemas.openxmlformats.org/officeDocument/2006/relationships/hyperlink" Target="http://hudoc.echr.coe.int/eng?i=001-57549" TargetMode="External"/><Relationship Id="rId37" Type="http://schemas.openxmlformats.org/officeDocument/2006/relationships/hyperlink" Target="https://www.echr.coe.int/Documents/2010_Interlaken_FinalDeclaration_ENG.pdf" TargetMode="External"/><Relationship Id="rId102" Type="http://schemas.openxmlformats.org/officeDocument/2006/relationships/hyperlink" Target="http://hudoc.echr.coe.int/eng?i=001-206079" TargetMode="External"/><Relationship Id="rId547" Type="http://schemas.openxmlformats.org/officeDocument/2006/relationships/hyperlink" Target="http://hudoc.echr.coe.int/eng?i=001-142199" TargetMode="External"/><Relationship Id="rId754" Type="http://schemas.openxmlformats.org/officeDocument/2006/relationships/hyperlink" Target="http://hudoc.echr.coe.int/eng?i=001-157408" TargetMode="External"/><Relationship Id="rId961" Type="http://schemas.openxmlformats.org/officeDocument/2006/relationships/hyperlink" Target="http://hudoc.echr.coe.int/eng?i=001-22838" TargetMode="External"/><Relationship Id="rId1384" Type="http://schemas.openxmlformats.org/officeDocument/2006/relationships/hyperlink" Target="http://hudoc.echr.coe.int/eng?i=001-189781" TargetMode="External"/><Relationship Id="rId1591" Type="http://schemas.openxmlformats.org/officeDocument/2006/relationships/hyperlink" Target="http://hudoc.echr.coe.int/sites/eng?i=001-109116" TargetMode="External"/><Relationship Id="rId1605" Type="http://schemas.openxmlformats.org/officeDocument/2006/relationships/hyperlink" Target="http://hudoc.echr.coe.int/eng?i=001-60606" TargetMode="External"/><Relationship Id="rId1689" Type="http://schemas.openxmlformats.org/officeDocument/2006/relationships/hyperlink" Target="http://hudoc.echr.coe.int/eng?i=001-58907" TargetMode="External"/><Relationship Id="rId1812" Type="http://schemas.openxmlformats.org/officeDocument/2006/relationships/hyperlink" Target="http://hudoc.echr.coe.int/eng?i=001-110715" TargetMode="External"/><Relationship Id="rId2228" Type="http://schemas.openxmlformats.org/officeDocument/2006/relationships/hyperlink" Target="http://hudoc.echr.coe.int/eng?i=001-114387" TargetMode="External"/><Relationship Id="rId2435" Type="http://schemas.openxmlformats.org/officeDocument/2006/relationships/hyperlink" Target="http://hudoc.echr.coe.int/eng?i=001-72683" TargetMode="External"/><Relationship Id="rId2642" Type="http://schemas.openxmlformats.org/officeDocument/2006/relationships/hyperlink" Target="http://hudoc.echr.coe.int/eng?i=001-101568" TargetMode="External"/><Relationship Id="rId90" Type="http://schemas.openxmlformats.org/officeDocument/2006/relationships/hyperlink" Target="http://hudoc.echr.coe.int/eng?i=001-76947" TargetMode="External"/><Relationship Id="rId186" Type="http://schemas.openxmlformats.org/officeDocument/2006/relationships/hyperlink" Target="http://hudoc.echr.coe.int/eng?i=001-111989" TargetMode="External"/><Relationship Id="rId393" Type="http://schemas.openxmlformats.org/officeDocument/2006/relationships/hyperlink" Target="https://hudoc.echr.coe.int/eng?i=001-201647" TargetMode="External"/><Relationship Id="rId407" Type="http://schemas.openxmlformats.org/officeDocument/2006/relationships/hyperlink" Target="http://hudoc.echr.coe.int/eng?i=001-145577" TargetMode="External"/><Relationship Id="rId614" Type="http://schemas.openxmlformats.org/officeDocument/2006/relationships/hyperlink" Target="http://hudoc.echr.coe.int/eng?i=001-61196" TargetMode="External"/><Relationship Id="rId821" Type="http://schemas.openxmlformats.org/officeDocument/2006/relationships/hyperlink" Target="http://hudoc.echr.coe.int/eng?i=001-142457" TargetMode="External"/><Relationship Id="rId1037" Type="http://schemas.openxmlformats.org/officeDocument/2006/relationships/hyperlink" Target="http://hudoc.echr.coe.int/eng?i=001-94162" TargetMode="External"/><Relationship Id="rId1244" Type="http://schemas.openxmlformats.org/officeDocument/2006/relationships/hyperlink" Target="http://hudoc.echr.coe.int/eng?i=001-110280" TargetMode="External"/><Relationship Id="rId1451" Type="http://schemas.openxmlformats.org/officeDocument/2006/relationships/hyperlink" Target="http://hudoc.echr.coe.int/eng?i=001-69564" TargetMode="External"/><Relationship Id="rId1896" Type="http://schemas.openxmlformats.org/officeDocument/2006/relationships/hyperlink" Target="http://hudoc.echr.coe.int/eng?i=001-106650" TargetMode="External"/><Relationship Id="rId2074" Type="http://schemas.openxmlformats.org/officeDocument/2006/relationships/hyperlink" Target="http://hudoc.echr.coe.int/eng?i=001-108383" TargetMode="External"/><Relationship Id="rId2281" Type="http://schemas.openxmlformats.org/officeDocument/2006/relationships/hyperlink" Target="http://hudoc.echr.coe.int/eng?i=001-88946" TargetMode="External"/><Relationship Id="rId2502" Type="http://schemas.openxmlformats.org/officeDocument/2006/relationships/hyperlink" Target="http://hudoc.echr.coe.int/eng?i=001-100666" TargetMode="External"/><Relationship Id="rId253" Type="http://schemas.openxmlformats.org/officeDocument/2006/relationships/hyperlink" Target="http://hudoc.echr.coe.int/eng?i=001-189902" TargetMode="External"/><Relationship Id="rId460" Type="http://schemas.openxmlformats.org/officeDocument/2006/relationships/hyperlink" Target="http://hudoc.echr.coe.int/eng?i=001-68183" TargetMode="External"/><Relationship Id="rId698" Type="http://schemas.openxmlformats.org/officeDocument/2006/relationships/hyperlink" Target="http://hudoc.echr.coe.int/eng?i=001-152259" TargetMode="External"/><Relationship Id="rId919" Type="http://schemas.openxmlformats.org/officeDocument/2006/relationships/hyperlink" Target="http://hudoc.echr.coe.int/eng?i=001-165374" TargetMode="External"/><Relationship Id="rId1090" Type="http://schemas.openxmlformats.org/officeDocument/2006/relationships/hyperlink" Target="https://hudoc.echr.coe.int/eng?i=001-212688" TargetMode="External"/><Relationship Id="rId1104" Type="http://schemas.openxmlformats.org/officeDocument/2006/relationships/hyperlink" Target="http://hudoc.echr.coe.int/eng?i=001-75463" TargetMode="External"/><Relationship Id="rId1311" Type="http://schemas.openxmlformats.org/officeDocument/2006/relationships/hyperlink" Target="http://hudoc.echr.coe.int/eng?i=001-57619" TargetMode="External"/><Relationship Id="rId1549" Type="http://schemas.openxmlformats.org/officeDocument/2006/relationships/hyperlink" Target="http://hudoc.echr.coe.int/eng?i=001-57860" TargetMode="External"/><Relationship Id="rId1756" Type="http://schemas.openxmlformats.org/officeDocument/2006/relationships/hyperlink" Target="http://hudoc.echr.coe.int/eng?i=001-102755" TargetMode="External"/><Relationship Id="rId1963" Type="http://schemas.openxmlformats.org/officeDocument/2006/relationships/hyperlink" Target="http://hudoc.echr.coe.int/eng?i=001-100804" TargetMode="External"/><Relationship Id="rId2141" Type="http://schemas.openxmlformats.org/officeDocument/2006/relationships/hyperlink" Target="http://hudoc.echr.coe.int/eng?i=001-187871" TargetMode="External"/><Relationship Id="rId2379" Type="http://schemas.openxmlformats.org/officeDocument/2006/relationships/hyperlink" Target="http://hudoc.echr.coe.int/eng?i=001-187482" TargetMode="External"/><Relationship Id="rId2586" Type="http://schemas.openxmlformats.org/officeDocument/2006/relationships/hyperlink" Target="http://hudoc.echr.coe.int/eng?i=001-100511" TargetMode="External"/><Relationship Id="rId2793" Type="http://schemas.openxmlformats.org/officeDocument/2006/relationships/hyperlink" Target="http://hudoc.echr.coe.int/eng?i=001-101358" TargetMode="External"/><Relationship Id="rId2807" Type="http://schemas.openxmlformats.org/officeDocument/2006/relationships/hyperlink" Target="http://hudoc.echr.coe.int/sites/eng?i=001-114277" TargetMode="External"/><Relationship Id="rId48" Type="http://schemas.openxmlformats.org/officeDocument/2006/relationships/hyperlink" Target="http://hudoc.echr.coe.int/eng?i=001-97084" TargetMode="External"/><Relationship Id="rId113" Type="http://schemas.openxmlformats.org/officeDocument/2006/relationships/hyperlink" Target="http://hudoc.echr.coe.int/eng?i=001-111399" TargetMode="External"/><Relationship Id="rId320" Type="http://schemas.openxmlformats.org/officeDocument/2006/relationships/hyperlink" Target="http://hudoc.echr.coe.int/eng?i=001-169190" TargetMode="External"/><Relationship Id="rId558" Type="http://schemas.openxmlformats.org/officeDocument/2006/relationships/hyperlink" Target="http://hudoc.echr.coe.int/eng?i=001-92500" TargetMode="External"/><Relationship Id="rId765" Type="http://schemas.openxmlformats.org/officeDocument/2006/relationships/hyperlink" Target="http://hudoc.echr.coe.int/eng?i=001-98349" TargetMode="External"/><Relationship Id="rId972" Type="http://schemas.openxmlformats.org/officeDocument/2006/relationships/hyperlink" Target="http://hudoc.echr.coe.int/eng?i=001-108590" TargetMode="External"/><Relationship Id="rId1188" Type="http://schemas.openxmlformats.org/officeDocument/2006/relationships/hyperlink" Target="https://hudoc.echr.coe.int/eng?i=001-216434" TargetMode="External"/><Relationship Id="rId1395" Type="http://schemas.openxmlformats.org/officeDocument/2006/relationships/hyperlink" Target="http://hudoc.echr.coe.int/eng?i=001-163348" TargetMode="External"/><Relationship Id="rId1409" Type="http://schemas.openxmlformats.org/officeDocument/2006/relationships/hyperlink" Target="http://hudoc.echr.coe.int/eng?i=001-61886" TargetMode="External"/><Relationship Id="rId1616" Type="http://schemas.openxmlformats.org/officeDocument/2006/relationships/hyperlink" Target="http://hudoc.echr.coe.int/eng?i=001-43404" TargetMode="External"/><Relationship Id="rId1823" Type="http://schemas.openxmlformats.org/officeDocument/2006/relationships/hyperlink" Target="http://hudoc.echr.coe.int/eng?i=001-102755" TargetMode="External"/><Relationship Id="rId2001" Type="http://schemas.openxmlformats.org/officeDocument/2006/relationships/hyperlink" Target="http://hudoc.echr.coe.int/eng?i=001-158467" TargetMode="External"/><Relationship Id="rId2239" Type="http://schemas.openxmlformats.org/officeDocument/2006/relationships/hyperlink" Target="http://hudoc.echr.coe.int/eng?i=001-157765" TargetMode="External"/><Relationship Id="rId2446" Type="http://schemas.openxmlformats.org/officeDocument/2006/relationships/hyperlink" Target="http://hudoc.echr.coe.int/eng?i=001-84670" TargetMode="External"/><Relationship Id="rId2653" Type="http://schemas.openxmlformats.org/officeDocument/2006/relationships/hyperlink" Target="http://hudoc.echr.coe.int/eng?i=001-155662" TargetMode="External"/><Relationship Id="rId197" Type="http://schemas.openxmlformats.org/officeDocument/2006/relationships/hyperlink" Target="https://hudoc.echr.coe.int/eng%23%7b%22docname%22:%5b%22albert%22%5d,%22documentcollectionid2%22:%5b%22GRANDCHAMBER%22,%22CHAMBER%22%5d,%22itemid%22:%5b%22001-203850%22%5d%7d" TargetMode="External"/><Relationship Id="rId418" Type="http://schemas.openxmlformats.org/officeDocument/2006/relationships/hyperlink" Target="http://hudoc.echr.coe.int/eng?i=001-75830" TargetMode="External"/><Relationship Id="rId625" Type="http://schemas.openxmlformats.org/officeDocument/2006/relationships/hyperlink" Target="http://hudoc.echr.coe.int/eng?i=001-23704" TargetMode="External"/><Relationship Id="rId832" Type="http://schemas.openxmlformats.org/officeDocument/2006/relationships/hyperlink" Target="http://hudoc.echr.coe.int/eng?i=001-22806" TargetMode="External"/><Relationship Id="rId1048" Type="http://schemas.openxmlformats.org/officeDocument/2006/relationships/hyperlink" Target="http://hudoc.echr.coe.int/eng?i=001-182849" TargetMode="External"/><Relationship Id="rId1255" Type="http://schemas.openxmlformats.org/officeDocument/2006/relationships/hyperlink" Target="http://hudoc.echr.coe.int/eng?i=001-87446" TargetMode="External"/><Relationship Id="rId1462" Type="http://schemas.openxmlformats.org/officeDocument/2006/relationships/hyperlink" Target="http://hudoc.echr.coe.int/eng?i=001-91278" TargetMode="External"/><Relationship Id="rId2085" Type="http://schemas.openxmlformats.org/officeDocument/2006/relationships/hyperlink" Target="https://hudoc.echr.coe.int/eng?i=001-216195" TargetMode="External"/><Relationship Id="rId2292" Type="http://schemas.openxmlformats.org/officeDocument/2006/relationships/hyperlink" Target="http://hudoc.echr.coe.int/eng?i=001-206079" TargetMode="External"/><Relationship Id="rId2306" Type="http://schemas.openxmlformats.org/officeDocument/2006/relationships/hyperlink" Target="http://hudoc.echr.coe.int/eng?i=001-187909" TargetMode="External"/><Relationship Id="rId2513" Type="http://schemas.openxmlformats.org/officeDocument/2006/relationships/hyperlink" Target="http://hudoc.echr.coe.int/eng?i=001-194307" TargetMode="External"/><Relationship Id="rId264" Type="http://schemas.openxmlformats.org/officeDocument/2006/relationships/hyperlink" Target="http://hudoc.echr.coe.int/eng?i=001-23117" TargetMode="External"/><Relationship Id="rId471" Type="http://schemas.openxmlformats.org/officeDocument/2006/relationships/hyperlink" Target="http://hudoc.echr.coe.int/eng?i=001-110924" TargetMode="External"/><Relationship Id="rId1115" Type="http://schemas.openxmlformats.org/officeDocument/2006/relationships/hyperlink" Target="http://hudoc.echr.coe.int/eng?i=001-103739" TargetMode="External"/><Relationship Id="rId1322" Type="http://schemas.openxmlformats.org/officeDocument/2006/relationships/hyperlink" Target="http://hudoc.echr.coe.int/eng?i=001-61886" TargetMode="External"/><Relationship Id="rId1767" Type="http://schemas.openxmlformats.org/officeDocument/2006/relationships/hyperlink" Target="http://hudoc.echr.coe.int/eng?i=001-109895" TargetMode="External"/><Relationship Id="rId1974" Type="http://schemas.openxmlformats.org/officeDocument/2006/relationships/hyperlink" Target="http://hudoc.echr.coe.int/eng?i=001-22099" TargetMode="External"/><Relationship Id="rId2152" Type="http://schemas.openxmlformats.org/officeDocument/2006/relationships/hyperlink" Target="http://hudoc.echr.coe.int/eng?i=001-84088" TargetMode="External"/><Relationship Id="rId2597" Type="http://schemas.openxmlformats.org/officeDocument/2006/relationships/hyperlink" Target="http://hudoc.echr.coe.int/eng?i=001-90014" TargetMode="External"/><Relationship Id="rId2720" Type="http://schemas.openxmlformats.org/officeDocument/2006/relationships/hyperlink" Target="http://hudoc.echr.coe.int/eng?i=001-91343" TargetMode="External"/><Relationship Id="rId2818" Type="http://schemas.openxmlformats.org/officeDocument/2006/relationships/hyperlink" Target="file:///C:/Users/Brodeala/AppData/Local/Microsoft/Windows/Temporary%20Internet%20Files/Content.Outlook/MEPHPEXS/Worm%20v.%20Austria" TargetMode="External"/><Relationship Id="rId59" Type="http://schemas.openxmlformats.org/officeDocument/2006/relationships/hyperlink" Target="http://hudoc.echr.coe.int/eng?i=001-201687" TargetMode="External"/><Relationship Id="rId124" Type="http://schemas.openxmlformats.org/officeDocument/2006/relationships/hyperlink" Target="http://hudoc.echr.coe.int/eng?i=001-68767" TargetMode="External"/><Relationship Id="rId569" Type="http://schemas.openxmlformats.org/officeDocument/2006/relationships/hyperlink" Target="http://hudoc.echr.coe.int/eng?i=001-194307" TargetMode="External"/><Relationship Id="rId776" Type="http://schemas.openxmlformats.org/officeDocument/2006/relationships/hyperlink" Target="http://hudoc.echr.coe.int/eng?i=001-71022" TargetMode="External"/><Relationship Id="rId983" Type="http://schemas.openxmlformats.org/officeDocument/2006/relationships/hyperlink" Target="http://hudoc.echr.coe.int/eng?i=001-94162" TargetMode="External"/><Relationship Id="rId1199" Type="http://schemas.openxmlformats.org/officeDocument/2006/relationships/hyperlink" Target="http://hudoc.echr.coe.int/eng?i=001-146780" TargetMode="External"/><Relationship Id="rId1627" Type="http://schemas.openxmlformats.org/officeDocument/2006/relationships/hyperlink" Target="http://hudoc.echr.coe.int/eng?i=001-201353" TargetMode="External"/><Relationship Id="rId1834" Type="http://schemas.openxmlformats.org/officeDocument/2006/relationships/hyperlink" Target="http://hudoc.echr.coe.int/eng?i=001-167176" TargetMode="External"/><Relationship Id="rId2457" Type="http://schemas.openxmlformats.org/officeDocument/2006/relationships/hyperlink" Target="http://hudoc.echr.coe.int/eng?i=001-59451" TargetMode="External"/><Relationship Id="rId2664" Type="http://schemas.openxmlformats.org/officeDocument/2006/relationships/hyperlink" Target="http://hudoc.echr.coe.int/eng?i=001-94135" TargetMode="External"/><Relationship Id="rId331" Type="http://schemas.openxmlformats.org/officeDocument/2006/relationships/hyperlink" Target="http://hudoc.echr.coe.int/eng?i=001-44967" TargetMode="External"/><Relationship Id="rId429" Type="http://schemas.openxmlformats.org/officeDocument/2006/relationships/hyperlink" Target="http://hudoc.echr.coe.int/eng?i=001-58289" TargetMode="External"/><Relationship Id="rId636" Type="http://schemas.openxmlformats.org/officeDocument/2006/relationships/hyperlink" Target="http://hudoc.echr.coe.int/eng?i=001-200571" TargetMode="External"/><Relationship Id="rId1059" Type="http://schemas.openxmlformats.org/officeDocument/2006/relationships/hyperlink" Target="http://hudoc.echr.coe.int/eng?i=001-178518" TargetMode="External"/><Relationship Id="rId1266" Type="http://schemas.openxmlformats.org/officeDocument/2006/relationships/hyperlink" Target="https://hudoc.echr.coe.int/eng%23%7b%22appno%22:%5b%2260642/08%22%5d,%22itemid%22:%5b%22001-145575%22%5d%7d" TargetMode="External"/><Relationship Id="rId1473" Type="http://schemas.openxmlformats.org/officeDocument/2006/relationships/hyperlink" Target="http://hudoc.echr.coe.int/eng?i=001-96549" TargetMode="External"/><Relationship Id="rId2012" Type="http://schemas.openxmlformats.org/officeDocument/2006/relationships/hyperlink" Target="http://hudoc.echr.coe.int/eng?i=001-194058" TargetMode="External"/><Relationship Id="rId2096" Type="http://schemas.openxmlformats.org/officeDocument/2006/relationships/hyperlink" Target="http://hudoc.echr.coe.int/eng?i=001-59454" TargetMode="External"/><Relationship Id="rId2317" Type="http://schemas.openxmlformats.org/officeDocument/2006/relationships/hyperlink" Target="http://hudoc.echr.coe.int/eng?i=001-111989" TargetMode="External"/><Relationship Id="rId843" Type="http://schemas.openxmlformats.org/officeDocument/2006/relationships/hyperlink" Target="http://hudoc.echr.coe.int/eng?i=001-100666" TargetMode="External"/><Relationship Id="rId1126" Type="http://schemas.openxmlformats.org/officeDocument/2006/relationships/hyperlink" Target="http://hudoc.echr.coe.int/eng?i=001-106308" TargetMode="External"/><Relationship Id="rId1680" Type="http://schemas.openxmlformats.org/officeDocument/2006/relationships/hyperlink" Target="http://hudoc.echr.coe.int/eng?i=001-168066" TargetMode="External"/><Relationship Id="rId1778" Type="http://schemas.openxmlformats.org/officeDocument/2006/relationships/hyperlink" Target="http://hudoc.echr.coe.int/eng?i=001-99748" TargetMode="External"/><Relationship Id="rId1901" Type="http://schemas.openxmlformats.org/officeDocument/2006/relationships/hyperlink" Target="http://hudoc.echr.coe.int/eng?i=001-103468" TargetMode="External"/><Relationship Id="rId1985" Type="http://schemas.openxmlformats.org/officeDocument/2006/relationships/hyperlink" Target="http://hudoc.echr.coe.int/eng?i=001-110280" TargetMode="External"/><Relationship Id="rId2524" Type="http://schemas.openxmlformats.org/officeDocument/2006/relationships/hyperlink" Target="http://hudoc.echr.coe.int/eng?i=001-91238" TargetMode="External"/><Relationship Id="rId2731" Type="http://schemas.openxmlformats.org/officeDocument/2006/relationships/hyperlink" Target="http://hudoc.echr.coe.int/eng?i=001-200452" TargetMode="External"/><Relationship Id="rId2829" Type="http://schemas.openxmlformats.org/officeDocument/2006/relationships/hyperlink" Target="http://hudoc.echr.coe.int/eng?i=001-147286" TargetMode="External"/><Relationship Id="rId275" Type="http://schemas.openxmlformats.org/officeDocument/2006/relationships/hyperlink" Target="http://hudoc.echr.coe.int/eng?i=001-99015" TargetMode="External"/><Relationship Id="rId482" Type="http://schemas.openxmlformats.org/officeDocument/2006/relationships/hyperlink" Target="http://hudoc.echr.coe.int/eng?i=001-57506" TargetMode="External"/><Relationship Id="rId703" Type="http://schemas.openxmlformats.org/officeDocument/2006/relationships/hyperlink" Target="http://hudoc.echr.coe.int/eng?i=001-166956" TargetMode="External"/><Relationship Id="rId910" Type="http://schemas.openxmlformats.org/officeDocument/2006/relationships/hyperlink" Target="http://hudoc.echr.coe.int/eng?i=001-145817" TargetMode="External"/><Relationship Id="rId1333" Type="http://schemas.openxmlformats.org/officeDocument/2006/relationships/hyperlink" Target="http://hudoc.echr.coe.int/eng?i=001-207757" TargetMode="External"/><Relationship Id="rId1540" Type="http://schemas.openxmlformats.org/officeDocument/2006/relationships/hyperlink" Target="http://hudoc.echr.coe.int/eng?i=001-72688" TargetMode="External"/><Relationship Id="rId1638" Type="http://schemas.openxmlformats.org/officeDocument/2006/relationships/hyperlink" Target="http://hudoc.echr.coe.int/eng?i=001-23114" TargetMode="External"/><Relationship Id="rId2163" Type="http://schemas.openxmlformats.org/officeDocument/2006/relationships/hyperlink" Target="http://hudoc.echr.coe.int/eng?i=001-201742" TargetMode="External"/><Relationship Id="rId2370" Type="http://schemas.openxmlformats.org/officeDocument/2006/relationships/hyperlink" Target="http://hudoc.echr.coe.int/eng?i=001-179633" TargetMode="External"/><Relationship Id="rId135" Type="http://schemas.openxmlformats.org/officeDocument/2006/relationships/hyperlink" Target="http://hudoc.echr.coe.int/eng?i=001-80563" TargetMode="External"/><Relationship Id="rId342" Type="http://schemas.openxmlformats.org/officeDocument/2006/relationships/hyperlink" Target="http://hudoc.echr.coe.int/eng?i=001-60706" TargetMode="External"/><Relationship Id="rId787" Type="http://schemas.openxmlformats.org/officeDocument/2006/relationships/hyperlink" Target="http://hudoc.echr.coe.int/eng?i=001-59470" TargetMode="External"/><Relationship Id="rId994" Type="http://schemas.openxmlformats.org/officeDocument/2006/relationships/hyperlink" Target="http://hudoc.echr.coe.int/eng?i=001-5525" TargetMode="External"/><Relationship Id="rId1400" Type="http://schemas.openxmlformats.org/officeDocument/2006/relationships/hyperlink" Target="http://hudoc.echr.coe.int/eng?i=001-77533" TargetMode="External"/><Relationship Id="rId1845" Type="http://schemas.openxmlformats.org/officeDocument/2006/relationships/hyperlink" Target="http://hudoc.echr.coe.int/eng?i=001-103625" TargetMode="External"/><Relationship Id="rId2023" Type="http://schemas.openxmlformats.org/officeDocument/2006/relationships/hyperlink" Target="http://hudoc.echr.coe.int/eng?i=001-194897" TargetMode="External"/><Relationship Id="rId2230" Type="http://schemas.openxmlformats.org/officeDocument/2006/relationships/hyperlink" Target="http://hudoc.echr.coe.int/eng?i=001-80457" TargetMode="External"/><Relationship Id="rId2468" Type="http://schemas.openxmlformats.org/officeDocument/2006/relationships/hyperlink" Target="http://hudoc.echr.coe.int/eng?i=001-61685" TargetMode="External"/><Relationship Id="rId2675" Type="http://schemas.openxmlformats.org/officeDocument/2006/relationships/hyperlink" Target="http://hudoc.echr.coe.int/eng?i=001-181178" TargetMode="External"/><Relationship Id="rId202" Type="http://schemas.openxmlformats.org/officeDocument/2006/relationships/hyperlink" Target="http://hudoc.echr.coe.int/eng?i=001-206273" TargetMode="External"/><Relationship Id="rId647" Type="http://schemas.openxmlformats.org/officeDocument/2006/relationships/hyperlink" Target="http://hudoc.echr.coe.int/eng?i=001-200446" TargetMode="External"/><Relationship Id="rId854" Type="http://schemas.openxmlformats.org/officeDocument/2006/relationships/hyperlink" Target="http://hudoc.echr.coe.int/eng?i=001-159542" TargetMode="External"/><Relationship Id="rId1277" Type="http://schemas.openxmlformats.org/officeDocument/2006/relationships/hyperlink" Target="http://hudoc.echr.coe.int/eng?i=001-192208" TargetMode="External"/><Relationship Id="rId1484" Type="http://schemas.openxmlformats.org/officeDocument/2006/relationships/hyperlink" Target="http://hudoc.echr.coe.int/eng?i=001-99255" TargetMode="External"/><Relationship Id="rId1691" Type="http://schemas.openxmlformats.org/officeDocument/2006/relationships/hyperlink" Target="http://hudoc.echr.coe.int/eng?i=001-79590" TargetMode="External"/><Relationship Id="rId1705" Type="http://schemas.openxmlformats.org/officeDocument/2006/relationships/hyperlink" Target="http://hudoc.echr.coe.int/eng?i=001-186114" TargetMode="External"/><Relationship Id="rId1912" Type="http://schemas.openxmlformats.org/officeDocument/2006/relationships/hyperlink" Target="http://hudoc.echr.coe.int/eng?i=001-70282" TargetMode="External"/><Relationship Id="rId2328" Type="http://schemas.openxmlformats.org/officeDocument/2006/relationships/hyperlink" Target="http://hudoc.echr.coe.int/eng?i=001-61263" TargetMode="External"/><Relationship Id="rId2535" Type="http://schemas.openxmlformats.org/officeDocument/2006/relationships/hyperlink" Target="http://hudoc.echr.coe.int/eng?i=001-22825" TargetMode="External"/><Relationship Id="rId2742" Type="http://schemas.openxmlformats.org/officeDocument/2006/relationships/hyperlink" Target="http://hudoc.echr.coe.int/eng?i=001-23468" TargetMode="External"/><Relationship Id="rId286" Type="http://schemas.openxmlformats.org/officeDocument/2006/relationships/hyperlink" Target="http://hudoc.echr.coe.int/eng?i=001-198507" TargetMode="External"/><Relationship Id="rId493" Type="http://schemas.openxmlformats.org/officeDocument/2006/relationships/hyperlink" Target="http://hudoc.echr.coe.int/eng?i=001-84670" TargetMode="External"/><Relationship Id="rId507" Type="http://schemas.openxmlformats.org/officeDocument/2006/relationships/hyperlink" Target="http://hudoc.echr.coe.int/eng?i=001-86146" TargetMode="External"/><Relationship Id="rId714" Type="http://schemas.openxmlformats.org/officeDocument/2006/relationships/hyperlink" Target="http://hudoc.echr.coe.int/eng?i=001-95317" TargetMode="External"/><Relationship Id="rId921" Type="http://schemas.openxmlformats.org/officeDocument/2006/relationships/hyperlink" Target="http://hudoc.echr.coe.int/eng?i=001-175121" TargetMode="External"/><Relationship Id="rId1137" Type="http://schemas.openxmlformats.org/officeDocument/2006/relationships/hyperlink" Target="http://hudoc.echr.coe.int/eng?i=001-72492" TargetMode="External"/><Relationship Id="rId1344" Type="http://schemas.openxmlformats.org/officeDocument/2006/relationships/hyperlink" Target="http://hudoc.echr.coe.int/eng?i=001-148367" TargetMode="External"/><Relationship Id="rId1551" Type="http://schemas.openxmlformats.org/officeDocument/2006/relationships/hyperlink" Target="http://hudoc.echr.coe.int/eng?i=001-22257" TargetMode="External"/><Relationship Id="rId1789" Type="http://schemas.openxmlformats.org/officeDocument/2006/relationships/hyperlink" Target="http://hudoc.echr.coe.int/eng?i=001-106650" TargetMode="External"/><Relationship Id="rId1996" Type="http://schemas.openxmlformats.org/officeDocument/2006/relationships/hyperlink" Target="http://hudoc.echr.coe.int/eng?i=001-103625" TargetMode="External"/><Relationship Id="rId2174" Type="http://schemas.openxmlformats.org/officeDocument/2006/relationships/hyperlink" Target="http://hudoc.echr.coe.int/eng?i=001-98305" TargetMode="External"/><Relationship Id="rId2381" Type="http://schemas.openxmlformats.org/officeDocument/2006/relationships/hyperlink" Target="http://hudoc.echr.coe.int/eng?i=001-200571" TargetMode="External"/><Relationship Id="rId2602" Type="http://schemas.openxmlformats.org/officeDocument/2006/relationships/hyperlink" Target="https://hudoc.echr.coe.int/eng%23%7b%22itemid%22:%5b%22001-206159%22%5d%7d" TargetMode="External"/><Relationship Id="rId50" Type="http://schemas.openxmlformats.org/officeDocument/2006/relationships/hyperlink" Target="http://hudoc.echr.coe.int/eng?i=001-67328" TargetMode="External"/><Relationship Id="rId146" Type="http://schemas.openxmlformats.org/officeDocument/2006/relationships/hyperlink" Target="http://hudoc.echr.coe.int/eng?i=001-177076" TargetMode="External"/><Relationship Id="rId353" Type="http://schemas.openxmlformats.org/officeDocument/2006/relationships/hyperlink" Target="http://hudoc.echr.coe.int/eng?i=001-189757" TargetMode="External"/><Relationship Id="rId560" Type="http://schemas.openxmlformats.org/officeDocument/2006/relationships/hyperlink" Target="http://hudoc.echr.coe.int/eng?i=001-108395" TargetMode="External"/><Relationship Id="rId798" Type="http://schemas.openxmlformats.org/officeDocument/2006/relationships/hyperlink" Target="http://hudoc.echr.coe.int/eng?i=001-161822" TargetMode="External"/><Relationship Id="rId1190" Type="http://schemas.openxmlformats.org/officeDocument/2006/relationships/hyperlink" Target="https://hudoc.echr.coe.int/eng?i=001-212220" TargetMode="External"/><Relationship Id="rId1204" Type="http://schemas.openxmlformats.org/officeDocument/2006/relationships/hyperlink" Target="http://hudoc.echr.coe.int/eng?i=001-146780" TargetMode="External"/><Relationship Id="rId1411" Type="http://schemas.openxmlformats.org/officeDocument/2006/relationships/hyperlink" Target="http://hudoc.echr.coe.int/eng?i=001-115621" TargetMode="External"/><Relationship Id="rId1649" Type="http://schemas.openxmlformats.org/officeDocument/2006/relationships/hyperlink" Target="http://hudoc.echr.coe.int/eng?i=001-23303" TargetMode="External"/><Relationship Id="rId1856" Type="http://schemas.openxmlformats.org/officeDocument/2006/relationships/hyperlink" Target="http://hudoc.echr.coe.int/eng?i=001-186506" TargetMode="External"/><Relationship Id="rId2034" Type="http://schemas.openxmlformats.org/officeDocument/2006/relationships/hyperlink" Target="http://hudoc.echr.coe.int/eng?i=001-647" TargetMode="External"/><Relationship Id="rId2241" Type="http://schemas.openxmlformats.org/officeDocument/2006/relationships/hyperlink" Target="http://hudoc.echr.coe.int/eng?i=001-198708" TargetMode="External"/><Relationship Id="rId2479" Type="http://schemas.openxmlformats.org/officeDocument/2006/relationships/hyperlink" Target="http://hudoc.echr.coe.int/eng?i=001-172105" TargetMode="External"/><Relationship Id="rId2686" Type="http://schemas.openxmlformats.org/officeDocument/2006/relationships/hyperlink" Target="http://hudoc.echr.coe.int/eng?i=001-83773" TargetMode="External"/><Relationship Id="rId213" Type="http://schemas.openxmlformats.org/officeDocument/2006/relationships/hyperlink" Target="https://hudoc.echr.coe.int/eng?i=001-213896" TargetMode="External"/><Relationship Id="rId420" Type="http://schemas.openxmlformats.org/officeDocument/2006/relationships/hyperlink" Target="http://hudoc.echr.coe.int/eng?i=001-68183" TargetMode="External"/><Relationship Id="rId658" Type="http://schemas.openxmlformats.org/officeDocument/2006/relationships/hyperlink" Target="http://hudoc.echr.coe.int/eng?i=001-87458" TargetMode="External"/><Relationship Id="rId865" Type="http://schemas.openxmlformats.org/officeDocument/2006/relationships/hyperlink" Target="http://hudoc.echr.coe.int/eng?i=001-70449" TargetMode="External"/><Relationship Id="rId1050" Type="http://schemas.openxmlformats.org/officeDocument/2006/relationships/hyperlink" Target="http://hudoc.echr.coe.int/eng?i=001-196596" TargetMode="External"/><Relationship Id="rId1288" Type="http://schemas.openxmlformats.org/officeDocument/2006/relationships/hyperlink" Target="http://hudoc.echr.coe.int/eng?i=001-81846" TargetMode="External"/><Relationship Id="rId1495" Type="http://schemas.openxmlformats.org/officeDocument/2006/relationships/hyperlink" Target="http://hudoc.echr.coe.int/eng?i=001-22099" TargetMode="External"/><Relationship Id="rId1509" Type="http://schemas.openxmlformats.org/officeDocument/2006/relationships/hyperlink" Target="http://hudoc.echr.coe.int/eng?i=001-72688" TargetMode="External"/><Relationship Id="rId1716" Type="http://schemas.openxmlformats.org/officeDocument/2006/relationships/hyperlink" Target="http://hudoc.echr.coe.int/eng?i=001-95230" TargetMode="External"/><Relationship Id="rId1923" Type="http://schemas.openxmlformats.org/officeDocument/2006/relationships/hyperlink" Target="http://hudoc.echr.coe.int/eng?i=001-204996" TargetMode="External"/><Relationship Id="rId2101" Type="http://schemas.openxmlformats.org/officeDocument/2006/relationships/hyperlink" Target="http://hudoc.echr.coe.int/eng?i=001-58130" TargetMode="External"/><Relationship Id="rId2339" Type="http://schemas.openxmlformats.org/officeDocument/2006/relationships/hyperlink" Target="http://hudoc.echr.coe.int/eng?i=001-77385" TargetMode="External"/><Relationship Id="rId2546" Type="http://schemas.openxmlformats.org/officeDocument/2006/relationships/hyperlink" Target="http://hudoc.echr.coe.int/eng?i=001-194520" TargetMode="External"/><Relationship Id="rId2753" Type="http://schemas.openxmlformats.org/officeDocument/2006/relationships/hyperlink" Target="https://hudoc.echr.coe.int/eng?i=001-218494" TargetMode="External"/><Relationship Id="rId297" Type="http://schemas.openxmlformats.org/officeDocument/2006/relationships/hyperlink" Target="http://hudoc.echr.coe.int/eng?i=001-171773" TargetMode="External"/><Relationship Id="rId518" Type="http://schemas.openxmlformats.org/officeDocument/2006/relationships/hyperlink" Target="http://hudoc.echr.coe.int/eng?i=001-118248" TargetMode="External"/><Relationship Id="rId725" Type="http://schemas.openxmlformats.org/officeDocument/2006/relationships/hyperlink" Target="http://hudoc.echr.coe.int/eng?i=001-179556" TargetMode="External"/><Relationship Id="rId932" Type="http://schemas.openxmlformats.org/officeDocument/2006/relationships/hyperlink" Target="http://hudoc.echr.coe.int/eng?i=001-155161" TargetMode="External"/><Relationship Id="rId1148" Type="http://schemas.openxmlformats.org/officeDocument/2006/relationships/hyperlink" Target="http://hudoc.echr.coe.int/eng?i=001-103216" TargetMode="External"/><Relationship Id="rId1355" Type="http://schemas.openxmlformats.org/officeDocument/2006/relationships/hyperlink" Target="http://hudoc.echr.coe.int/eng?i=001-107480" TargetMode="External"/><Relationship Id="rId1562" Type="http://schemas.openxmlformats.org/officeDocument/2006/relationships/hyperlink" Target="http://hudoc.echr.coe.int/eng?i=001-57836" TargetMode="External"/><Relationship Id="rId2185" Type="http://schemas.openxmlformats.org/officeDocument/2006/relationships/hyperlink" Target="http://hudoc.echr.coe.int/eng?i=001-58906" TargetMode="External"/><Relationship Id="rId2392" Type="http://schemas.openxmlformats.org/officeDocument/2006/relationships/hyperlink" Target="http://hudoc.echr.coe.int/eng?i=001-47778" TargetMode="External"/><Relationship Id="rId2406" Type="http://schemas.openxmlformats.org/officeDocument/2006/relationships/hyperlink" Target="http://hudoc.echr.coe.int/eng?i=001-99898" TargetMode="External"/><Relationship Id="rId2613" Type="http://schemas.openxmlformats.org/officeDocument/2006/relationships/hyperlink" Target="http://hudoc.echr.coe.int/eng?i=001-96549" TargetMode="External"/><Relationship Id="rId157" Type="http://schemas.openxmlformats.org/officeDocument/2006/relationships/hyperlink" Target="http://hudoc.echr.coe.int/eng?i=001-206079" TargetMode="External"/><Relationship Id="rId364" Type="http://schemas.openxmlformats.org/officeDocument/2006/relationships/hyperlink" Target="http://hudoc.echr.coe.int/eng?i=001-61263" TargetMode="External"/><Relationship Id="rId1008" Type="http://schemas.openxmlformats.org/officeDocument/2006/relationships/hyperlink" Target="https://www.echr.coe.int/Documents/PD_institution_proceedings_ENG.pdf" TargetMode="External"/><Relationship Id="rId1215" Type="http://schemas.openxmlformats.org/officeDocument/2006/relationships/hyperlink" Target="http://hudoc.echr.coe.int/eng?i=001-114387" TargetMode="External"/><Relationship Id="rId1422" Type="http://schemas.openxmlformats.org/officeDocument/2006/relationships/hyperlink" Target="http://hudoc.echr.coe.int/eng?i=001-93400" TargetMode="External"/><Relationship Id="rId1867" Type="http://schemas.openxmlformats.org/officeDocument/2006/relationships/hyperlink" Target="http://hudoc.echr.coe.int/eng?i=001-179566" TargetMode="External"/><Relationship Id="rId2045" Type="http://schemas.openxmlformats.org/officeDocument/2006/relationships/hyperlink" Target="https://hudoc.echr.coe.int/eng?i=001-212133" TargetMode="External"/><Relationship Id="rId2697" Type="http://schemas.openxmlformats.org/officeDocument/2006/relationships/hyperlink" Target="http://hudoc.echr.coe.int/eng?i=001-92142" TargetMode="External"/><Relationship Id="rId2820" Type="http://schemas.openxmlformats.org/officeDocument/2006/relationships/hyperlink" Target="https://hudoc.echr.coe.int/eng%23%7b%22sort%22:%5b%22EMPTY%22%5d,%22appno%22:%5b%222145/16%22%5d,%22documentcollectionid2%22:%5b%22GRANDCHAMBER%22,%22CHAMBER%22%5d,%22itemid%22:%5b%22001-207364%22%5d%7d" TargetMode="External"/><Relationship Id="rId61" Type="http://schemas.openxmlformats.org/officeDocument/2006/relationships/hyperlink" Target="http://hudoc.echr.coe.int/eng?i=001-110023" TargetMode="External"/><Relationship Id="rId571" Type="http://schemas.openxmlformats.org/officeDocument/2006/relationships/hyperlink" Target="https://hudoc.echr.coe.int/eng?i=001-212125" TargetMode="External"/><Relationship Id="rId669" Type="http://schemas.openxmlformats.org/officeDocument/2006/relationships/hyperlink" Target="http://hudoc.echr.coe.int/eng?i=001-202346" TargetMode="External"/><Relationship Id="rId876" Type="http://schemas.openxmlformats.org/officeDocument/2006/relationships/hyperlink" Target="http://hudoc.echr.coe.int/eng?i=001-155815" TargetMode="External"/><Relationship Id="rId1299" Type="http://schemas.openxmlformats.org/officeDocument/2006/relationships/hyperlink" Target="http://hudoc.echr.coe.int/eng?i=001-22099" TargetMode="External"/><Relationship Id="rId1727" Type="http://schemas.openxmlformats.org/officeDocument/2006/relationships/hyperlink" Target="http://hudoc.echr.coe.int/eng?i=001-81359" TargetMode="External"/><Relationship Id="rId1934" Type="http://schemas.openxmlformats.org/officeDocument/2006/relationships/hyperlink" Target="http://hudoc.echr.coe.int/eng?i=001-60522" TargetMode="External"/><Relationship Id="rId2252" Type="http://schemas.openxmlformats.org/officeDocument/2006/relationships/hyperlink" Target="http://hudoc.echr.coe.int/eng?i=001-147789" TargetMode="External"/><Relationship Id="rId2557" Type="http://schemas.openxmlformats.org/officeDocument/2006/relationships/hyperlink" Target="http://hudoc.echr.coe.int/eng?i=001-157263" TargetMode="External"/><Relationship Id="rId19" Type="http://schemas.openxmlformats.org/officeDocument/2006/relationships/hyperlink" Target="http://hudoc.echr.coe.int/eng?i=001-165032" TargetMode="External"/><Relationship Id="rId224" Type="http://schemas.openxmlformats.org/officeDocument/2006/relationships/hyperlink" Target="http://hudoc.echr.coe.int/eng?i=001-57619" TargetMode="External"/><Relationship Id="rId431" Type="http://schemas.openxmlformats.org/officeDocument/2006/relationships/hyperlink" Target="http://hudoc.echr.coe.int/eng?i=001-60484" TargetMode="External"/><Relationship Id="rId529" Type="http://schemas.openxmlformats.org/officeDocument/2006/relationships/hyperlink" Target="http://hudoc.echr.coe.int/eng?i=001-188985" TargetMode="External"/><Relationship Id="rId736" Type="http://schemas.openxmlformats.org/officeDocument/2006/relationships/hyperlink" Target="http://hudoc.echr.coe.int/eng?i=001-68136" TargetMode="External"/><Relationship Id="rId1061" Type="http://schemas.openxmlformats.org/officeDocument/2006/relationships/hyperlink" Target="http://hudoc.echr.coe.int/eng?i=001-198717" TargetMode="External"/><Relationship Id="rId1159" Type="http://schemas.openxmlformats.org/officeDocument/2006/relationships/hyperlink" Target="http://hudoc.echr.coe.int/eng?i=001-171942" TargetMode="External"/><Relationship Id="rId1366" Type="http://schemas.openxmlformats.org/officeDocument/2006/relationships/hyperlink" Target="http://hudoc.echr.coe.int/eng?i=001-114056" TargetMode="External"/><Relationship Id="rId2112" Type="http://schemas.openxmlformats.org/officeDocument/2006/relationships/hyperlink" Target="http://hudoc.echr.coe.int/eng?i=001-205862" TargetMode="External"/><Relationship Id="rId2196" Type="http://schemas.openxmlformats.org/officeDocument/2006/relationships/hyperlink" Target="http://hudoc.echr.coe.int/eng?i=001-175359" TargetMode="External"/><Relationship Id="rId2417" Type="http://schemas.openxmlformats.org/officeDocument/2006/relationships/hyperlink" Target="https://hudoc.echr.coe.int/eng?i=001-213213" TargetMode="External"/><Relationship Id="rId2764" Type="http://schemas.openxmlformats.org/officeDocument/2006/relationships/hyperlink" Target="https://hudoc.echr.coe.int/eng?i=001-216574" TargetMode="External"/><Relationship Id="rId168" Type="http://schemas.openxmlformats.org/officeDocument/2006/relationships/hyperlink" Target="https://hudoc.echr.coe.int/eng%23%7b%22docname%22:%5b%22akbay%22%5d,%22itemid%22:%5b%22001-204996%22%5d%7d" TargetMode="External"/><Relationship Id="rId943" Type="http://schemas.openxmlformats.org/officeDocument/2006/relationships/hyperlink" Target="http://hudoc.echr.coe.int/eng?i=001-90535" TargetMode="External"/><Relationship Id="rId1019" Type="http://schemas.openxmlformats.org/officeDocument/2006/relationships/hyperlink" Target="http://hudoc.echr.coe.int/eng?i=001-181591" TargetMode="External"/><Relationship Id="rId1573" Type="http://schemas.openxmlformats.org/officeDocument/2006/relationships/hyperlink" Target="http://hudoc.echr.coe.int/eng?i=001-111634" TargetMode="External"/><Relationship Id="rId1780" Type="http://schemas.openxmlformats.org/officeDocument/2006/relationships/hyperlink" Target="http://hudoc.echr.coe.int/eng?i=001-99843" TargetMode="External"/><Relationship Id="rId1878" Type="http://schemas.openxmlformats.org/officeDocument/2006/relationships/hyperlink" Target="http://hudoc.echr.coe.int/eng?i=001-110178" TargetMode="External"/><Relationship Id="rId2624" Type="http://schemas.openxmlformats.org/officeDocument/2006/relationships/hyperlink" Target="http://hudoc.echr.coe.int/eng?i=001-202437" TargetMode="External"/><Relationship Id="rId2831" Type="http://schemas.openxmlformats.org/officeDocument/2006/relationships/hyperlink" Target="https://hudoc.echr.coe.int/eng?i=001-216018" TargetMode="External"/><Relationship Id="rId72" Type="http://schemas.openxmlformats.org/officeDocument/2006/relationships/hyperlink" Target="http://hudoc.echr.coe.int/eng?i=001-90353" TargetMode="External"/><Relationship Id="rId375" Type="http://schemas.openxmlformats.org/officeDocument/2006/relationships/hyperlink" Target="https://hudoc.echr.coe.int/eng?i=001-211785" TargetMode="External"/><Relationship Id="rId582" Type="http://schemas.openxmlformats.org/officeDocument/2006/relationships/hyperlink" Target="http://hudoc.echr.coe.int/eng?i=001-99015" TargetMode="External"/><Relationship Id="rId803" Type="http://schemas.openxmlformats.org/officeDocument/2006/relationships/hyperlink" Target="http://hudoc.echr.coe.int/eng?i=001-170054" TargetMode="External"/><Relationship Id="rId1226" Type="http://schemas.openxmlformats.org/officeDocument/2006/relationships/hyperlink" Target="http://hudoc.echr.coe.int/eng?i=001-90390" TargetMode="External"/><Relationship Id="rId1433" Type="http://schemas.openxmlformats.org/officeDocument/2006/relationships/hyperlink" Target="http://hudoc.echr.coe.int/eng?i=001-154210" TargetMode="External"/><Relationship Id="rId1640" Type="http://schemas.openxmlformats.org/officeDocument/2006/relationships/hyperlink" Target="http://hudoc.echr.coe.int/eng?i=001-141794" TargetMode="External"/><Relationship Id="rId1738" Type="http://schemas.openxmlformats.org/officeDocument/2006/relationships/hyperlink" Target="http://hudoc.echr.coe.int/eng?i=001-167176" TargetMode="External"/><Relationship Id="rId2056" Type="http://schemas.openxmlformats.org/officeDocument/2006/relationships/hyperlink" Target="http://hudoc.echr.coe.int/eng?i=001-104524" TargetMode="External"/><Relationship Id="rId2263" Type="http://schemas.openxmlformats.org/officeDocument/2006/relationships/hyperlink" Target="https://hudoc.echr.coe.int/eng%23%7b%22appno%22:%5b%2222909/10%22%5d%7d" TargetMode="External"/><Relationship Id="rId2470" Type="http://schemas.openxmlformats.org/officeDocument/2006/relationships/hyperlink" Target="http://hudoc.echr.coe.int/eng?i=001-68477" TargetMode="External"/><Relationship Id="rId3" Type="http://schemas.openxmlformats.org/officeDocument/2006/relationships/styles" Target="styles.xml"/><Relationship Id="rId235" Type="http://schemas.openxmlformats.org/officeDocument/2006/relationships/hyperlink" Target="http://hudoc.echr.coe.int/eng?i=001-180276" TargetMode="External"/><Relationship Id="rId442" Type="http://schemas.openxmlformats.org/officeDocument/2006/relationships/hyperlink" Target="http://hudoc.echr.coe.int/eng?i=001-193486" TargetMode="External"/><Relationship Id="rId887" Type="http://schemas.openxmlformats.org/officeDocument/2006/relationships/hyperlink" Target="http://hudoc.echr.coe.int/fre?i=001-202475" TargetMode="External"/><Relationship Id="rId1072" Type="http://schemas.openxmlformats.org/officeDocument/2006/relationships/hyperlink" Target="https://hudoc.echr.coe.int/eng?i=001-215709" TargetMode="External"/><Relationship Id="rId1500" Type="http://schemas.openxmlformats.org/officeDocument/2006/relationships/hyperlink" Target="http://hudoc.echr.coe.int/eng?i=001-57493" TargetMode="External"/><Relationship Id="rId1945" Type="http://schemas.openxmlformats.org/officeDocument/2006/relationships/hyperlink" Target="http://hudoc.echr.coe.int/eng?i=001-162688" TargetMode="External"/><Relationship Id="rId2123" Type="http://schemas.openxmlformats.org/officeDocument/2006/relationships/hyperlink" Target="http://hudoc.echr.coe.int/eng?i=001-203849" TargetMode="External"/><Relationship Id="rId2330" Type="http://schemas.openxmlformats.org/officeDocument/2006/relationships/hyperlink" Target="http://hudoc.echr.coe.int/eng?i=001-160431" TargetMode="External"/><Relationship Id="rId2568" Type="http://schemas.openxmlformats.org/officeDocument/2006/relationships/hyperlink" Target="http://hudoc.echr.coe.int/eng?i=001-104875" TargetMode="External"/><Relationship Id="rId2775" Type="http://schemas.openxmlformats.org/officeDocument/2006/relationships/hyperlink" Target="http://hudoc.echr.coe.int/eng?i=001-187580" TargetMode="External"/><Relationship Id="rId302" Type="http://schemas.openxmlformats.org/officeDocument/2006/relationships/hyperlink" Target="http://hudoc.echr.coe.int/eng?i=001-193088" TargetMode="External"/><Relationship Id="rId747" Type="http://schemas.openxmlformats.org/officeDocument/2006/relationships/hyperlink" Target="http://hudoc.echr.coe.int/eng?i=001-22642" TargetMode="External"/><Relationship Id="rId954" Type="http://schemas.openxmlformats.org/officeDocument/2006/relationships/hyperlink" Target="http://hudoc.echr.coe.int/eng?i=001-67445" TargetMode="External"/><Relationship Id="rId1377" Type="http://schemas.openxmlformats.org/officeDocument/2006/relationships/hyperlink" Target="http://hudoc.echr.coe.int/eng?i=001-78623" TargetMode="External"/><Relationship Id="rId1584" Type="http://schemas.openxmlformats.org/officeDocument/2006/relationships/hyperlink" Target="http://hudoc.echr.coe.int/eng?i=001-98575" TargetMode="External"/><Relationship Id="rId1791" Type="http://schemas.openxmlformats.org/officeDocument/2006/relationships/hyperlink" Target="http://hudoc.echr.coe.int/eng?i=001-109098" TargetMode="External"/><Relationship Id="rId1805" Type="http://schemas.openxmlformats.org/officeDocument/2006/relationships/hyperlink" Target="http://hudoc.echr.coe.int/eng?i=001-172321" TargetMode="External"/><Relationship Id="rId2428" Type="http://schemas.openxmlformats.org/officeDocument/2006/relationships/hyperlink" Target="http://hudoc.echr.coe.int/eng?i=001-202524" TargetMode="External"/><Relationship Id="rId2635" Type="http://schemas.openxmlformats.org/officeDocument/2006/relationships/hyperlink" Target="https://hudoc.echr.coe.int/eng?i=001-216434" TargetMode="External"/><Relationship Id="rId2842" Type="http://schemas.openxmlformats.org/officeDocument/2006/relationships/hyperlink" Target="https://hudoc.echr.coe.int/eng?i=001-215461" TargetMode="External"/><Relationship Id="rId83" Type="http://schemas.openxmlformats.org/officeDocument/2006/relationships/hyperlink" Target="http://hudoc.echr.coe.int/eng?i=001-61731" TargetMode="External"/><Relationship Id="rId179" Type="http://schemas.openxmlformats.org/officeDocument/2006/relationships/hyperlink" Target="https://hudoc.echr.coe.int/eng%23%7b%22docname%22:%5b%22akbay%22%5d,%22itemid%22:%5b%22001-204996%22%5d%7d" TargetMode="External"/><Relationship Id="rId386" Type="http://schemas.openxmlformats.org/officeDocument/2006/relationships/hyperlink" Target="https://hudoc.echr.coe.int/eng?i=001-195909" TargetMode="External"/><Relationship Id="rId593" Type="http://schemas.openxmlformats.org/officeDocument/2006/relationships/hyperlink" Target="https://hudoc.echr.coe.int/eng?i=001-160441" TargetMode="External"/><Relationship Id="rId607" Type="http://schemas.openxmlformats.org/officeDocument/2006/relationships/hyperlink" Target="http://hudoc.echr.coe.int/eng?i=001-2584" TargetMode="External"/><Relationship Id="rId814" Type="http://schemas.openxmlformats.org/officeDocument/2006/relationships/hyperlink" Target="http://hudoc.echr.coe.int/eng?i=001-200838" TargetMode="External"/><Relationship Id="rId1237" Type="http://schemas.openxmlformats.org/officeDocument/2006/relationships/hyperlink" Target="http://hudoc.echr.coe.int/eng?i=001-82839" TargetMode="External"/><Relationship Id="rId1444" Type="http://schemas.openxmlformats.org/officeDocument/2006/relationships/hyperlink" Target="http://hudoc.echr.coe.int/eng?i=001-58910" TargetMode="External"/><Relationship Id="rId1651" Type="http://schemas.openxmlformats.org/officeDocument/2006/relationships/hyperlink" Target="http://hudoc.echr.coe.int/eng?i=001-175646" TargetMode="External"/><Relationship Id="rId1889" Type="http://schemas.openxmlformats.org/officeDocument/2006/relationships/hyperlink" Target="http://hudoc.echr.coe.int/eng?i=001-103812" TargetMode="External"/><Relationship Id="rId2067" Type="http://schemas.openxmlformats.org/officeDocument/2006/relationships/hyperlink" Target="http://hudoc.echr.coe.int/eng?i=001-126835" TargetMode="External"/><Relationship Id="rId2274" Type="http://schemas.openxmlformats.org/officeDocument/2006/relationships/hyperlink" Target="http://hudoc.echr.coe.int/eng?i=001-201687" TargetMode="External"/><Relationship Id="rId2481" Type="http://schemas.openxmlformats.org/officeDocument/2006/relationships/hyperlink" Target="http://hudoc.echr.coe.int/eng?i=001-103739" TargetMode="External"/><Relationship Id="rId2702" Type="http://schemas.openxmlformats.org/officeDocument/2006/relationships/hyperlink" Target="http://hudoc.echr.coe.int/eng?i=001-79022" TargetMode="External"/><Relationship Id="rId246" Type="http://schemas.openxmlformats.org/officeDocument/2006/relationships/hyperlink" Target="http://hudoc.echr.coe.int/eng?i=001-191649" TargetMode="External"/><Relationship Id="rId453" Type="http://schemas.openxmlformats.org/officeDocument/2006/relationships/hyperlink" Target="http://hudoc.echr.coe.int/eng?i=001-99898" TargetMode="External"/><Relationship Id="rId660" Type="http://schemas.openxmlformats.org/officeDocument/2006/relationships/hyperlink" Target="https://hudoc.echr.coe.int/eng%23%7b%22docname%22:%5b%22demirtas%22%5d,%22documentcollectionid2%22:%5b%22GRANDCHAMBER%22,%22CHAMBER%22%5d,%22itemid%22:%5b%22001-207173%22%5d%7d" TargetMode="External"/><Relationship Id="rId898" Type="http://schemas.openxmlformats.org/officeDocument/2006/relationships/hyperlink" Target="http://hudoc.echr.coe.int/eng?i=001-110986" TargetMode="External"/><Relationship Id="rId1083" Type="http://schemas.openxmlformats.org/officeDocument/2006/relationships/hyperlink" Target="http://hudoc.echr.coe.int/eng?i=001-175502" TargetMode="External"/><Relationship Id="rId1290" Type="http://schemas.openxmlformats.org/officeDocument/2006/relationships/hyperlink" Target="http://hudoc.echr.coe.int/eng?i=001-22099" TargetMode="External"/><Relationship Id="rId1304" Type="http://schemas.openxmlformats.org/officeDocument/2006/relationships/hyperlink" Target="http://hudoc.echr.coe.int/eng?i=001-155662" TargetMode="External"/><Relationship Id="rId1511" Type="http://schemas.openxmlformats.org/officeDocument/2006/relationships/hyperlink" Target="http://hudoc.echr.coe.int/eng?i=001-94162" TargetMode="External"/><Relationship Id="rId1749" Type="http://schemas.openxmlformats.org/officeDocument/2006/relationships/hyperlink" Target="http://hudoc.echr.coe.int/eng?i=001-102535" TargetMode="External"/><Relationship Id="rId1956" Type="http://schemas.openxmlformats.org/officeDocument/2006/relationships/hyperlink" Target="http://hudoc.echr.coe.int/eng?i=001-160998" TargetMode="External"/><Relationship Id="rId2134" Type="http://schemas.openxmlformats.org/officeDocument/2006/relationships/hyperlink" Target="http://hudoc.echr.coe.int/eng?i=001-57774" TargetMode="External"/><Relationship Id="rId2341" Type="http://schemas.openxmlformats.org/officeDocument/2006/relationships/hyperlink" Target="http://hudoc.echr.coe.int/eng?i=001-57941" TargetMode="External"/><Relationship Id="rId2579" Type="http://schemas.openxmlformats.org/officeDocument/2006/relationships/hyperlink" Target="http://hudoc.echr.coe.int/eng?i=001-113723" TargetMode="External"/><Relationship Id="rId2786" Type="http://schemas.openxmlformats.org/officeDocument/2006/relationships/hyperlink" Target="http://hudoc.echr.coe.int/eng?i=001-94162" TargetMode="External"/><Relationship Id="rId106" Type="http://schemas.openxmlformats.org/officeDocument/2006/relationships/hyperlink" Target="http://hudoc.echr.coe.int/eng?i=001-86146" TargetMode="External"/><Relationship Id="rId313" Type="http://schemas.openxmlformats.org/officeDocument/2006/relationships/hyperlink" Target="http://hudoc.echr.coe.int/eng?i=001-206265" TargetMode="External"/><Relationship Id="rId758" Type="http://schemas.openxmlformats.org/officeDocument/2006/relationships/hyperlink" Target="http://hudoc.echr.coe.int/eng?i=001-23731" TargetMode="External"/><Relationship Id="rId965" Type="http://schemas.openxmlformats.org/officeDocument/2006/relationships/hyperlink" Target="http://hudoc.echr.coe.int/eng?i=001-94162" TargetMode="External"/><Relationship Id="rId1150" Type="http://schemas.openxmlformats.org/officeDocument/2006/relationships/hyperlink" Target="http://hudoc.echr.coe.int/eng?i=001-108223" TargetMode="External"/><Relationship Id="rId1388" Type="http://schemas.openxmlformats.org/officeDocument/2006/relationships/hyperlink" Target="http://hudoc.echr.coe.int/eng?i=001-92351" TargetMode="External"/><Relationship Id="rId1595" Type="http://schemas.openxmlformats.org/officeDocument/2006/relationships/hyperlink" Target="http://hudoc.echr.coe.int/eng?i=001-127684" TargetMode="External"/><Relationship Id="rId1609" Type="http://schemas.openxmlformats.org/officeDocument/2006/relationships/hyperlink" Target="http://hudoc.echr.coe.int/eng?i=001-87352" TargetMode="External"/><Relationship Id="rId1816" Type="http://schemas.openxmlformats.org/officeDocument/2006/relationships/hyperlink" Target="http://hudoc.echr.coe.int/eng?i=001-103660" TargetMode="External"/><Relationship Id="rId2439" Type="http://schemas.openxmlformats.org/officeDocument/2006/relationships/hyperlink" Target="http://hudoc.echr.coe.int/eng?i=001-196480" TargetMode="External"/><Relationship Id="rId2646" Type="http://schemas.openxmlformats.org/officeDocument/2006/relationships/hyperlink" Target="http://hudoc.echr.coe.int/eng?i=001-45006" TargetMode="External"/><Relationship Id="rId2853" Type="http://schemas.openxmlformats.org/officeDocument/2006/relationships/hyperlink" Target="http://hudoc.echr.coe.int/eng?i=001-169704" TargetMode="External"/><Relationship Id="rId10" Type="http://schemas.openxmlformats.org/officeDocument/2006/relationships/hyperlink" Target="mailto:publishing@echr.coe.int" TargetMode="External"/><Relationship Id="rId94" Type="http://schemas.openxmlformats.org/officeDocument/2006/relationships/hyperlink" Target="http://hudoc.echr.coe.int/eng?i=001-92581" TargetMode="External"/><Relationship Id="rId397" Type="http://schemas.openxmlformats.org/officeDocument/2006/relationships/hyperlink" Target="http://hudoc.echr.coe.int/eng?i=001-61247" TargetMode="External"/><Relationship Id="rId520" Type="http://schemas.openxmlformats.org/officeDocument/2006/relationships/hyperlink" Target="http://hudoc.echr.coe.int/eng?i=001-142199" TargetMode="External"/><Relationship Id="rId618" Type="http://schemas.openxmlformats.org/officeDocument/2006/relationships/hyperlink" Target="http://hudoc.echr.coe.int/eng?i=001-196607" TargetMode="External"/><Relationship Id="rId825" Type="http://schemas.openxmlformats.org/officeDocument/2006/relationships/hyperlink" Target="http://hudoc.echr.coe.int/eng?i=001-200446" TargetMode="External"/><Relationship Id="rId1248" Type="http://schemas.openxmlformats.org/officeDocument/2006/relationships/hyperlink" Target="https://hudoc.echr.coe.int/eng?i=001-212465" TargetMode="External"/><Relationship Id="rId1455" Type="http://schemas.openxmlformats.org/officeDocument/2006/relationships/hyperlink" Target="http://hudoc.echr.coe.int/eng?i=001-69564" TargetMode="External"/><Relationship Id="rId1662" Type="http://schemas.openxmlformats.org/officeDocument/2006/relationships/hyperlink" Target="https://www.echr.coe.int/Documents/Guide_Art_9_ENG.pdf" TargetMode="External"/><Relationship Id="rId2078" Type="http://schemas.openxmlformats.org/officeDocument/2006/relationships/hyperlink" Target="http://hudoc.echr.coe.int/eng?i=001-44574" TargetMode="External"/><Relationship Id="rId2201" Type="http://schemas.openxmlformats.org/officeDocument/2006/relationships/hyperlink" Target="https://hudoc.echr.coe.int/eng?i=001-213896" TargetMode="External"/><Relationship Id="rId2285" Type="http://schemas.openxmlformats.org/officeDocument/2006/relationships/hyperlink" Target="http://hudoc.echr.coe.int/eng?i=001-77533" TargetMode="External"/><Relationship Id="rId2492" Type="http://schemas.openxmlformats.org/officeDocument/2006/relationships/hyperlink" Target="http://hudoc.echr.coe.int/eng?i=001-76084" TargetMode="External"/><Relationship Id="rId2506" Type="http://schemas.openxmlformats.org/officeDocument/2006/relationships/hyperlink" Target="http://hudoc.echr.coe.int/eng?i=001-187605" TargetMode="External"/><Relationship Id="rId257" Type="http://schemas.openxmlformats.org/officeDocument/2006/relationships/hyperlink" Target="http://hudoc.echr.coe.int/eng?i=001-72925" TargetMode="External"/><Relationship Id="rId464" Type="http://schemas.openxmlformats.org/officeDocument/2006/relationships/hyperlink" Target="http://hudoc.echr.coe.int/eng?i=001-97575" TargetMode="External"/><Relationship Id="rId1010" Type="http://schemas.openxmlformats.org/officeDocument/2006/relationships/hyperlink" Target="http://hudoc.echr.coe.int/eng?i=001-94135" TargetMode="External"/><Relationship Id="rId1094" Type="http://schemas.openxmlformats.org/officeDocument/2006/relationships/hyperlink" Target="http://hudoc.echr.coe.int/eng?i=001-169650" TargetMode="External"/><Relationship Id="rId1108" Type="http://schemas.openxmlformats.org/officeDocument/2006/relationships/hyperlink" Target="http://hudoc.echr.coe.int/eng?i=001-61707" TargetMode="External"/><Relationship Id="rId1315" Type="http://schemas.openxmlformats.org/officeDocument/2006/relationships/hyperlink" Target="http://hudoc.echr.coe.int/eng?i=001-61886" TargetMode="External"/><Relationship Id="rId1967" Type="http://schemas.openxmlformats.org/officeDocument/2006/relationships/hyperlink" Target="http://hudoc.echr.coe.int/eng?i=001-139052" TargetMode="External"/><Relationship Id="rId2145" Type="http://schemas.openxmlformats.org/officeDocument/2006/relationships/hyperlink" Target="http://hudoc.echr.coe.int/eng?i=001-169649" TargetMode="External"/><Relationship Id="rId2713" Type="http://schemas.openxmlformats.org/officeDocument/2006/relationships/hyperlink" Target="http://hudoc.echr.coe.int/eng?i=001-140947" TargetMode="External"/><Relationship Id="rId2797" Type="http://schemas.openxmlformats.org/officeDocument/2006/relationships/hyperlink" Target="http://hudoc.echr.coe.int/eng?i=001-60739" TargetMode="External"/><Relationship Id="rId117" Type="http://schemas.openxmlformats.org/officeDocument/2006/relationships/hyperlink" Target="http://hudoc.echr.coe.int/eng?i=001-200344" TargetMode="External"/><Relationship Id="rId671" Type="http://schemas.openxmlformats.org/officeDocument/2006/relationships/hyperlink" Target="http://hudoc.echr.coe.int/eng?i=001-195531" TargetMode="External"/><Relationship Id="rId769" Type="http://schemas.openxmlformats.org/officeDocument/2006/relationships/hyperlink" Target="http://hudoc.echr.coe.int/eng?i=001-72629" TargetMode="External"/><Relationship Id="rId976" Type="http://schemas.openxmlformats.org/officeDocument/2006/relationships/hyperlink" Target="http://hudoc.echr.coe.int/eng?i=001-111957" TargetMode="External"/><Relationship Id="rId1399" Type="http://schemas.openxmlformats.org/officeDocument/2006/relationships/hyperlink" Target="http://hudoc.echr.coe.int/eng?i=001-72789" TargetMode="External"/><Relationship Id="rId2352" Type="http://schemas.openxmlformats.org/officeDocument/2006/relationships/hyperlink" Target="http://hudoc.echr.coe.int/eng?i=001-106652" TargetMode="External"/><Relationship Id="rId2657" Type="http://schemas.openxmlformats.org/officeDocument/2006/relationships/hyperlink" Target="http://hudoc.echr.coe.int/eng?i=001-119416" TargetMode="External"/><Relationship Id="rId324" Type="http://schemas.openxmlformats.org/officeDocument/2006/relationships/hyperlink" Target="https://hudoc.echr.coe.int/eng%23%7b%22sort%22:%5b%22EMPTY%22%5d,%22appno%22:%5b%222145/16%22%5d,%22documentcollectionid2%22:%5b%22GRANDCHAMBER%22,%22CHAMBER%22%5d,%22itemid%22:%5b%22001-207364%22%5d%7d" TargetMode="External"/><Relationship Id="rId531" Type="http://schemas.openxmlformats.org/officeDocument/2006/relationships/hyperlink" Target="http://hudoc.echr.coe.int/eng?i=001-91413" TargetMode="External"/><Relationship Id="rId629" Type="http://schemas.openxmlformats.org/officeDocument/2006/relationships/hyperlink" Target="http://hudoc.echr.coe.int/eng?i=001-23468" TargetMode="External"/><Relationship Id="rId1161" Type="http://schemas.openxmlformats.org/officeDocument/2006/relationships/hyperlink" Target="http://hudoc.echr.coe.int/eng?i=001-145466" TargetMode="External"/><Relationship Id="rId1259" Type="http://schemas.openxmlformats.org/officeDocument/2006/relationships/hyperlink" Target="http://hudoc.echr.coe.int/eng?i=001-201098" TargetMode="External"/><Relationship Id="rId1466" Type="http://schemas.openxmlformats.org/officeDocument/2006/relationships/hyperlink" Target="http://hudoc.echr.coe.int/eng?i=001-90868" TargetMode="External"/><Relationship Id="rId2005" Type="http://schemas.openxmlformats.org/officeDocument/2006/relationships/hyperlink" Target="http://hudoc.echr.coe.int/eng?i=001-163661" TargetMode="External"/><Relationship Id="rId2212" Type="http://schemas.openxmlformats.org/officeDocument/2006/relationships/hyperlink" Target="http://hudoc.echr.coe.int/eng?i=001-104098" TargetMode="External"/><Relationship Id="rId836" Type="http://schemas.openxmlformats.org/officeDocument/2006/relationships/hyperlink" Target="http://hudoc.echr.coe.int/eng?i=001-80795" TargetMode="External"/><Relationship Id="rId1021" Type="http://schemas.openxmlformats.org/officeDocument/2006/relationships/hyperlink" Target="http://hudoc.echr.coe.int/eng?i=001-45006" TargetMode="External"/><Relationship Id="rId1119" Type="http://schemas.openxmlformats.org/officeDocument/2006/relationships/hyperlink" Target="http://hudoc.echr.coe.int/eng?i=001-31545" TargetMode="External"/><Relationship Id="rId1673" Type="http://schemas.openxmlformats.org/officeDocument/2006/relationships/hyperlink" Target="http://hudoc.echr.coe.int/eng?i=001-70407" TargetMode="External"/><Relationship Id="rId1880" Type="http://schemas.openxmlformats.org/officeDocument/2006/relationships/hyperlink" Target="http://hudoc.echr.coe.int/eng?i=001-201341" TargetMode="External"/><Relationship Id="rId1978" Type="http://schemas.openxmlformats.org/officeDocument/2006/relationships/hyperlink" Target="http://hudoc.echr.coe.int/eng?i=001-59470" TargetMode="External"/><Relationship Id="rId2517" Type="http://schemas.openxmlformats.org/officeDocument/2006/relationships/hyperlink" Target="http://hudoc.echr.coe.int/eng?i=001-23859" TargetMode="External"/><Relationship Id="rId2724" Type="http://schemas.openxmlformats.org/officeDocument/2006/relationships/hyperlink" Target="http://hudoc.echr.coe.int/eng?i=001-146873" TargetMode="External"/><Relationship Id="rId903" Type="http://schemas.openxmlformats.org/officeDocument/2006/relationships/hyperlink" Target="http://hudoc.echr.coe.int/eng?i=001-161822" TargetMode="External"/><Relationship Id="rId1326" Type="http://schemas.openxmlformats.org/officeDocument/2006/relationships/hyperlink" Target="http://hudoc.echr.coe.int/eng?i=001-58007" TargetMode="External"/><Relationship Id="rId1533" Type="http://schemas.openxmlformats.org/officeDocument/2006/relationships/hyperlink" Target="http://hudoc.echr.coe.int/eng?i=001-72688" TargetMode="External"/><Relationship Id="rId1740" Type="http://schemas.openxmlformats.org/officeDocument/2006/relationships/hyperlink" Target="http://hudoc.echr.coe.int/eng?i=001-152831" TargetMode="External"/><Relationship Id="rId32" Type="http://schemas.openxmlformats.org/officeDocument/2006/relationships/hyperlink" Target="http://www.echr.coe.int/Documents/2011_Izmir_FinalDeclaration_ENG.pdf" TargetMode="External"/><Relationship Id="rId1600" Type="http://schemas.openxmlformats.org/officeDocument/2006/relationships/hyperlink" Target="http://hudoc.echr.coe.int/eng?i=001-182448" TargetMode="External"/><Relationship Id="rId1838" Type="http://schemas.openxmlformats.org/officeDocument/2006/relationships/hyperlink" Target="http://hudoc.echr.coe.int/eng?i=001-145307" TargetMode="External"/><Relationship Id="rId181" Type="http://schemas.openxmlformats.org/officeDocument/2006/relationships/hyperlink" Target="http://hudoc.echr.coe.int/eng?i=001-95031" TargetMode="External"/><Relationship Id="rId1905" Type="http://schemas.openxmlformats.org/officeDocument/2006/relationships/hyperlink" Target="http://hudoc.echr.coe.int/eng?i=001-58232" TargetMode="External"/><Relationship Id="rId279" Type="http://schemas.openxmlformats.org/officeDocument/2006/relationships/hyperlink" Target="http://hudoc.echr.coe.int/eng?i=001-172327" TargetMode="External"/><Relationship Id="rId486" Type="http://schemas.openxmlformats.org/officeDocument/2006/relationships/hyperlink" Target="http://hudoc.echr.coe.int/eng?i=001-77932" TargetMode="External"/><Relationship Id="rId693" Type="http://schemas.openxmlformats.org/officeDocument/2006/relationships/hyperlink" Target="http://hudoc.echr.coe.int/eng?i=001-207757" TargetMode="External"/><Relationship Id="rId2167" Type="http://schemas.openxmlformats.org/officeDocument/2006/relationships/hyperlink" Target="http://hudoc.echr.coe.int/eng?i=001-23238" TargetMode="External"/><Relationship Id="rId2374" Type="http://schemas.openxmlformats.org/officeDocument/2006/relationships/hyperlink" Target="http://hudoc.echr.coe.int/eng?i=001-91413" TargetMode="External"/><Relationship Id="rId2581" Type="http://schemas.openxmlformats.org/officeDocument/2006/relationships/hyperlink" Target="http://hudoc.echr.coe.int/eng?i=001-60706" TargetMode="External"/><Relationship Id="rId139" Type="http://schemas.openxmlformats.org/officeDocument/2006/relationships/hyperlink" Target="http://hudoc.echr.coe.int/eng?i=001-58102" TargetMode="External"/><Relationship Id="rId346" Type="http://schemas.openxmlformats.org/officeDocument/2006/relationships/hyperlink" Target="http://hudoc.echr.coe.int/eng?i=001-79022" TargetMode="External"/><Relationship Id="rId553" Type="http://schemas.openxmlformats.org/officeDocument/2006/relationships/hyperlink" Target="http://hudoc.echr.coe.int/eng?i=001-200657" TargetMode="External"/><Relationship Id="rId760" Type="http://schemas.openxmlformats.org/officeDocument/2006/relationships/hyperlink" Target="http://hudoc.echr.coe.int/eng?i=001-58056" TargetMode="External"/><Relationship Id="rId998" Type="http://schemas.openxmlformats.org/officeDocument/2006/relationships/hyperlink" Target="http://hudoc.echr.coe.int/eng?i=001-147032" TargetMode="External"/><Relationship Id="rId1183" Type="http://schemas.openxmlformats.org/officeDocument/2006/relationships/hyperlink" Target="https://hudoc.echr.coe.int/eng%23%7b%22sort%22:%5b%22EMPTY%22%5d,%22appno%22:%5b%2273313/17%22%5d,%22documentcollectionid2%22:%5b%22GRANDCHAMBER%22,%22CHAMBER%22,%22DECISIONS%22%5d,%22itemid%22:%5b%22001-207467%22%5d%7d" TargetMode="External"/><Relationship Id="rId1390" Type="http://schemas.openxmlformats.org/officeDocument/2006/relationships/hyperlink" Target="http://hudoc.echr.coe.int/eng?i=001-1390" TargetMode="External"/><Relationship Id="rId2027" Type="http://schemas.openxmlformats.org/officeDocument/2006/relationships/hyperlink" Target="http://hudoc.echr.coe.int/eng?i=001-122432" TargetMode="External"/><Relationship Id="rId2234" Type="http://schemas.openxmlformats.org/officeDocument/2006/relationships/hyperlink" Target="http://hudoc.echr.coe.int/eng?i=001-142444" TargetMode="External"/><Relationship Id="rId2441" Type="http://schemas.openxmlformats.org/officeDocument/2006/relationships/hyperlink" Target="http://hudoc.echr.coe.int/eng?i=001-144681" TargetMode="External"/><Relationship Id="rId2679" Type="http://schemas.openxmlformats.org/officeDocument/2006/relationships/hyperlink" Target="http://hudoc.echr.coe.int/eng?i=001-91222" TargetMode="External"/><Relationship Id="rId206" Type="http://schemas.openxmlformats.org/officeDocument/2006/relationships/hyperlink" Target="http://hudoc.echr.coe.int/eng?i=001-193251" TargetMode="External"/><Relationship Id="rId413" Type="http://schemas.openxmlformats.org/officeDocument/2006/relationships/hyperlink" Target="http://hudoc.echr.coe.int/eng?i=001-202716" TargetMode="External"/><Relationship Id="rId858" Type="http://schemas.openxmlformats.org/officeDocument/2006/relationships/hyperlink" Target="http://hudoc.echr.coe.int/eng?i=001-72925" TargetMode="External"/><Relationship Id="rId1043" Type="http://schemas.openxmlformats.org/officeDocument/2006/relationships/hyperlink" Target="https://hudoc.echr.coe.int/eng%23%7b%22docname%22:%5b%22samadov%22%5d,%22documentcollectionid2%22:%5b%22GRANDCHAMBER%22,%22CHAMBER%22,%22DECISIONS%22%5d,%22itemid%22:%5b%22001-208277%22%5d%7d" TargetMode="External"/><Relationship Id="rId1488" Type="http://schemas.openxmlformats.org/officeDocument/2006/relationships/hyperlink" Target="http://hudoc.echr.coe.int/eng?i=001-1390" TargetMode="External"/><Relationship Id="rId1695" Type="http://schemas.openxmlformats.org/officeDocument/2006/relationships/hyperlink" Target="http://hudoc.echr.coe.int/eng?i=001-111373" TargetMode="External"/><Relationship Id="rId2539" Type="http://schemas.openxmlformats.org/officeDocument/2006/relationships/hyperlink" Target="https://hudoc.echr.coe.int/eng?i=001-216432" TargetMode="External"/><Relationship Id="rId2746" Type="http://schemas.openxmlformats.org/officeDocument/2006/relationships/hyperlink" Target="https://hudoc.echr.coe.int/eng?i=001-217625" TargetMode="External"/><Relationship Id="rId620" Type="http://schemas.openxmlformats.org/officeDocument/2006/relationships/hyperlink" Target="http://hudoc.echr.coe.int/eng?i=001-59100" TargetMode="External"/><Relationship Id="rId718" Type="http://schemas.openxmlformats.org/officeDocument/2006/relationships/hyperlink" Target="http://hudoc.echr.coe.int/eng?i=001-142196" TargetMode="External"/><Relationship Id="rId925" Type="http://schemas.openxmlformats.org/officeDocument/2006/relationships/hyperlink" Target="http://hudoc.echr.coe.int/eng?i=001-179556" TargetMode="External"/><Relationship Id="rId1250" Type="http://schemas.openxmlformats.org/officeDocument/2006/relationships/hyperlink" Target="http://hudoc.echr.coe.int/eng?i=001-138958" TargetMode="External"/><Relationship Id="rId1348" Type="http://schemas.openxmlformats.org/officeDocument/2006/relationships/hyperlink" Target="http://hudoc.echr.coe.int/eng?i=001-207757" TargetMode="External"/><Relationship Id="rId1555" Type="http://schemas.openxmlformats.org/officeDocument/2006/relationships/hyperlink" Target="http://hudoc.echr.coe.int/eng?i=001-43531" TargetMode="External"/><Relationship Id="rId1762" Type="http://schemas.openxmlformats.org/officeDocument/2006/relationships/hyperlink" Target="http://hudoc.echr.coe.int/eng?i=001-145307" TargetMode="External"/><Relationship Id="rId2301" Type="http://schemas.openxmlformats.org/officeDocument/2006/relationships/hyperlink" Target="http://hudoc.echr.coe.int/eng?i=001-71523" TargetMode="External"/><Relationship Id="rId2606" Type="http://schemas.openxmlformats.org/officeDocument/2006/relationships/hyperlink" Target="http://hudoc.echr.coe.int/eng?i=001-67328" TargetMode="External"/><Relationship Id="rId1110" Type="http://schemas.openxmlformats.org/officeDocument/2006/relationships/hyperlink" Target="http://hudoc.echr.coe.int/eng?i=001-178518" TargetMode="External"/><Relationship Id="rId1208" Type="http://schemas.openxmlformats.org/officeDocument/2006/relationships/hyperlink" Target="https://hudoc.echr.coe.int/eng?i=001-215461" TargetMode="External"/><Relationship Id="rId1415" Type="http://schemas.openxmlformats.org/officeDocument/2006/relationships/hyperlink" Target="http://hudoc.echr.coe.int/eng?i=001-186763" TargetMode="External"/><Relationship Id="rId2813" Type="http://schemas.openxmlformats.org/officeDocument/2006/relationships/hyperlink" Target="http://hudoc.echr.coe.int/eng?i=001-142199" TargetMode="External"/><Relationship Id="rId54" Type="http://schemas.openxmlformats.org/officeDocument/2006/relationships/hyperlink" Target="http://hudoc.echr.coe.int/eng?i=001-98220" TargetMode="External"/><Relationship Id="rId1622" Type="http://schemas.openxmlformats.org/officeDocument/2006/relationships/hyperlink" Target="http://hudoc.echr.coe.int/eng?i=001-106785" TargetMode="External"/><Relationship Id="rId1927" Type="http://schemas.openxmlformats.org/officeDocument/2006/relationships/hyperlink" Target="http://hudoc.echr.coe.int/eng?i=001-109577" TargetMode="External"/><Relationship Id="rId2091" Type="http://schemas.openxmlformats.org/officeDocument/2006/relationships/hyperlink" Target="http://hudoc.echr.coe.int/eng?i=001-189421" TargetMode="External"/><Relationship Id="rId2189" Type="http://schemas.openxmlformats.org/officeDocument/2006/relationships/hyperlink" Target="http://hudoc.echr.coe.int/eng?i=001-91516" TargetMode="External"/><Relationship Id="rId270" Type="http://schemas.openxmlformats.org/officeDocument/2006/relationships/hyperlink" Target="http://hudoc.echr.coe.int/eng?i=001-111399" TargetMode="External"/><Relationship Id="rId2396" Type="http://schemas.openxmlformats.org/officeDocument/2006/relationships/hyperlink" Target="http://hudoc.echr.coe.int/eng?i=001-4410" TargetMode="External"/><Relationship Id="rId130" Type="http://schemas.openxmlformats.org/officeDocument/2006/relationships/hyperlink" Target="http://hudoc.echr.coe.int/eng?i=001-179564" TargetMode="External"/><Relationship Id="rId368" Type="http://schemas.openxmlformats.org/officeDocument/2006/relationships/hyperlink" Target="http://hudoc.echr.coe.int/eng?i=001-57801" TargetMode="External"/><Relationship Id="rId575" Type="http://schemas.openxmlformats.org/officeDocument/2006/relationships/hyperlink" Target="http://hudoc.echr.coe.int/eng?i=001-58066" TargetMode="External"/><Relationship Id="rId782" Type="http://schemas.openxmlformats.org/officeDocument/2006/relationships/hyperlink" Target="http://hudoc.echr.coe.int/eng?i=001-142199" TargetMode="External"/><Relationship Id="rId2049" Type="http://schemas.openxmlformats.org/officeDocument/2006/relationships/hyperlink" Target="http://hudoc.echr.coe.int/eng?i=001-165374" TargetMode="External"/><Relationship Id="rId2256" Type="http://schemas.openxmlformats.org/officeDocument/2006/relationships/hyperlink" Target="http://hudoc.echr.coe.int/eng?i=001-97493" TargetMode="External"/><Relationship Id="rId2463" Type="http://schemas.openxmlformats.org/officeDocument/2006/relationships/hyperlink" Target="http://hudoc.echr.coe.int/eng?i=001-72886" TargetMode="External"/><Relationship Id="rId2670" Type="http://schemas.openxmlformats.org/officeDocument/2006/relationships/hyperlink" Target="http://hudoc.echr.coe.int/eng?i=001-96491" TargetMode="External"/><Relationship Id="rId228" Type="http://schemas.openxmlformats.org/officeDocument/2006/relationships/hyperlink" Target="http://hudoc.echr.coe.int/eng?i=001-23765" TargetMode="External"/><Relationship Id="rId435" Type="http://schemas.openxmlformats.org/officeDocument/2006/relationships/hyperlink" Target="http://hudoc.echr.coe.int/eng?i=001-73294" TargetMode="External"/><Relationship Id="rId642" Type="http://schemas.openxmlformats.org/officeDocument/2006/relationships/hyperlink" Target="http://hudoc.echr.coe.int/eng?i=001-98305" TargetMode="External"/><Relationship Id="rId1065" Type="http://schemas.openxmlformats.org/officeDocument/2006/relationships/hyperlink" Target="http://hudoc.echr.coe.int/eng?i=001-197253" TargetMode="External"/><Relationship Id="rId1272" Type="http://schemas.openxmlformats.org/officeDocument/2006/relationships/hyperlink" Target="http://hudoc.echr.coe.int/eng?i=001-5648" TargetMode="External"/><Relationship Id="rId2116" Type="http://schemas.openxmlformats.org/officeDocument/2006/relationships/hyperlink" Target="http://hudoc.echr.coe.int/eng?i=001-80968" TargetMode="External"/><Relationship Id="rId2323" Type="http://schemas.openxmlformats.org/officeDocument/2006/relationships/hyperlink" Target="http://hudoc.echr.coe.int/eng?i=001-162831" TargetMode="External"/><Relationship Id="rId2530" Type="http://schemas.openxmlformats.org/officeDocument/2006/relationships/hyperlink" Target="http://hudoc.echr.coe.int/eng?i=001-69022" TargetMode="External"/><Relationship Id="rId2768" Type="http://schemas.openxmlformats.org/officeDocument/2006/relationships/hyperlink" Target="http://hudoc.echr.coe.int/eng?i=001-207622" TargetMode="External"/><Relationship Id="rId502" Type="http://schemas.openxmlformats.org/officeDocument/2006/relationships/hyperlink" Target="http://hudoc.echr.coe.int/eng?i=001-68790" TargetMode="External"/><Relationship Id="rId947" Type="http://schemas.openxmlformats.org/officeDocument/2006/relationships/hyperlink" Target="http://hudoc.echr.coe.int/eng?i=001-148072" TargetMode="External"/><Relationship Id="rId1132" Type="http://schemas.openxmlformats.org/officeDocument/2006/relationships/hyperlink" Target="http://hudoc.echr.coe.int/eng?i=001-72288" TargetMode="External"/><Relationship Id="rId1577" Type="http://schemas.openxmlformats.org/officeDocument/2006/relationships/hyperlink" Target="http://hudoc.echr.coe.int/eng?i=001-92142" TargetMode="External"/><Relationship Id="rId1784" Type="http://schemas.openxmlformats.org/officeDocument/2006/relationships/hyperlink" Target="http://hudoc.echr.coe.int/eng?i=001-104720" TargetMode="External"/><Relationship Id="rId1991" Type="http://schemas.openxmlformats.org/officeDocument/2006/relationships/hyperlink" Target="http://hudoc.echr.coe.int/eng?i=001-157695" TargetMode="External"/><Relationship Id="rId2628" Type="http://schemas.openxmlformats.org/officeDocument/2006/relationships/hyperlink" Target="http://hudoc.echr.coe.int/eng?i=001-118035" TargetMode="External"/><Relationship Id="rId2835" Type="http://schemas.openxmlformats.org/officeDocument/2006/relationships/hyperlink" Target="http://hudoc.echr.coe.int/eng?i=001-159542" TargetMode="External"/><Relationship Id="rId76" Type="http://schemas.openxmlformats.org/officeDocument/2006/relationships/hyperlink" Target="https://hudoc.echr.coe.int/eng%23%7b%22documentcollectionid2%22:%5b%22GRANDCHAMBER%22,%22DECGRANDCHAMBER%22%5d,%22itemid%22:%5b%22001-206897%22%5d%7d" TargetMode="External"/><Relationship Id="rId807" Type="http://schemas.openxmlformats.org/officeDocument/2006/relationships/hyperlink" Target="http://hudoc.echr.coe.int/eng?i=001-178753" TargetMode="External"/><Relationship Id="rId1437" Type="http://schemas.openxmlformats.org/officeDocument/2006/relationships/hyperlink" Target="http://hudoc.echr.coe.int/eng?i=001-69564" TargetMode="External"/><Relationship Id="rId1644" Type="http://schemas.openxmlformats.org/officeDocument/2006/relationships/hyperlink" Target="http://hudoc.echr.coe.int/eng?i=001-113628" TargetMode="External"/><Relationship Id="rId1851" Type="http://schemas.openxmlformats.org/officeDocument/2006/relationships/hyperlink" Target="http://hudoc.echr.coe.int/eng?i=001-162218" TargetMode="External"/><Relationship Id="rId1504" Type="http://schemas.openxmlformats.org/officeDocument/2006/relationships/hyperlink" Target="http://hudoc.echr.coe.int/eng?i=001-77008" TargetMode="External"/><Relationship Id="rId1711" Type="http://schemas.openxmlformats.org/officeDocument/2006/relationships/hyperlink" Target="http://hudoc.echr.coe.int/eng?i=001-170359" TargetMode="External"/><Relationship Id="rId1949" Type="http://schemas.openxmlformats.org/officeDocument/2006/relationships/hyperlink" Target="http://hudoc.echr.coe.int/eng?i=001-154210" TargetMode="External"/><Relationship Id="rId292" Type="http://schemas.openxmlformats.org/officeDocument/2006/relationships/hyperlink" Target="http://hudoc.echr.coe.int/eng?i=001-68518" TargetMode="External"/><Relationship Id="rId1809" Type="http://schemas.openxmlformats.org/officeDocument/2006/relationships/hyperlink" Target="http://hudoc.echr.coe.int/eng?i=001-102873" TargetMode="External"/><Relationship Id="rId597" Type="http://schemas.openxmlformats.org/officeDocument/2006/relationships/hyperlink" Target="http://hudoc.echr.coe.int/eng?i=001-57549" TargetMode="External"/><Relationship Id="rId2180" Type="http://schemas.openxmlformats.org/officeDocument/2006/relationships/hyperlink" Target="http://hudoc.echr.coe.int/eng?i=001-106460" TargetMode="External"/><Relationship Id="rId2278" Type="http://schemas.openxmlformats.org/officeDocument/2006/relationships/hyperlink" Target="http://hudoc.echr.coe.int/eng?i=001-93026" TargetMode="External"/><Relationship Id="rId2485" Type="http://schemas.openxmlformats.org/officeDocument/2006/relationships/hyperlink" Target="http://hudoc.echr.coe.int/eng?i=001-66550" TargetMode="External"/><Relationship Id="rId152" Type="http://schemas.openxmlformats.org/officeDocument/2006/relationships/hyperlink" Target="http://hudoc.echr.coe.int/eng?i=001-22151" TargetMode="External"/><Relationship Id="rId457" Type="http://schemas.openxmlformats.org/officeDocument/2006/relationships/hyperlink" Target="http://hudoc.echr.coe.int/sites/eng?i=001-121561" TargetMode="External"/><Relationship Id="rId1087" Type="http://schemas.openxmlformats.org/officeDocument/2006/relationships/hyperlink" Target="http://hudoc.echr.coe.int/eng?i=001-93265" TargetMode="External"/><Relationship Id="rId1294" Type="http://schemas.openxmlformats.org/officeDocument/2006/relationships/hyperlink" Target="http://hudoc.echr.coe.int/eng?i=001-188267" TargetMode="External"/><Relationship Id="rId2040" Type="http://schemas.openxmlformats.org/officeDocument/2006/relationships/hyperlink" Target="http://hudoc.echr.coe.int/eng?i=001-90671" TargetMode="External"/><Relationship Id="rId2138" Type="http://schemas.openxmlformats.org/officeDocument/2006/relationships/hyperlink" Target="http://hudoc.echr.coe.int/eng?i=001-102218" TargetMode="External"/><Relationship Id="rId2692" Type="http://schemas.openxmlformats.org/officeDocument/2006/relationships/hyperlink" Target="https://hudoc.echr.coe.int/eng?i=001-213401" TargetMode="External"/><Relationship Id="rId664" Type="http://schemas.openxmlformats.org/officeDocument/2006/relationships/hyperlink" Target="http://hudoc.echr.coe.int/eng?i=001-72925" TargetMode="External"/><Relationship Id="rId871" Type="http://schemas.openxmlformats.org/officeDocument/2006/relationships/hyperlink" Target="http://hudoc.echr.coe.int/eng?i=001-97649" TargetMode="External"/><Relationship Id="rId969" Type="http://schemas.openxmlformats.org/officeDocument/2006/relationships/hyperlink" Target="http://hudoc.echr.coe.int/eng?i=001-157263" TargetMode="External"/><Relationship Id="rId1599" Type="http://schemas.openxmlformats.org/officeDocument/2006/relationships/hyperlink" Target="http://hudoc.echr.coe.int/eng?i=001-22924" TargetMode="External"/><Relationship Id="rId2345" Type="http://schemas.openxmlformats.org/officeDocument/2006/relationships/hyperlink" Target="http://hudoc.echr.coe.int/eng?i=001-58841" TargetMode="External"/><Relationship Id="rId2552" Type="http://schemas.openxmlformats.org/officeDocument/2006/relationships/hyperlink" Target="http://hudoc.echr.coe.int/eng?i=001-206273" TargetMode="External"/><Relationship Id="rId317" Type="http://schemas.openxmlformats.org/officeDocument/2006/relationships/hyperlink" Target="http://hudoc.echr.coe.int/eng?i=001-58737" TargetMode="External"/><Relationship Id="rId524" Type="http://schemas.openxmlformats.org/officeDocument/2006/relationships/hyperlink" Target="http://hudoc.echr.coe.int/eng?i=001-83256" TargetMode="External"/><Relationship Id="rId731" Type="http://schemas.openxmlformats.org/officeDocument/2006/relationships/hyperlink" Target="http://hudoc.echr.coe.int/eng?i=001-22806" TargetMode="External"/><Relationship Id="rId1154" Type="http://schemas.openxmlformats.org/officeDocument/2006/relationships/hyperlink" Target="https://hudoc.echr.coe.int/eng?i=001-216574" TargetMode="External"/><Relationship Id="rId1361" Type="http://schemas.openxmlformats.org/officeDocument/2006/relationships/hyperlink" Target="http://hudoc.echr.coe.int/eng?i=001-183205" TargetMode="External"/><Relationship Id="rId1459" Type="http://schemas.openxmlformats.org/officeDocument/2006/relationships/hyperlink" Target="http://hudoc.echr.coe.int/eng?i=001-74373" TargetMode="External"/><Relationship Id="rId2205" Type="http://schemas.openxmlformats.org/officeDocument/2006/relationships/hyperlink" Target="http://hudoc.echr.coe.int/eng?i=001-145546" TargetMode="External"/><Relationship Id="rId2412" Type="http://schemas.openxmlformats.org/officeDocument/2006/relationships/hyperlink" Target="http://hudoc.echr.coe.int/eng?i=001-23303" TargetMode="External"/><Relationship Id="rId2857" Type="http://schemas.openxmlformats.org/officeDocument/2006/relationships/fontTable" Target="fontTable.xml"/><Relationship Id="rId98" Type="http://schemas.openxmlformats.org/officeDocument/2006/relationships/hyperlink" Target="http://hudoc.echr.coe.int/eng?i=001-164928" TargetMode="External"/><Relationship Id="rId829" Type="http://schemas.openxmlformats.org/officeDocument/2006/relationships/hyperlink" Target="http://hudoc.echr.coe.int/eng?i=001-72123" TargetMode="External"/><Relationship Id="rId1014" Type="http://schemas.openxmlformats.org/officeDocument/2006/relationships/hyperlink" Target="http://hudoc.echr.coe.int/eng?i=001-198760" TargetMode="External"/><Relationship Id="rId1221" Type="http://schemas.openxmlformats.org/officeDocument/2006/relationships/hyperlink" Target="http://hudoc.echr.coe.int/eng?i=001-23703" TargetMode="External"/><Relationship Id="rId1666" Type="http://schemas.openxmlformats.org/officeDocument/2006/relationships/hyperlink" Target="https://www.echr.coe.int/Documents/Guide_Art_14_Art_1_Protocol_12_ENG.pdf" TargetMode="External"/><Relationship Id="rId1873" Type="http://schemas.openxmlformats.org/officeDocument/2006/relationships/hyperlink" Target="http://hudoc.echr.coe.int/eng?i=001-139933" TargetMode="External"/><Relationship Id="rId2717" Type="http://schemas.openxmlformats.org/officeDocument/2006/relationships/hyperlink" Target="http://hudoc.echr.coe.int/eng?i=001-57860" TargetMode="External"/><Relationship Id="rId1319" Type="http://schemas.openxmlformats.org/officeDocument/2006/relationships/hyperlink" Target="http://hudoc.echr.coe.int/eng?i=001-105606" TargetMode="External"/><Relationship Id="rId1526" Type="http://schemas.openxmlformats.org/officeDocument/2006/relationships/hyperlink" Target="http://hudoc.echr.coe.int/eng?i=001-74474" TargetMode="External"/><Relationship Id="rId1733" Type="http://schemas.openxmlformats.org/officeDocument/2006/relationships/hyperlink" Target="http://hudoc.echr.coe.int/eng?i=001-177711" TargetMode="External"/><Relationship Id="rId1940" Type="http://schemas.openxmlformats.org/officeDocument/2006/relationships/hyperlink" Target="http://hudoc.echr.coe.int/eng?i=001-187903" TargetMode="External"/><Relationship Id="rId25" Type="http://schemas.openxmlformats.org/officeDocument/2006/relationships/hyperlink" Target="http://www.echr.coe.int/Documents/HUDOC_Keywords_ENG.pdf" TargetMode="External"/><Relationship Id="rId1800" Type="http://schemas.openxmlformats.org/officeDocument/2006/relationships/hyperlink" Target="http://hudoc.echr.coe.int/eng?i=001-202866" TargetMode="External"/><Relationship Id="rId174" Type="http://schemas.openxmlformats.org/officeDocument/2006/relationships/hyperlink" Target="http://hudoc.echr.coe.int/eng?i=001-85775" TargetMode="External"/><Relationship Id="rId381" Type="http://schemas.openxmlformats.org/officeDocument/2006/relationships/hyperlink" Target="http://hudoc.echr.coe.int/eng?i=001-201353" TargetMode="External"/><Relationship Id="rId2062" Type="http://schemas.openxmlformats.org/officeDocument/2006/relationships/hyperlink" Target="http://hudoc.echr.coe.int/eng?i=001-111399" TargetMode="External"/><Relationship Id="rId241" Type="http://schemas.openxmlformats.org/officeDocument/2006/relationships/hyperlink" Target="http://hudoc.echr.coe.int/eng?i=001-203762" TargetMode="External"/><Relationship Id="rId479" Type="http://schemas.openxmlformats.org/officeDocument/2006/relationships/hyperlink" Target="http://hudoc.echr.coe.int/eng?i=001-79710" TargetMode="External"/><Relationship Id="rId686" Type="http://schemas.openxmlformats.org/officeDocument/2006/relationships/hyperlink" Target="http://hudoc.echr.coe.int/eng?i=001-194520" TargetMode="External"/><Relationship Id="rId893" Type="http://schemas.openxmlformats.org/officeDocument/2006/relationships/hyperlink" Target="http://hudoc.echr.coe.int/eng?i=001-179556" TargetMode="External"/><Relationship Id="rId2367" Type="http://schemas.openxmlformats.org/officeDocument/2006/relationships/hyperlink" Target="http://hudoc.echr.coe.int/eng?i=001-77807" TargetMode="External"/><Relationship Id="rId2574" Type="http://schemas.openxmlformats.org/officeDocument/2006/relationships/hyperlink" Target="http://hudoc.echr.coe.int/eng?i=001-171148" TargetMode="External"/><Relationship Id="rId2781" Type="http://schemas.openxmlformats.org/officeDocument/2006/relationships/hyperlink" Target="http://hudoc.echr.coe.int/sites/eng?i=001-57946" TargetMode="External"/><Relationship Id="rId339" Type="http://schemas.openxmlformats.org/officeDocument/2006/relationships/hyperlink" Target="http://hudoc.echr.coe.int/eng?i=001-68389" TargetMode="External"/><Relationship Id="rId546" Type="http://schemas.openxmlformats.org/officeDocument/2006/relationships/hyperlink" Target="http://hudoc.echr.coe.int/eng?i=001-77413" TargetMode="External"/><Relationship Id="rId753" Type="http://schemas.openxmlformats.org/officeDocument/2006/relationships/hyperlink" Target="http://hudoc.echr.coe.int/eng?i=001-142199" TargetMode="External"/><Relationship Id="rId1176" Type="http://schemas.openxmlformats.org/officeDocument/2006/relationships/hyperlink" Target="http://hudoc.echr.coe.int/eng?i=001-201098" TargetMode="External"/><Relationship Id="rId1383" Type="http://schemas.openxmlformats.org/officeDocument/2006/relationships/hyperlink" Target="http://hudoc.echr.coe.int/eng?i=001-208279" TargetMode="External"/><Relationship Id="rId2227" Type="http://schemas.openxmlformats.org/officeDocument/2006/relationships/hyperlink" Target="http://hudoc.echr.coe.int/eng?i=001-146780" TargetMode="External"/><Relationship Id="rId2434" Type="http://schemas.openxmlformats.org/officeDocument/2006/relationships/hyperlink" Target="http://hudoc.echr.coe.int/eng?i=001-109920" TargetMode="External"/><Relationship Id="rId101" Type="http://schemas.openxmlformats.org/officeDocument/2006/relationships/hyperlink" Target="http://hudoc.echr.coe.int/eng?i=001-182861" TargetMode="External"/><Relationship Id="rId406" Type="http://schemas.openxmlformats.org/officeDocument/2006/relationships/hyperlink" Target="http://hudoc.echr.coe.int/eng?i=001-145577" TargetMode="External"/><Relationship Id="rId960" Type="http://schemas.openxmlformats.org/officeDocument/2006/relationships/hyperlink" Target="http://hudoc.echr.coe.int/eng?i=001-179556" TargetMode="External"/><Relationship Id="rId1036" Type="http://schemas.openxmlformats.org/officeDocument/2006/relationships/hyperlink" Target="http://hudoc.echr.coe.int/eng?i=001-94162" TargetMode="External"/><Relationship Id="rId1243" Type="http://schemas.openxmlformats.org/officeDocument/2006/relationships/hyperlink" Target="http://hudoc.echr.coe.int/eng?i=001-3353" TargetMode="External"/><Relationship Id="rId1590" Type="http://schemas.openxmlformats.org/officeDocument/2006/relationships/hyperlink" Target="http://hudoc.echr.coe.int/eng?i=001-96818" TargetMode="External"/><Relationship Id="rId1688" Type="http://schemas.openxmlformats.org/officeDocument/2006/relationships/hyperlink" Target="http://hudoc.echr.coe.int/eng?i=001-172464" TargetMode="External"/><Relationship Id="rId1895" Type="http://schemas.openxmlformats.org/officeDocument/2006/relationships/hyperlink" Target="http://hudoc.echr.coe.int/eng?i=001-106650" TargetMode="External"/><Relationship Id="rId2641" Type="http://schemas.openxmlformats.org/officeDocument/2006/relationships/hyperlink" Target="http://hudoc.echr.coe.int/eng?i=001-44237" TargetMode="External"/><Relationship Id="rId2739" Type="http://schemas.openxmlformats.org/officeDocument/2006/relationships/hyperlink" Target="http://hudoc.echr.coe.int/eng?i=001-145817" TargetMode="External"/><Relationship Id="rId613" Type="http://schemas.openxmlformats.org/officeDocument/2006/relationships/hyperlink" Target="http://hudoc.echr.coe.int/eng?i=001-59616" TargetMode="External"/><Relationship Id="rId820" Type="http://schemas.openxmlformats.org/officeDocument/2006/relationships/hyperlink" Target="http://hudoc.echr.coe.int/eng?i=001-102332" TargetMode="External"/><Relationship Id="rId918" Type="http://schemas.openxmlformats.org/officeDocument/2006/relationships/hyperlink" Target="http://hudoc.echr.coe.int/eng?i=001-165374" TargetMode="External"/><Relationship Id="rId1450" Type="http://schemas.openxmlformats.org/officeDocument/2006/relationships/hyperlink" Target="http://hudoc.echr.coe.int/eng?i=001-69564" TargetMode="External"/><Relationship Id="rId1548" Type="http://schemas.openxmlformats.org/officeDocument/2006/relationships/hyperlink" Target="http://hudoc.echr.coe.int/eng?i=001-81527" TargetMode="External"/><Relationship Id="rId1755" Type="http://schemas.openxmlformats.org/officeDocument/2006/relationships/hyperlink" Target="http://hudoc.echr.coe.int/eng?i=001-99748" TargetMode="External"/><Relationship Id="rId2501" Type="http://schemas.openxmlformats.org/officeDocument/2006/relationships/hyperlink" Target="http://hudoc.echr.coe.int/eng?i=001-113118" TargetMode="External"/><Relationship Id="rId1103" Type="http://schemas.openxmlformats.org/officeDocument/2006/relationships/hyperlink" Target="http://hudoc.echr.coe.int/eng?i=001-23859" TargetMode="External"/><Relationship Id="rId1310" Type="http://schemas.openxmlformats.org/officeDocument/2006/relationships/hyperlink" Target="http://hudoc.echr.coe.int/eng?i=001-57619" TargetMode="External"/><Relationship Id="rId1408" Type="http://schemas.openxmlformats.org/officeDocument/2006/relationships/hyperlink" Target="http://hudoc.echr.coe.int/eng?i=001-61886" TargetMode="External"/><Relationship Id="rId1962" Type="http://schemas.openxmlformats.org/officeDocument/2006/relationships/hyperlink" Target="http://hudoc.echr.coe.int/eng?i=001-202716" TargetMode="External"/><Relationship Id="rId2806" Type="http://schemas.openxmlformats.org/officeDocument/2006/relationships/hyperlink" Target="http://hudoc.echr.coe.int/eng?i=001-57800" TargetMode="External"/><Relationship Id="rId47" Type="http://schemas.openxmlformats.org/officeDocument/2006/relationships/hyperlink" Target="http://hudoc.echr.coe.int/sites/eng?i=001-93594" TargetMode="External"/><Relationship Id="rId1615" Type="http://schemas.openxmlformats.org/officeDocument/2006/relationships/hyperlink" Target="http://hudoc.echr.coe.int/eng?i=001-74794" TargetMode="External"/><Relationship Id="rId1822" Type="http://schemas.openxmlformats.org/officeDocument/2006/relationships/hyperlink" Target="http://hudoc.echr.coe.int/eng?i=001-110457" TargetMode="External"/><Relationship Id="rId196" Type="http://schemas.openxmlformats.org/officeDocument/2006/relationships/hyperlink" Target="https://hudoc.echr.coe.int/eng%23%7b%22docname%22:%5b%22albert%22%5d,%22documentcollectionid2%22:%5b%22GRANDCHAMBER%22,%22CHAMBER%22%5d,%22itemid%22:%5b%22001-203850%22%5d%7d" TargetMode="External"/><Relationship Id="rId2084" Type="http://schemas.openxmlformats.org/officeDocument/2006/relationships/hyperlink" Target="http://hudoc.echr.coe.int/eng?i=001-79864" TargetMode="External"/><Relationship Id="rId2291" Type="http://schemas.openxmlformats.org/officeDocument/2006/relationships/hyperlink" Target="http://hudoc.echr.coe.int/eng?i=001-200446" TargetMode="External"/><Relationship Id="rId263" Type="http://schemas.openxmlformats.org/officeDocument/2006/relationships/hyperlink" Target="https://hudoc.echr.coe.int/eng%23%7b%22docname%22:%5b%22roth%22%5d,%22itemid%22:%5b%22001-205178%22%5d%7d" TargetMode="External"/><Relationship Id="rId470" Type="http://schemas.openxmlformats.org/officeDocument/2006/relationships/hyperlink" Target="http://hudoc.echr.coe.int/eng?i=001-109920" TargetMode="External"/><Relationship Id="rId2151" Type="http://schemas.openxmlformats.org/officeDocument/2006/relationships/hyperlink" Target="https://hudoc.echr.coe.int/eng?i=001-214673" TargetMode="External"/><Relationship Id="rId2389" Type="http://schemas.openxmlformats.org/officeDocument/2006/relationships/hyperlink" Target="http://hudoc.echr.coe.int/eng?i=001-101349" TargetMode="External"/><Relationship Id="rId2596" Type="http://schemas.openxmlformats.org/officeDocument/2006/relationships/hyperlink" Target="http://hudoc.echr.coe.int/eng?i=001-142908" TargetMode="External"/><Relationship Id="rId123" Type="http://schemas.openxmlformats.org/officeDocument/2006/relationships/hyperlink" Target="http://hudoc.echr.coe.int/eng?i=001-94162" TargetMode="External"/><Relationship Id="rId330" Type="http://schemas.openxmlformats.org/officeDocument/2006/relationships/hyperlink" Target="http://hudoc.echr.coe.int/eng?i=001-58306" TargetMode="External"/><Relationship Id="rId568" Type="http://schemas.openxmlformats.org/officeDocument/2006/relationships/hyperlink" Target="http://hudoc.echr.coe.int/eng?i=001-140235" TargetMode="External"/><Relationship Id="rId775" Type="http://schemas.openxmlformats.org/officeDocument/2006/relationships/hyperlink" Target="http://hudoc.echr.coe.int/eng?i=001-69464" TargetMode="External"/><Relationship Id="rId982" Type="http://schemas.openxmlformats.org/officeDocument/2006/relationships/hyperlink" Target="http://hudoc.echr.coe.int/eng?i=001-156265" TargetMode="External"/><Relationship Id="rId1198" Type="http://schemas.openxmlformats.org/officeDocument/2006/relationships/hyperlink" Target="http://hudoc.echr.coe.int/eng?i=001-141213" TargetMode="External"/><Relationship Id="rId2011" Type="http://schemas.openxmlformats.org/officeDocument/2006/relationships/hyperlink" Target="http://hudoc.echr.coe.int/eng?i=001-94770" TargetMode="External"/><Relationship Id="rId2249" Type="http://schemas.openxmlformats.org/officeDocument/2006/relationships/hyperlink" Target="http://hudoc.echr.coe.int/eng?i=001-171106" TargetMode="External"/><Relationship Id="rId2456" Type="http://schemas.openxmlformats.org/officeDocument/2006/relationships/hyperlink" Target="http://hudoc.echr.coe.int/eng?i=001-74412" TargetMode="External"/><Relationship Id="rId2663" Type="http://schemas.openxmlformats.org/officeDocument/2006/relationships/hyperlink" Target="https://hudoc.echr.coe.int/eng" TargetMode="External"/><Relationship Id="rId428" Type="http://schemas.openxmlformats.org/officeDocument/2006/relationships/hyperlink" Target="http://hudoc.echr.coe.int/eng?i=001-58062" TargetMode="External"/><Relationship Id="rId635" Type="http://schemas.openxmlformats.org/officeDocument/2006/relationships/hyperlink" Target="http://hudoc.echr.coe.int/eng?i=001-200571" TargetMode="External"/><Relationship Id="rId842" Type="http://schemas.openxmlformats.org/officeDocument/2006/relationships/hyperlink" Target="https://hudoc.echr.coe.int/eng?i=001-216432" TargetMode="External"/><Relationship Id="rId1058" Type="http://schemas.openxmlformats.org/officeDocument/2006/relationships/hyperlink" Target="http://hudoc.echr.coe.int/eng?i=001-178518" TargetMode="External"/><Relationship Id="rId1265" Type="http://schemas.openxmlformats.org/officeDocument/2006/relationships/hyperlink" Target="https://hudoc.echr.coe.int/eng%23%7b%22appno%22:%5b%2260642/08%22%5d,%22itemid%22:%5b%22001-145575%22%5d%7d" TargetMode="External"/><Relationship Id="rId1472" Type="http://schemas.openxmlformats.org/officeDocument/2006/relationships/hyperlink" Target="http://hudoc.echr.coe.int/eng?i=001-96549" TargetMode="External"/><Relationship Id="rId2109" Type="http://schemas.openxmlformats.org/officeDocument/2006/relationships/hyperlink" Target="http://hudoc.echr.coe.int/eng?i=001-187187" TargetMode="External"/><Relationship Id="rId2316" Type="http://schemas.openxmlformats.org/officeDocument/2006/relationships/hyperlink" Target="http://hudoc.echr.coe.int/eng?i=001-172143" TargetMode="External"/><Relationship Id="rId2523" Type="http://schemas.openxmlformats.org/officeDocument/2006/relationships/hyperlink" Target="http://hudoc.echr.coe.int/eng?i=001-5925" TargetMode="External"/><Relationship Id="rId2730" Type="http://schemas.openxmlformats.org/officeDocument/2006/relationships/hyperlink" Target="https://hudoc.echr.coe.int/eng?i=001-195909" TargetMode="External"/><Relationship Id="rId702" Type="http://schemas.openxmlformats.org/officeDocument/2006/relationships/hyperlink" Target="http://hudoc.echr.coe.int/eng?i=001-76307" TargetMode="External"/><Relationship Id="rId1125" Type="http://schemas.openxmlformats.org/officeDocument/2006/relationships/hyperlink" Target="http://hudoc.echr.coe.int/eng?i=001-121143" TargetMode="External"/><Relationship Id="rId1332" Type="http://schemas.openxmlformats.org/officeDocument/2006/relationships/hyperlink" Target="http://hudoc.echr.coe.int/eng?i=001-155353" TargetMode="External"/><Relationship Id="rId1777" Type="http://schemas.openxmlformats.org/officeDocument/2006/relationships/hyperlink" Target="http://hudoc.echr.coe.int/eng?i=001-106652" TargetMode="External"/><Relationship Id="rId1984" Type="http://schemas.openxmlformats.org/officeDocument/2006/relationships/hyperlink" Target="http://hudoc.echr.coe.int/eng?i=001-200344" TargetMode="External"/><Relationship Id="rId2828" Type="http://schemas.openxmlformats.org/officeDocument/2006/relationships/hyperlink" Target="http://hudoc.echr.coe.int/eng?i=001-147375" TargetMode="External"/><Relationship Id="rId69" Type="http://schemas.openxmlformats.org/officeDocument/2006/relationships/hyperlink" Target="https://hudoc.echr.coe.int/eng%23%7b%22itemid%22:%5b%22001-206713%22%5d%7d" TargetMode="External"/><Relationship Id="rId1637" Type="http://schemas.openxmlformats.org/officeDocument/2006/relationships/hyperlink" Target="http://hudoc.echr.coe.int/eng?i=001-171835" TargetMode="External"/><Relationship Id="rId1844" Type="http://schemas.openxmlformats.org/officeDocument/2006/relationships/hyperlink" Target="http://hudoc.echr.coe.int/eng?i=001-103625" TargetMode="External"/><Relationship Id="rId1704" Type="http://schemas.openxmlformats.org/officeDocument/2006/relationships/hyperlink" Target="http://hudoc.echr.coe.int/eng?i=001-198760" TargetMode="External"/><Relationship Id="rId285" Type="http://schemas.openxmlformats.org/officeDocument/2006/relationships/hyperlink" Target="http://hudoc.echr.coe.int/eng?i=001-198507" TargetMode="External"/><Relationship Id="rId1911" Type="http://schemas.openxmlformats.org/officeDocument/2006/relationships/hyperlink" Target="http://hudoc.echr.coe.int/eng?i=001-103138" TargetMode="External"/><Relationship Id="rId492" Type="http://schemas.openxmlformats.org/officeDocument/2006/relationships/hyperlink" Target="http://hudoc.echr.coe.int/eng?i=001-127684" TargetMode="External"/><Relationship Id="rId797" Type="http://schemas.openxmlformats.org/officeDocument/2006/relationships/hyperlink" Target="http://hudoc.echr.coe.int/eng?i=001-145817" TargetMode="External"/><Relationship Id="rId2173" Type="http://schemas.openxmlformats.org/officeDocument/2006/relationships/hyperlink" Target="http://hudoc.echr.coe.int/eng?i=001-72126" TargetMode="External"/><Relationship Id="rId2380" Type="http://schemas.openxmlformats.org/officeDocument/2006/relationships/hyperlink" Target="http://hudoc.echr.coe.int/eng?i=001-58198" TargetMode="External"/><Relationship Id="rId2478" Type="http://schemas.openxmlformats.org/officeDocument/2006/relationships/hyperlink" Target="http://hudoc.echr.coe.int/eng?i=001-103578" TargetMode="External"/><Relationship Id="rId145" Type="http://schemas.openxmlformats.org/officeDocument/2006/relationships/hyperlink" Target="http://hudoc.echr.coe.int/eng?i=001-177076" TargetMode="External"/><Relationship Id="rId352" Type="http://schemas.openxmlformats.org/officeDocument/2006/relationships/hyperlink" Target="http://hudoc.echr.coe.int/eng?i=001-142512" TargetMode="External"/><Relationship Id="rId1287" Type="http://schemas.openxmlformats.org/officeDocument/2006/relationships/hyperlink" Target="http://hudoc.echr.coe.int/eng?i=001-2277" TargetMode="External"/><Relationship Id="rId2033" Type="http://schemas.openxmlformats.org/officeDocument/2006/relationships/hyperlink" Target="http://hudoc.echr.coe.int/eng?i=001-22642" TargetMode="External"/><Relationship Id="rId2240" Type="http://schemas.openxmlformats.org/officeDocument/2006/relationships/hyperlink" Target="http://hudoc.echr.coe.int/eng?i=001-82839" TargetMode="External"/><Relationship Id="rId2685" Type="http://schemas.openxmlformats.org/officeDocument/2006/relationships/hyperlink" Target="http://hudoc.echr.coe.int/eng?i=001-109895" TargetMode="External"/><Relationship Id="rId212" Type="http://schemas.openxmlformats.org/officeDocument/2006/relationships/hyperlink" Target="https://hudoc.echr.coe.int/eng?i=001-215461" TargetMode="External"/><Relationship Id="rId657" Type="http://schemas.openxmlformats.org/officeDocument/2006/relationships/hyperlink" Target="http://hudoc.echr.coe.int/eng?i=001-203840" TargetMode="External"/><Relationship Id="rId864" Type="http://schemas.openxmlformats.org/officeDocument/2006/relationships/hyperlink" Target="http://hudoc.echr.coe.int/eng?i=001-72925" TargetMode="External"/><Relationship Id="rId1494" Type="http://schemas.openxmlformats.org/officeDocument/2006/relationships/hyperlink" Target="http://hudoc.echr.coe.int/eng?i=001-57774" TargetMode="External"/><Relationship Id="rId1799" Type="http://schemas.openxmlformats.org/officeDocument/2006/relationships/hyperlink" Target="http://hudoc.echr.coe.int/eng?i=001-140783" TargetMode="External"/><Relationship Id="rId2100" Type="http://schemas.openxmlformats.org/officeDocument/2006/relationships/hyperlink" Target="http://hudoc.echr.coe.int/eng?i=001-58306" TargetMode="External"/><Relationship Id="rId2338" Type="http://schemas.openxmlformats.org/officeDocument/2006/relationships/hyperlink" Target="http://hudoc.echr.coe.int/eng?i=001-92538" TargetMode="External"/><Relationship Id="rId2545" Type="http://schemas.openxmlformats.org/officeDocument/2006/relationships/hyperlink" Target="http://hudoc.echr.coe.int/eng?i=001-95990" TargetMode="External"/><Relationship Id="rId2752" Type="http://schemas.openxmlformats.org/officeDocument/2006/relationships/hyperlink" Target="http://hudoc.echr.coe.int/eng?i=001-90898" TargetMode="External"/><Relationship Id="rId517" Type="http://schemas.openxmlformats.org/officeDocument/2006/relationships/hyperlink" Target="http://hudoc.echr.coe.int/eng?i=001-22806" TargetMode="External"/><Relationship Id="rId724" Type="http://schemas.openxmlformats.org/officeDocument/2006/relationships/hyperlink" Target="http://hudoc.echr.coe.int/eng?i=001-179556" TargetMode="External"/><Relationship Id="rId931" Type="http://schemas.openxmlformats.org/officeDocument/2006/relationships/hyperlink" Target="http://hudoc.echr.coe.int/eng?i=001-91720" TargetMode="External"/><Relationship Id="rId1147" Type="http://schemas.openxmlformats.org/officeDocument/2006/relationships/hyperlink" Target="http://hudoc.echr.coe.int/eng?i=001-87621" TargetMode="External"/><Relationship Id="rId1354" Type="http://schemas.openxmlformats.org/officeDocument/2006/relationships/hyperlink" Target="http://hudoc.echr.coe.int/eng?i=001-139052" TargetMode="External"/><Relationship Id="rId1561" Type="http://schemas.openxmlformats.org/officeDocument/2006/relationships/hyperlink" Target="http://hudoc.echr.coe.int/eng?i=001-82538" TargetMode="External"/><Relationship Id="rId2405" Type="http://schemas.openxmlformats.org/officeDocument/2006/relationships/hyperlink" Target="http://hudoc.echr.coe.int/eng?i=001-57920" TargetMode="External"/><Relationship Id="rId2612" Type="http://schemas.openxmlformats.org/officeDocument/2006/relationships/hyperlink" Target="http://hudoc.echr.coe.int/eng?i=001-177076" TargetMode="External"/><Relationship Id="rId60" Type="http://schemas.openxmlformats.org/officeDocument/2006/relationships/hyperlink" Target="http://hudoc.echr.coe.int/eng?i=001-67328" TargetMode="External"/><Relationship Id="rId1007" Type="http://schemas.openxmlformats.org/officeDocument/2006/relationships/hyperlink" Target="http://hudoc.echr.coe.int/eng?i=001-122260" TargetMode="External"/><Relationship Id="rId1214" Type="http://schemas.openxmlformats.org/officeDocument/2006/relationships/hyperlink" Target="http://hudoc.echr.coe.int/eng?i=001-114387" TargetMode="External"/><Relationship Id="rId1421" Type="http://schemas.openxmlformats.org/officeDocument/2006/relationships/hyperlink" Target="http://hudoc.echr.coe.int/eng?i=001-164515" TargetMode="External"/><Relationship Id="rId1659" Type="http://schemas.openxmlformats.org/officeDocument/2006/relationships/hyperlink" Target="http://www.echr.coe.int/Documents/Guide_Art_6_criminal_ENG.pdf" TargetMode="External"/><Relationship Id="rId1866" Type="http://schemas.openxmlformats.org/officeDocument/2006/relationships/hyperlink" Target="http://hudoc.echr.coe.int/eng?i=001-180307" TargetMode="External"/><Relationship Id="rId1519" Type="http://schemas.openxmlformats.org/officeDocument/2006/relationships/hyperlink" Target="http://hudoc.echr.coe.int/eng?i=001-145571" TargetMode="External"/><Relationship Id="rId1726" Type="http://schemas.openxmlformats.org/officeDocument/2006/relationships/hyperlink" Target="http://hudoc.echr.coe.int/eng?i=001-57473" TargetMode="External"/><Relationship Id="rId1933" Type="http://schemas.openxmlformats.org/officeDocument/2006/relationships/hyperlink" Target="http://hudoc.echr.coe.int/eng?i=001-79710" TargetMode="External"/><Relationship Id="rId18" Type="http://schemas.openxmlformats.org/officeDocument/2006/relationships/hyperlink" Target="http://hudoc.echr.coe.int/eng?i=001-165032" TargetMode="External"/><Relationship Id="rId2195" Type="http://schemas.openxmlformats.org/officeDocument/2006/relationships/hyperlink" Target="http://hudoc.echr.coe.int/eng?i=001-58907" TargetMode="External"/><Relationship Id="rId167" Type="http://schemas.openxmlformats.org/officeDocument/2006/relationships/hyperlink" Target="https://hudoc.echr.coe.int/eng%23%7b%22docname%22:%5b%22akbay%22%5d,%22itemid%22:%5b%22001-204996%22%5d%7d" TargetMode="External"/><Relationship Id="rId374" Type="http://schemas.openxmlformats.org/officeDocument/2006/relationships/hyperlink" Target="http://hudoc.echr.coe.int/eng?i=001-91940" TargetMode="External"/><Relationship Id="rId581" Type="http://schemas.openxmlformats.org/officeDocument/2006/relationships/hyperlink" Target="https://hudoc.echr.coe.int/eng%23%7b%22itemid%22:%5b%22001-202522%22%5d%7d" TargetMode="External"/><Relationship Id="rId2055" Type="http://schemas.openxmlformats.org/officeDocument/2006/relationships/hyperlink" Target="http://hudoc.echr.coe.int/eng?i=001-114082" TargetMode="External"/><Relationship Id="rId2262" Type="http://schemas.openxmlformats.org/officeDocument/2006/relationships/hyperlink" Target="https://hudoc.echr.coe.int/eng?i=001-148629" TargetMode="External"/><Relationship Id="rId234" Type="http://schemas.openxmlformats.org/officeDocument/2006/relationships/hyperlink" Target="http://hudoc.echr.coe.int/eng?i=001-180276" TargetMode="External"/><Relationship Id="rId679" Type="http://schemas.openxmlformats.org/officeDocument/2006/relationships/hyperlink" Target="http://hudoc.echr.coe.int/eng?i=001-68419" TargetMode="External"/><Relationship Id="rId886" Type="http://schemas.openxmlformats.org/officeDocument/2006/relationships/hyperlink" Target="http://hudoc.echr.coe.int/eng?i=001-172817" TargetMode="External"/><Relationship Id="rId2567" Type="http://schemas.openxmlformats.org/officeDocument/2006/relationships/hyperlink" Target="http://hudoc.echr.coe.int/eng?i=001-43404" TargetMode="External"/><Relationship Id="rId2774" Type="http://schemas.openxmlformats.org/officeDocument/2006/relationships/hyperlink" Target="http://hudoc.echr.coe.int/eng?i=001-119849" TargetMode="External"/><Relationship Id="rId2" Type="http://schemas.openxmlformats.org/officeDocument/2006/relationships/numbering" Target="numbering.xml"/><Relationship Id="rId441" Type="http://schemas.openxmlformats.org/officeDocument/2006/relationships/hyperlink" Target="http://hudoc.echr.coe.int/eng?i=001-99226" TargetMode="External"/><Relationship Id="rId539" Type="http://schemas.openxmlformats.org/officeDocument/2006/relationships/hyperlink" Target="http://hudoc.echr.coe.int/eng?i=001-200344" TargetMode="External"/><Relationship Id="rId746" Type="http://schemas.openxmlformats.org/officeDocument/2006/relationships/hyperlink" Target="http://hudoc.echr.coe.int/eng?i=001-75830" TargetMode="External"/><Relationship Id="rId1071" Type="http://schemas.openxmlformats.org/officeDocument/2006/relationships/hyperlink" Target="https://hudoc.echr.coe.int/eng?i=001-215709" TargetMode="External"/><Relationship Id="rId1169" Type="http://schemas.openxmlformats.org/officeDocument/2006/relationships/hyperlink" Target="http://hudoc.echr.coe.int/eng?i=001-154398" TargetMode="External"/><Relationship Id="rId1376" Type="http://schemas.openxmlformats.org/officeDocument/2006/relationships/hyperlink" Target="http://hudoc.echr.coe.int/eng?i=001-78623" TargetMode="External"/><Relationship Id="rId1583" Type="http://schemas.openxmlformats.org/officeDocument/2006/relationships/hyperlink" Target="http://hudoc.echr.coe.int/eng?i=001-98575" TargetMode="External"/><Relationship Id="rId2122" Type="http://schemas.openxmlformats.org/officeDocument/2006/relationships/hyperlink" Target="http://hudoc.echr.coe.int/eng?i=001-86739" TargetMode="External"/><Relationship Id="rId2427" Type="http://schemas.openxmlformats.org/officeDocument/2006/relationships/hyperlink" Target="http://hudoc.echr.coe.int/eng?i=001-107546" TargetMode="External"/><Relationship Id="rId301" Type="http://schemas.openxmlformats.org/officeDocument/2006/relationships/hyperlink" Target="http://hudoc.echr.coe.int/eng?i=001-97079" TargetMode="External"/><Relationship Id="rId953" Type="http://schemas.openxmlformats.org/officeDocument/2006/relationships/hyperlink" Target="http://hudoc.echr.coe.int/eng?i=001-195852" TargetMode="External"/><Relationship Id="rId1029" Type="http://schemas.openxmlformats.org/officeDocument/2006/relationships/hyperlink" Target="http://hudoc.echr.coe.int/eng?i=001-94162" TargetMode="External"/><Relationship Id="rId1236" Type="http://schemas.openxmlformats.org/officeDocument/2006/relationships/hyperlink" Target="http://hudoc.echr.coe.int/eng?i=001-94026" TargetMode="External"/><Relationship Id="rId1790" Type="http://schemas.openxmlformats.org/officeDocument/2006/relationships/hyperlink" Target="http://hudoc.echr.coe.int/eng?i=001-109098" TargetMode="External"/><Relationship Id="rId1888" Type="http://schemas.openxmlformats.org/officeDocument/2006/relationships/hyperlink" Target="http://hudoc.echr.coe.int/eng?i=001-100461" TargetMode="External"/><Relationship Id="rId2634" Type="http://schemas.openxmlformats.org/officeDocument/2006/relationships/hyperlink" Target="http://hudoc.echr.coe.int/eng?i=001-2897" TargetMode="External"/><Relationship Id="rId2841" Type="http://schemas.openxmlformats.org/officeDocument/2006/relationships/hyperlink" Target="file:///C:/Users/Brodeala/AppData/Local/Microsoft/Windows/Temporary%20Internet%20Files/Content.Outlook/MEPHPEXS/Yurttas%20v.%20Turkey" TargetMode="External"/><Relationship Id="rId82" Type="http://schemas.openxmlformats.org/officeDocument/2006/relationships/hyperlink" Target="http://hudoc.echr.coe.int/sites/eng?i=001-128294" TargetMode="External"/><Relationship Id="rId606" Type="http://schemas.openxmlformats.org/officeDocument/2006/relationships/hyperlink" Target="http://hudoc.echr.coe.int/eng?i=001-22963" TargetMode="External"/><Relationship Id="rId813" Type="http://schemas.openxmlformats.org/officeDocument/2006/relationships/hyperlink" Target="http://hudoc.echr.coe.int/eng?i=001-194307" TargetMode="External"/><Relationship Id="rId1443" Type="http://schemas.openxmlformats.org/officeDocument/2006/relationships/hyperlink" Target="http://hudoc.echr.coe.int/eng?i=001-80830" TargetMode="External"/><Relationship Id="rId1650" Type="http://schemas.openxmlformats.org/officeDocument/2006/relationships/hyperlink" Target="http://hudoc.echr.coe.int/eng?i=001-152331" TargetMode="External"/><Relationship Id="rId1748" Type="http://schemas.openxmlformats.org/officeDocument/2006/relationships/hyperlink" Target="http://hudoc.echr.coe.int/eng?i=001-172321" TargetMode="External"/><Relationship Id="rId2701" Type="http://schemas.openxmlformats.org/officeDocument/2006/relationships/hyperlink" Target="http://hudoc.echr.coe.int/eng?i=001-193088" TargetMode="External"/><Relationship Id="rId1303" Type="http://schemas.openxmlformats.org/officeDocument/2006/relationships/hyperlink" Target="http://hudoc.echr.coe.int/eng?i=001-61875" TargetMode="External"/><Relationship Id="rId1510" Type="http://schemas.openxmlformats.org/officeDocument/2006/relationships/hyperlink" Target="http://hudoc.echr.coe.int/eng?i=001-92142" TargetMode="External"/><Relationship Id="rId1955" Type="http://schemas.openxmlformats.org/officeDocument/2006/relationships/hyperlink" Target="http://hudoc.echr.coe.int/eng?i=001-57951" TargetMode="External"/><Relationship Id="rId1608" Type="http://schemas.openxmlformats.org/officeDocument/2006/relationships/hyperlink" Target="http://hudoc.echr.coe.int/eng?i=001-77807" TargetMode="External"/><Relationship Id="rId1815" Type="http://schemas.openxmlformats.org/officeDocument/2006/relationships/hyperlink" Target="http://hudoc.echr.coe.int/eng?i=001-102755" TargetMode="External"/><Relationship Id="rId189" Type="http://schemas.openxmlformats.org/officeDocument/2006/relationships/hyperlink" Target="http://hudoc.echr.coe.int/eng?i=001-127684" TargetMode="External"/><Relationship Id="rId396" Type="http://schemas.openxmlformats.org/officeDocument/2006/relationships/hyperlink" Target="http://hudoc.echr.coe.int/eng?i=001-58734" TargetMode="External"/><Relationship Id="rId2077" Type="http://schemas.openxmlformats.org/officeDocument/2006/relationships/hyperlink" Target="http://hudoc.echr.coe.int/eng?i=001-3072" TargetMode="External"/><Relationship Id="rId2284" Type="http://schemas.openxmlformats.org/officeDocument/2006/relationships/hyperlink" Target="http://hudoc.echr.coe.int/eng?i=001-57506" TargetMode="External"/><Relationship Id="rId2491" Type="http://schemas.openxmlformats.org/officeDocument/2006/relationships/hyperlink" Target="http://hudoc.echr.coe.int/eng?i=001-71022" TargetMode="External"/><Relationship Id="rId256" Type="http://schemas.openxmlformats.org/officeDocument/2006/relationships/hyperlink" Target="http://hudoc.echr.coe.int/eng?i=001-111399" TargetMode="External"/><Relationship Id="rId463" Type="http://schemas.openxmlformats.org/officeDocument/2006/relationships/hyperlink" Target="http://hudoc.echr.coe.int/eng?i=001-99907" TargetMode="External"/><Relationship Id="rId670" Type="http://schemas.openxmlformats.org/officeDocument/2006/relationships/hyperlink" Target="http://hudoc.echr.coe.int/eng?i=001-195531" TargetMode="External"/><Relationship Id="rId1093" Type="http://schemas.openxmlformats.org/officeDocument/2006/relationships/hyperlink" Target="http://hudoc.echr.coe.int/eng?i=001-169650" TargetMode="External"/><Relationship Id="rId2144" Type="http://schemas.openxmlformats.org/officeDocument/2006/relationships/hyperlink" Target="http://hudoc.echr.coe.int/eng?i=001-93768" TargetMode="External"/><Relationship Id="rId2351" Type="http://schemas.openxmlformats.org/officeDocument/2006/relationships/hyperlink" Target="http://hudoc.echr.coe.int/eng?i=001-43531" TargetMode="External"/><Relationship Id="rId2589" Type="http://schemas.openxmlformats.org/officeDocument/2006/relationships/hyperlink" Target="http://hudoc.echr.coe.int/eng?i=001-67990" TargetMode="External"/><Relationship Id="rId2796" Type="http://schemas.openxmlformats.org/officeDocument/2006/relationships/hyperlink" Target="http://hudoc.echr.coe.int/eng?i=001-182849" TargetMode="External"/><Relationship Id="rId116" Type="http://schemas.openxmlformats.org/officeDocument/2006/relationships/hyperlink" Target="https://hudoc.echr.coe.int/eng?i=001-213867" TargetMode="External"/><Relationship Id="rId323" Type="http://schemas.openxmlformats.org/officeDocument/2006/relationships/hyperlink" Target="https://hudoc.echr.coe.int/eng?i=001-216018" TargetMode="External"/><Relationship Id="rId530" Type="http://schemas.openxmlformats.org/officeDocument/2006/relationships/hyperlink" Target="http://hudoc.echr.coe.int/eng?i=001-91413" TargetMode="External"/><Relationship Id="rId768" Type="http://schemas.openxmlformats.org/officeDocument/2006/relationships/hyperlink" Target="http://hudoc.echr.coe.int/eng?i=001-58062" TargetMode="External"/><Relationship Id="rId975" Type="http://schemas.openxmlformats.org/officeDocument/2006/relationships/hyperlink" Target="https://hudoc.echr.coe.int/eng%23%7b%22sort%22:%5b%22EMPTY%22%5d,%22docname%22:%5b%22shlykov%22%5d,%22documentcollectionid2%22:%5b%22GRANDCHAMBER%22,%22CHAMBER%22%5d,%22itemid%22:%5b%22001-207371%22%5d%7d" TargetMode="External"/><Relationship Id="rId1160" Type="http://schemas.openxmlformats.org/officeDocument/2006/relationships/hyperlink" Target="http://hudoc.echr.coe.int/eng?i=001-94026" TargetMode="External"/><Relationship Id="rId1398" Type="http://schemas.openxmlformats.org/officeDocument/2006/relationships/hyperlink" Target="http://hudoc.echr.coe.int/eng?i=001-61875" TargetMode="External"/><Relationship Id="rId2004" Type="http://schemas.openxmlformats.org/officeDocument/2006/relationships/hyperlink" Target="http://hudoc.echr.coe.int/eng?i=001-92484" TargetMode="External"/><Relationship Id="rId2211" Type="http://schemas.openxmlformats.org/officeDocument/2006/relationships/hyperlink" Target="http://hudoc.echr.coe.int/eng?i=001-57493" TargetMode="External"/><Relationship Id="rId2449" Type="http://schemas.openxmlformats.org/officeDocument/2006/relationships/hyperlink" Target="https://hudoc.echr.coe.int/eng?i=001-216679" TargetMode="External"/><Relationship Id="rId2656" Type="http://schemas.openxmlformats.org/officeDocument/2006/relationships/hyperlink" Target="https://hudoc.echr.coe.int/eng?i=001-211785" TargetMode="External"/><Relationship Id="rId628" Type="http://schemas.openxmlformats.org/officeDocument/2006/relationships/hyperlink" Target="http://hudoc.echr.coe.int/eng?i=001-23468" TargetMode="External"/><Relationship Id="rId835" Type="http://schemas.openxmlformats.org/officeDocument/2006/relationships/hyperlink" Target="http://hudoc.echr.coe.int/eng?i=001-22642" TargetMode="External"/><Relationship Id="rId1258" Type="http://schemas.openxmlformats.org/officeDocument/2006/relationships/hyperlink" Target="http://hudoc.echr.coe.int/eng?i=001-94026" TargetMode="External"/><Relationship Id="rId1465" Type="http://schemas.openxmlformats.org/officeDocument/2006/relationships/hyperlink" Target="http://hudoc.echr.coe.int/eng?i=001-90868" TargetMode="External"/><Relationship Id="rId1672" Type="http://schemas.openxmlformats.org/officeDocument/2006/relationships/hyperlink" Target="https://echr.coe.int/Documents/Guide_Art_4_Protocol_7_ENG.pdf" TargetMode="External"/><Relationship Id="rId2309" Type="http://schemas.openxmlformats.org/officeDocument/2006/relationships/hyperlink" Target="http://hudoc.echr.coe.int/eng?i=001-114841" TargetMode="External"/><Relationship Id="rId2516" Type="http://schemas.openxmlformats.org/officeDocument/2006/relationships/hyperlink" Target="http://hudoc.echr.coe.int/eng?i=001-126550" TargetMode="External"/><Relationship Id="rId2723" Type="http://schemas.openxmlformats.org/officeDocument/2006/relationships/hyperlink" Target="http://hudoc.echr.coe.int/eng?i=001-104720" TargetMode="External"/><Relationship Id="rId1020" Type="http://schemas.openxmlformats.org/officeDocument/2006/relationships/hyperlink" Target="http://hudoc.echr.coe.int/eng?i=001-178753" TargetMode="External"/><Relationship Id="rId1118" Type="http://schemas.openxmlformats.org/officeDocument/2006/relationships/hyperlink" Target="http://hudoc.echr.coe.int/eng?i=001-28355" TargetMode="External"/><Relationship Id="rId1325" Type="http://schemas.openxmlformats.org/officeDocument/2006/relationships/hyperlink" Target="http://hudoc.echr.coe.int/eng?i=001-59454" TargetMode="External"/><Relationship Id="rId1532" Type="http://schemas.openxmlformats.org/officeDocument/2006/relationships/hyperlink" Target="http://hudoc.echr.coe.int/eng?i=001-72688" TargetMode="External"/><Relationship Id="rId1977" Type="http://schemas.openxmlformats.org/officeDocument/2006/relationships/hyperlink" Target="https://hudoc.echr.coe.int/eng?i=001-212462" TargetMode="External"/><Relationship Id="rId902" Type="http://schemas.openxmlformats.org/officeDocument/2006/relationships/hyperlink" Target="http://hudoc.echr.coe.int/eng?i=001-145817" TargetMode="External"/><Relationship Id="rId1837" Type="http://schemas.openxmlformats.org/officeDocument/2006/relationships/hyperlink" Target="http://hudoc.echr.coe.int/eng?i=001-207477" TargetMode="External"/><Relationship Id="rId31" Type="http://schemas.openxmlformats.org/officeDocument/2006/relationships/hyperlink" Target="http://www.echr.coe.int/Documents/2010_Interlaken_FinalDeclaration_ENG.pdf" TargetMode="External"/><Relationship Id="rId2099" Type="http://schemas.openxmlformats.org/officeDocument/2006/relationships/hyperlink" Target="http://hudoc.echr.coe.int/eng?i=001-95631" TargetMode="External"/><Relationship Id="rId180" Type="http://schemas.openxmlformats.org/officeDocument/2006/relationships/hyperlink" Target="http://hudoc.echr.coe.int/eng?i=001-57546" TargetMode="External"/><Relationship Id="rId278" Type="http://schemas.openxmlformats.org/officeDocument/2006/relationships/hyperlink" Target="http://hudoc.echr.coe.int/eng?i=001-93258" TargetMode="External"/><Relationship Id="rId1904" Type="http://schemas.openxmlformats.org/officeDocument/2006/relationships/hyperlink" Target="https://hudoc.echr.coe.int/eng?i=001-215716" TargetMode="External"/><Relationship Id="rId485" Type="http://schemas.openxmlformats.org/officeDocument/2006/relationships/hyperlink" Target="http://hudoc.echr.coe.int/eng?i=001-61698" TargetMode="External"/><Relationship Id="rId692" Type="http://schemas.openxmlformats.org/officeDocument/2006/relationships/hyperlink" Target="http://hudoc.echr.coe.int/eng?i=001-207622" TargetMode="External"/><Relationship Id="rId2166" Type="http://schemas.openxmlformats.org/officeDocument/2006/relationships/hyperlink" Target="http://hudoc.echr.coe.int/eng?i=001-100880" TargetMode="External"/><Relationship Id="rId2373" Type="http://schemas.openxmlformats.org/officeDocument/2006/relationships/hyperlink" Target="http://hudoc.echr.coe.int/eng?i=001-43193" TargetMode="External"/><Relationship Id="rId2580" Type="http://schemas.openxmlformats.org/officeDocument/2006/relationships/hyperlink" Target="http://hudoc.echr.coe.int/eng?i=001-201734" TargetMode="External"/><Relationship Id="rId138" Type="http://schemas.openxmlformats.org/officeDocument/2006/relationships/hyperlink" Target="http://hudoc.echr.coe.int/eng?i=001-58102" TargetMode="External"/><Relationship Id="rId345" Type="http://schemas.openxmlformats.org/officeDocument/2006/relationships/hyperlink" Target="http://hudoc.echr.coe.int/eng?i=001-83773" TargetMode="External"/><Relationship Id="rId552" Type="http://schemas.openxmlformats.org/officeDocument/2006/relationships/hyperlink" Target="http://hudoc.echr.coe.int/eng?i=001-61564" TargetMode="External"/><Relationship Id="rId997" Type="http://schemas.openxmlformats.org/officeDocument/2006/relationships/hyperlink" Target="http://hudoc.echr.coe.int/eng?i=001-147032" TargetMode="External"/><Relationship Id="rId1182" Type="http://schemas.openxmlformats.org/officeDocument/2006/relationships/hyperlink" Target="http://hudoc.echr.coe.int/eng?i=001-154162" TargetMode="External"/><Relationship Id="rId2026" Type="http://schemas.openxmlformats.org/officeDocument/2006/relationships/hyperlink" Target="http://hudoc.echr.coe.int/eng?i=001-186506" TargetMode="External"/><Relationship Id="rId2233" Type="http://schemas.openxmlformats.org/officeDocument/2006/relationships/hyperlink" Target="http://hudoc.echr.coe.int/eng?i=001-44967" TargetMode="External"/><Relationship Id="rId2440" Type="http://schemas.openxmlformats.org/officeDocument/2006/relationships/hyperlink" Target="http://hudoc.echr.coe.int/eng?i=001-144276" TargetMode="External"/><Relationship Id="rId2678" Type="http://schemas.openxmlformats.org/officeDocument/2006/relationships/hyperlink" Target="http://hudoc.echr.coe.int/eng?i=001-23765" TargetMode="External"/><Relationship Id="rId205" Type="http://schemas.openxmlformats.org/officeDocument/2006/relationships/hyperlink" Target="https://hudoc.echr.coe.int/eng%23%7b%22docname%22:%5b%22albert%22%5d,%22documentcollectionid2%22:%5b%22GRANDCHAMBER%22,%22CHAMBER%22%5d,%22itemid%22:%5b%22001-203850%22%5d%7d" TargetMode="External"/><Relationship Id="rId412" Type="http://schemas.openxmlformats.org/officeDocument/2006/relationships/hyperlink" Target="http://hudoc.echr.coe.int/eng?i=001-200433" TargetMode="External"/><Relationship Id="rId857" Type="http://schemas.openxmlformats.org/officeDocument/2006/relationships/hyperlink" Target="http://hudoc.echr.coe.int/eng?i=001-100665" TargetMode="External"/><Relationship Id="rId1042" Type="http://schemas.openxmlformats.org/officeDocument/2006/relationships/hyperlink" Target="http://hudoc.echr.coe.int/eng?i=001-108383" TargetMode="External"/><Relationship Id="rId1487" Type="http://schemas.openxmlformats.org/officeDocument/2006/relationships/hyperlink" Target="http://hudoc.echr.coe.int/eng?i=001-105606" TargetMode="External"/><Relationship Id="rId1694" Type="http://schemas.openxmlformats.org/officeDocument/2006/relationships/hyperlink" Target="http://hudoc.echr.coe.int/eng?i=001-72214" TargetMode="External"/><Relationship Id="rId2300" Type="http://schemas.openxmlformats.org/officeDocument/2006/relationships/hyperlink" Target="http://hudoc.echr.coe.int/eng?i=001-144680" TargetMode="External"/><Relationship Id="rId2538" Type="http://schemas.openxmlformats.org/officeDocument/2006/relationships/hyperlink" Target="http://hudoc.echr.coe.int/eng?i=001-201204" TargetMode="External"/><Relationship Id="rId2745" Type="http://schemas.openxmlformats.org/officeDocument/2006/relationships/hyperlink" Target="http://hudoc.echr.coe.int/eng?i=001-98428" TargetMode="External"/><Relationship Id="rId717" Type="http://schemas.openxmlformats.org/officeDocument/2006/relationships/hyperlink" Target="http://hudoc.echr.coe.int/eng?i=001-142196" TargetMode="External"/><Relationship Id="rId924" Type="http://schemas.openxmlformats.org/officeDocument/2006/relationships/hyperlink" Target="http://hudoc.echr.coe.int/eng?i=001-187903" TargetMode="External"/><Relationship Id="rId1347" Type="http://schemas.openxmlformats.org/officeDocument/2006/relationships/hyperlink" Target="http://hudoc.echr.coe.int/eng?i=001-77533" TargetMode="External"/><Relationship Id="rId1554" Type="http://schemas.openxmlformats.org/officeDocument/2006/relationships/hyperlink" Target="http://hudoc.echr.coe.int/eng?i=001-60739" TargetMode="External"/><Relationship Id="rId1761" Type="http://schemas.openxmlformats.org/officeDocument/2006/relationships/hyperlink" Target="http://hudoc.echr.coe.int/eng?i=001-196480" TargetMode="External"/><Relationship Id="rId1999" Type="http://schemas.openxmlformats.org/officeDocument/2006/relationships/hyperlink" Target="http://hudoc.echr.coe.int/eng?i=001-112101" TargetMode="External"/><Relationship Id="rId2605" Type="http://schemas.openxmlformats.org/officeDocument/2006/relationships/hyperlink" Target="http://hudoc.echr.coe.int/eng?i=001-77008" TargetMode="External"/><Relationship Id="rId2812" Type="http://schemas.openxmlformats.org/officeDocument/2006/relationships/hyperlink" Target="http://hudoc.echr.coe.int/eng?i=001-200838" TargetMode="External"/><Relationship Id="rId53" Type="http://schemas.openxmlformats.org/officeDocument/2006/relationships/hyperlink" Target="http://hudoc.echr.coe.int/eng?i=001-98220" TargetMode="External"/><Relationship Id="rId1207" Type="http://schemas.openxmlformats.org/officeDocument/2006/relationships/hyperlink" Target="https://hudoc.echr.coe.int/eng?i=001-215461" TargetMode="External"/><Relationship Id="rId1414" Type="http://schemas.openxmlformats.org/officeDocument/2006/relationships/hyperlink" Target="http://hudoc.echr.coe.int/eng?i=001-183685" TargetMode="External"/><Relationship Id="rId1621" Type="http://schemas.openxmlformats.org/officeDocument/2006/relationships/hyperlink" Target="http://hudoc.echr.coe.int/eng?i=001-22231" TargetMode="External"/><Relationship Id="rId1859" Type="http://schemas.openxmlformats.org/officeDocument/2006/relationships/hyperlink" Target="https://hudoc.echr.coe.int/eng%23%7b%22itemid%22:%5b%22001-203165%22%5d%7d" TargetMode="External"/><Relationship Id="rId1719" Type="http://schemas.openxmlformats.org/officeDocument/2006/relationships/hyperlink" Target="http://hudoc.echr.coe.int/eng?i=001-69456" TargetMode="External"/><Relationship Id="rId1926" Type="http://schemas.openxmlformats.org/officeDocument/2006/relationships/hyperlink" Target="http://hudoc.echr.coe.int/eng?i=001-58003" TargetMode="External"/><Relationship Id="rId2090" Type="http://schemas.openxmlformats.org/officeDocument/2006/relationships/hyperlink" Target="http://hudoc.echr.coe.int/eng?i=001-79992" TargetMode="External"/><Relationship Id="rId2188" Type="http://schemas.openxmlformats.org/officeDocument/2006/relationships/hyperlink" Target="http://hudoc.echr.coe.int/eng?i=001-103812" TargetMode="External"/><Relationship Id="rId2395" Type="http://schemas.openxmlformats.org/officeDocument/2006/relationships/hyperlink" Target="http://hudoc.echr.coe.int/eng?i=001-188268" TargetMode="External"/><Relationship Id="rId367" Type="http://schemas.openxmlformats.org/officeDocument/2006/relationships/hyperlink" Target="http://hudoc.echr.coe.int/eng?i=001-83043" TargetMode="External"/><Relationship Id="rId574" Type="http://schemas.openxmlformats.org/officeDocument/2006/relationships/hyperlink" Target="http://hudoc.echr.coe.int/eng?i=001-58066" TargetMode="External"/><Relationship Id="rId2048" Type="http://schemas.openxmlformats.org/officeDocument/2006/relationships/hyperlink" Target="http://hudoc.echr.coe.int/eng?i=001-98575" TargetMode="External"/><Relationship Id="rId2255" Type="http://schemas.openxmlformats.org/officeDocument/2006/relationships/hyperlink" Target="http://hudoc.echr.coe.int/eng?i=001-2909" TargetMode="External"/><Relationship Id="rId227" Type="http://schemas.openxmlformats.org/officeDocument/2006/relationships/hyperlink" Target="http://hudoc.echr.coe.int/eng?i=001-23765" TargetMode="External"/><Relationship Id="rId781" Type="http://schemas.openxmlformats.org/officeDocument/2006/relationships/hyperlink" Target="http://hudoc.echr.coe.int/eng?i=001-102332" TargetMode="External"/><Relationship Id="rId879" Type="http://schemas.openxmlformats.org/officeDocument/2006/relationships/hyperlink" Target="http://hudoc.echr.coe.int/eng?i=001-72123" TargetMode="External"/><Relationship Id="rId2462" Type="http://schemas.openxmlformats.org/officeDocument/2006/relationships/hyperlink" Target="http://hudoc.echr.coe.int/eng?i=001-154391" TargetMode="External"/><Relationship Id="rId2767" Type="http://schemas.openxmlformats.org/officeDocument/2006/relationships/hyperlink" Target="http://hudoc.echr.coe.int/eng?i=001-57587" TargetMode="External"/><Relationship Id="rId434" Type="http://schemas.openxmlformats.org/officeDocument/2006/relationships/hyperlink" Target="https://hudoc.echr.coe.int/eng?i=001-213213" TargetMode="External"/><Relationship Id="rId641" Type="http://schemas.openxmlformats.org/officeDocument/2006/relationships/hyperlink" Target="http://hudoc.echr.coe.int/eng?i=001-98305" TargetMode="External"/><Relationship Id="rId739" Type="http://schemas.openxmlformats.org/officeDocument/2006/relationships/hyperlink" Target="http://hudoc.echr.coe.int/eng?i=001-122894" TargetMode="External"/><Relationship Id="rId1064" Type="http://schemas.openxmlformats.org/officeDocument/2006/relationships/hyperlink" Target="http://hudoc.echr.coe.int/eng?i=001-147623" TargetMode="External"/><Relationship Id="rId1271" Type="http://schemas.openxmlformats.org/officeDocument/2006/relationships/hyperlink" Target="http://hudoc.echr.coe.int/eng?i=001-186828" TargetMode="External"/><Relationship Id="rId1369" Type="http://schemas.openxmlformats.org/officeDocument/2006/relationships/hyperlink" Target="http://hudoc.echr.coe.int/eng?i=001-151029" TargetMode="External"/><Relationship Id="rId1576" Type="http://schemas.openxmlformats.org/officeDocument/2006/relationships/hyperlink" Target="http://hudoc.echr.coe.int/eng?i=001-103526" TargetMode="External"/><Relationship Id="rId2115" Type="http://schemas.openxmlformats.org/officeDocument/2006/relationships/hyperlink" Target="http://hudoc.echr.coe.int/eng?i=001-22838" TargetMode="External"/><Relationship Id="rId2322" Type="http://schemas.openxmlformats.org/officeDocument/2006/relationships/hyperlink" Target="http://hudoc.echr.coe.int/eng?i=001-99026" TargetMode="External"/><Relationship Id="rId501" Type="http://schemas.openxmlformats.org/officeDocument/2006/relationships/hyperlink" Target="http://hudoc.echr.coe.int/eng?i=001-58282" TargetMode="External"/><Relationship Id="rId946" Type="http://schemas.openxmlformats.org/officeDocument/2006/relationships/hyperlink" Target="http://hudoc.echr.coe.int/eng?i=001-111957" TargetMode="External"/><Relationship Id="rId1131" Type="http://schemas.openxmlformats.org/officeDocument/2006/relationships/hyperlink" Target="http://hudoc.echr.coe.int/eng?i=001-108223" TargetMode="External"/><Relationship Id="rId1229" Type="http://schemas.openxmlformats.org/officeDocument/2006/relationships/hyperlink" Target="http://hudoc.echr.coe.int/eng?i=001-82839" TargetMode="External"/><Relationship Id="rId1783" Type="http://schemas.openxmlformats.org/officeDocument/2006/relationships/hyperlink" Target="http://hudoc.echr.coe.int/eng?i=001-103812" TargetMode="External"/><Relationship Id="rId1990" Type="http://schemas.openxmlformats.org/officeDocument/2006/relationships/hyperlink" Target="http://hudoc.echr.coe.int/eng?i=001-200294" TargetMode="External"/><Relationship Id="rId2627" Type="http://schemas.openxmlformats.org/officeDocument/2006/relationships/hyperlink" Target="http://hudoc.echr.coe.int/eng?i=001-189902" TargetMode="External"/><Relationship Id="rId2834" Type="http://schemas.openxmlformats.org/officeDocument/2006/relationships/hyperlink" Target="http://hudoc.echr.coe.int/sites/eng?i=001-109116" TargetMode="External"/><Relationship Id="rId75" Type="http://schemas.openxmlformats.org/officeDocument/2006/relationships/hyperlink" Target="http://hudoc.echr.coe.int/eng?i=001-107743" TargetMode="External"/><Relationship Id="rId806" Type="http://schemas.openxmlformats.org/officeDocument/2006/relationships/hyperlink" Target="http://hudoc.echr.coe.int/eng?i=001-167483" TargetMode="External"/><Relationship Id="rId1436" Type="http://schemas.openxmlformats.org/officeDocument/2006/relationships/hyperlink" Target="http://hudoc.echr.coe.int/eng?i=001-151029" TargetMode="External"/><Relationship Id="rId1643" Type="http://schemas.openxmlformats.org/officeDocument/2006/relationships/hyperlink" Target="http://hudoc.echr.coe.int/eng?i=001-152331" TargetMode="External"/><Relationship Id="rId1850" Type="http://schemas.openxmlformats.org/officeDocument/2006/relationships/hyperlink" Target="http://hudoc.echr.coe.int/eng?i=001-173087" TargetMode="External"/><Relationship Id="rId1503" Type="http://schemas.openxmlformats.org/officeDocument/2006/relationships/hyperlink" Target="http://hudoc.echr.coe.int/eng?i=001-115714" TargetMode="External"/><Relationship Id="rId1710" Type="http://schemas.openxmlformats.org/officeDocument/2006/relationships/hyperlink" Target="http://hudoc.echr.coe.int/eng?i=001-171804" TargetMode="External"/><Relationship Id="rId1948" Type="http://schemas.openxmlformats.org/officeDocument/2006/relationships/hyperlink" Target="http://hudoc.echr.coe.int/eng?i=001-22806" TargetMode="External"/><Relationship Id="rId291" Type="http://schemas.openxmlformats.org/officeDocument/2006/relationships/hyperlink" Target="http://hudoc.echr.coe.int/eng?i=001-93436" TargetMode="External"/><Relationship Id="rId1808" Type="http://schemas.openxmlformats.org/officeDocument/2006/relationships/hyperlink" Target="http://hudoc.echr.coe.int/eng?i=001-102873" TargetMode="External"/><Relationship Id="rId151" Type="http://schemas.openxmlformats.org/officeDocument/2006/relationships/hyperlink" Target="http://hudoc.echr.coe.int/eng?i=001-22151" TargetMode="External"/><Relationship Id="rId389" Type="http://schemas.openxmlformats.org/officeDocument/2006/relationships/hyperlink" Target="https://hudoc.echr.coe.int/eng%23%7b%22appno%22:%5b%2222909/10%22%5d%7d" TargetMode="External"/><Relationship Id="rId596" Type="http://schemas.openxmlformats.org/officeDocument/2006/relationships/hyperlink" Target="http://hudoc.echr.coe.int/eng?i=001-156476" TargetMode="External"/><Relationship Id="rId2277" Type="http://schemas.openxmlformats.org/officeDocument/2006/relationships/hyperlink" Target="http://hudoc.echr.coe.int/eng?i=001-198760" TargetMode="External"/><Relationship Id="rId2484" Type="http://schemas.openxmlformats.org/officeDocument/2006/relationships/hyperlink" Target="http://hudoc.echr.coe.int/eng?i=001-93528" TargetMode="External"/><Relationship Id="rId2691" Type="http://schemas.openxmlformats.org/officeDocument/2006/relationships/hyperlink" Target="https://hudoc.echr.coe.int/eng%23%7b%22itemid%22:%5b%22001-207418%22%5d%7d" TargetMode="External"/><Relationship Id="rId249" Type="http://schemas.openxmlformats.org/officeDocument/2006/relationships/hyperlink" Target="http://hudoc.echr.coe.int/eng?i=001-115377" TargetMode="External"/><Relationship Id="rId456" Type="http://schemas.openxmlformats.org/officeDocument/2006/relationships/hyperlink" Target="http://hudoc.echr.coe.int/eng?i=001-100880" TargetMode="External"/><Relationship Id="rId663" Type="http://schemas.openxmlformats.org/officeDocument/2006/relationships/hyperlink" Target="http://hudoc.echr.coe.int/eng?i=001-158146" TargetMode="External"/><Relationship Id="rId870" Type="http://schemas.openxmlformats.org/officeDocument/2006/relationships/hyperlink" Target="http://hudoc.echr.coe.int/eng?i=001-97649" TargetMode="External"/><Relationship Id="rId1086" Type="http://schemas.openxmlformats.org/officeDocument/2006/relationships/hyperlink" Target="http://hudoc.echr.coe.int/sites/eng?i=001-112143" TargetMode="External"/><Relationship Id="rId1293" Type="http://schemas.openxmlformats.org/officeDocument/2006/relationships/hyperlink" Target="http://hudoc.echr.coe.int/eng?i=001-161055" TargetMode="External"/><Relationship Id="rId2137" Type="http://schemas.openxmlformats.org/officeDocument/2006/relationships/hyperlink" Target="http://hudoc.echr.coe.int/eng?i=001-168066" TargetMode="External"/><Relationship Id="rId2344" Type="http://schemas.openxmlformats.org/officeDocument/2006/relationships/hyperlink" Target="http://hudoc.echr.coe.int/eng?i=001-177396" TargetMode="External"/><Relationship Id="rId2551" Type="http://schemas.openxmlformats.org/officeDocument/2006/relationships/hyperlink" Target="https://hudoc.echr.coe.int/eng%23%7b%22itemid%22:%5b%22001-206352%22%5d%7d" TargetMode="External"/><Relationship Id="rId2789" Type="http://schemas.openxmlformats.org/officeDocument/2006/relationships/hyperlink" Target="http://hudoc.echr.coe.int/eng?i=001-148258" TargetMode="External"/><Relationship Id="rId109" Type="http://schemas.openxmlformats.org/officeDocument/2006/relationships/hyperlink" Target="http://hudoc.echr.coe.int/eng?i=001-95031" TargetMode="External"/><Relationship Id="rId316" Type="http://schemas.openxmlformats.org/officeDocument/2006/relationships/hyperlink" Target="http://hudoc.echr.coe.int/eng?i=001-95651" TargetMode="External"/><Relationship Id="rId523" Type="http://schemas.openxmlformats.org/officeDocument/2006/relationships/hyperlink" Target="http://hudoc.echr.coe.int/eng?i=001-91413" TargetMode="External"/><Relationship Id="rId968" Type="http://schemas.openxmlformats.org/officeDocument/2006/relationships/hyperlink" Target="http://hudoc.echr.coe.int/eng?i=001-145466" TargetMode="External"/><Relationship Id="rId1153" Type="http://schemas.openxmlformats.org/officeDocument/2006/relationships/hyperlink" Target="https://hudoc.echr.coe.int/eng%23%7b%22docname%22:%5b%22demirtas%22%5d,%22documentcollectionid2%22:%5b%22GRANDCHAMBER%22,%22CHAMBER%22%5d,%22itemid%22:%5b%22001-207173%22%5d%7d" TargetMode="External"/><Relationship Id="rId1598" Type="http://schemas.openxmlformats.org/officeDocument/2006/relationships/hyperlink" Target="http://hudoc.echr.coe.int/eng?i=001-186724" TargetMode="External"/><Relationship Id="rId2204" Type="http://schemas.openxmlformats.org/officeDocument/2006/relationships/hyperlink" Target="http://hudoc.echr.coe.int/eng?i=001-60454" TargetMode="External"/><Relationship Id="rId2649" Type="http://schemas.openxmlformats.org/officeDocument/2006/relationships/hyperlink" Target="http://hudoc.echr.coe.int/eng?i=001-96027" TargetMode="External"/><Relationship Id="rId2856" Type="http://schemas.openxmlformats.org/officeDocument/2006/relationships/hyperlink" Target="file:///C:/Users/Brodeala/AppData/Local/Microsoft/Windows/Temporary%20Internet%20Files/Content.Outlook/MEPHPEXS/Zwinkels%20v.%20the%20Netherlands" TargetMode="External"/><Relationship Id="rId97" Type="http://schemas.openxmlformats.org/officeDocument/2006/relationships/hyperlink" Target="http://hudoc.echr.coe.int/eng?i=001-109231" TargetMode="External"/><Relationship Id="rId730" Type="http://schemas.openxmlformats.org/officeDocument/2006/relationships/hyperlink" Target="http://hudoc.echr.coe.int/eng?i=001-100413" TargetMode="External"/><Relationship Id="rId828" Type="http://schemas.openxmlformats.org/officeDocument/2006/relationships/hyperlink" Target="http://hudoc.echr.coe.int/eng?i=001-72123" TargetMode="External"/><Relationship Id="rId1013" Type="http://schemas.openxmlformats.org/officeDocument/2006/relationships/hyperlink" Target="http://hudoc.echr.coe.int/eng?i=001-198760" TargetMode="External"/><Relationship Id="rId1360" Type="http://schemas.openxmlformats.org/officeDocument/2006/relationships/hyperlink" Target="http://hudoc.echr.coe.int/eng?i=001-155662" TargetMode="External"/><Relationship Id="rId1458" Type="http://schemas.openxmlformats.org/officeDocument/2006/relationships/hyperlink" Target="http://hudoc.echr.coe.int/eng?i=001-74373" TargetMode="External"/><Relationship Id="rId1665" Type="http://schemas.openxmlformats.org/officeDocument/2006/relationships/hyperlink" Target="https://echr.coe.int/Documents/Guide_Art_13_ENG.pdf" TargetMode="External"/><Relationship Id="rId1872" Type="http://schemas.openxmlformats.org/officeDocument/2006/relationships/hyperlink" Target="http://hudoc.echr.coe.int/eng?i=001-193987" TargetMode="External"/><Relationship Id="rId2411" Type="http://schemas.openxmlformats.org/officeDocument/2006/relationships/hyperlink" Target="http://hudoc.echr.coe.int/eng?i=001-70449" TargetMode="External"/><Relationship Id="rId2509" Type="http://schemas.openxmlformats.org/officeDocument/2006/relationships/hyperlink" Target="http://hudoc.echr.coe.int/eng?i=001-150771" TargetMode="External"/><Relationship Id="rId2716" Type="http://schemas.openxmlformats.org/officeDocument/2006/relationships/hyperlink" Target="http://hudoc.echr.coe.int/eng?i=001-159449" TargetMode="External"/><Relationship Id="rId1220" Type="http://schemas.openxmlformats.org/officeDocument/2006/relationships/hyperlink" Target="http://hudoc.echr.coe.int/eng?i=001-23947" TargetMode="External"/><Relationship Id="rId1318" Type="http://schemas.openxmlformats.org/officeDocument/2006/relationships/hyperlink" Target="http://hudoc.echr.coe.int/eng?i=001-114082" TargetMode="External"/><Relationship Id="rId1525" Type="http://schemas.openxmlformats.org/officeDocument/2006/relationships/hyperlink" Target="http://hudoc.echr.coe.int/eng?i=001-186724" TargetMode="External"/><Relationship Id="rId1732" Type="http://schemas.openxmlformats.org/officeDocument/2006/relationships/hyperlink" Target="http://hudoc.echr.coe.int/eng?i=001-177711" TargetMode="External"/><Relationship Id="rId24" Type="http://schemas.openxmlformats.org/officeDocument/2006/relationships/hyperlink" Target="https://hudoc.echr.coe.int/eng?i=001-216400" TargetMode="External"/><Relationship Id="rId2299" Type="http://schemas.openxmlformats.org/officeDocument/2006/relationships/hyperlink" Target="http://hudoc.echr.coe.int/eng?i=001-102393" TargetMode="External"/><Relationship Id="rId173" Type="http://schemas.openxmlformats.org/officeDocument/2006/relationships/hyperlink" Target="http://hudoc.echr.coe.int/eng?i=001-57546" TargetMode="External"/><Relationship Id="rId380" Type="http://schemas.openxmlformats.org/officeDocument/2006/relationships/hyperlink" Target="http://hudoc.echr.coe.int/eng?i=001-169047" TargetMode="External"/><Relationship Id="rId2061" Type="http://schemas.openxmlformats.org/officeDocument/2006/relationships/hyperlink" Target="https://hudoc.echr.coe.int/eng?i=001-213367" TargetMode="External"/><Relationship Id="rId240" Type="http://schemas.openxmlformats.org/officeDocument/2006/relationships/hyperlink" Target="http://hudoc.echr.coe.int/eng?i=001-189421" TargetMode="External"/><Relationship Id="rId478" Type="http://schemas.openxmlformats.org/officeDocument/2006/relationships/hyperlink" Target="http://hudoc.echr.coe.int/eng?i=001-93410" TargetMode="External"/><Relationship Id="rId685" Type="http://schemas.openxmlformats.org/officeDocument/2006/relationships/hyperlink" Target="http://hudoc.echr.coe.int/eng?i=001-83256" TargetMode="External"/><Relationship Id="rId892" Type="http://schemas.openxmlformats.org/officeDocument/2006/relationships/hyperlink" Target="http://hudoc.echr.coe.int/eng?i=001-146540" TargetMode="External"/><Relationship Id="rId2159" Type="http://schemas.openxmlformats.org/officeDocument/2006/relationships/hyperlink" Target="http://hudoc.echr.coe.int/eng?i=001-175654" TargetMode="External"/><Relationship Id="rId2366" Type="http://schemas.openxmlformats.org/officeDocument/2006/relationships/hyperlink" Target="http://hudoc.echr.coe.int/eng?i=001-80795" TargetMode="External"/><Relationship Id="rId2573" Type="http://schemas.openxmlformats.org/officeDocument/2006/relationships/hyperlink" Target="http://hudoc.echr.coe.int/eng?i=001-198717" TargetMode="External"/><Relationship Id="rId2780" Type="http://schemas.openxmlformats.org/officeDocument/2006/relationships/hyperlink" Target="http://hudoc.echr.coe.int/sites/eng?i=001-126599" TargetMode="External"/><Relationship Id="rId100" Type="http://schemas.openxmlformats.org/officeDocument/2006/relationships/hyperlink" Target="http://hudoc.echr.coe.int/eng?i=001-175121" TargetMode="External"/><Relationship Id="rId338" Type="http://schemas.openxmlformats.org/officeDocument/2006/relationships/hyperlink" Target="https://hudoc.echr.coe.int/eng%23%7b%22itemid%22:%5b%22001-206713%22%5d%7d" TargetMode="External"/><Relationship Id="rId545" Type="http://schemas.openxmlformats.org/officeDocument/2006/relationships/hyperlink" Target="http://hudoc.echr.coe.int/eng?i=001-77413" TargetMode="External"/><Relationship Id="rId752" Type="http://schemas.openxmlformats.org/officeDocument/2006/relationships/hyperlink" Target="http://hudoc.echr.coe.int/eng?i=001-58287" TargetMode="External"/><Relationship Id="rId1175" Type="http://schemas.openxmlformats.org/officeDocument/2006/relationships/hyperlink" Target="http://hudoc.echr.coe.int/eng?i=001-146780" TargetMode="External"/><Relationship Id="rId1382" Type="http://schemas.openxmlformats.org/officeDocument/2006/relationships/hyperlink" Target="http://hudoc.echr.coe.int/eng?i=001-145782" TargetMode="External"/><Relationship Id="rId2019" Type="http://schemas.openxmlformats.org/officeDocument/2006/relationships/hyperlink" Target="http://hudoc.echr.coe.int/eng?i=001-152831" TargetMode="External"/><Relationship Id="rId2226" Type="http://schemas.openxmlformats.org/officeDocument/2006/relationships/hyperlink" Target="http://hudoc.echr.coe.int/eng?i=001-93410" TargetMode="External"/><Relationship Id="rId2433" Type="http://schemas.openxmlformats.org/officeDocument/2006/relationships/hyperlink" Target="http://hudoc.echr.coe.int/eng?i=001-103679" TargetMode="External"/><Relationship Id="rId2640" Type="http://schemas.openxmlformats.org/officeDocument/2006/relationships/hyperlink" Target="http://hudoc.echr.coe.int/eng?i=001-98885" TargetMode="External"/><Relationship Id="rId405" Type="http://schemas.openxmlformats.org/officeDocument/2006/relationships/hyperlink" Target="http://hudoc.echr.coe.int/eng?i=001-194058" TargetMode="External"/><Relationship Id="rId612" Type="http://schemas.openxmlformats.org/officeDocument/2006/relationships/hyperlink" Target="http://hudoc.echr.coe.int/eng?i=001-179664" TargetMode="External"/><Relationship Id="rId1035" Type="http://schemas.openxmlformats.org/officeDocument/2006/relationships/hyperlink" Target="http://hudoc.echr.coe.int/eng/?i=001-164508" TargetMode="External"/><Relationship Id="rId1242" Type="http://schemas.openxmlformats.org/officeDocument/2006/relationships/hyperlink" Target="http://hudoc.echr.coe.int/eng?i=001-500" TargetMode="External"/><Relationship Id="rId1687" Type="http://schemas.openxmlformats.org/officeDocument/2006/relationships/hyperlink" Target="http://hudoc.echr.coe.int/eng?i=001-98669" TargetMode="External"/><Relationship Id="rId1894" Type="http://schemas.openxmlformats.org/officeDocument/2006/relationships/hyperlink" Target="http://hudoc.echr.coe.int/eng?i=001-106652" TargetMode="External"/><Relationship Id="rId2500" Type="http://schemas.openxmlformats.org/officeDocument/2006/relationships/hyperlink" Target="http://hudoc.echr.coe.int/eng?i=001-201353" TargetMode="External"/><Relationship Id="rId2738" Type="http://schemas.openxmlformats.org/officeDocument/2006/relationships/hyperlink" Target="http://hudoc.echr.coe.int/eng?i=001-75689" TargetMode="External"/><Relationship Id="rId917" Type="http://schemas.openxmlformats.org/officeDocument/2006/relationships/hyperlink" Target="http://hudoc.echr.coe.int/eng?i=001-140235" TargetMode="External"/><Relationship Id="rId1102" Type="http://schemas.openxmlformats.org/officeDocument/2006/relationships/hyperlink" Target="http://hudoc.echr.coe.int/eng?i=001-175502" TargetMode="External"/><Relationship Id="rId1547" Type="http://schemas.openxmlformats.org/officeDocument/2006/relationships/hyperlink" Target="http://hudoc.echr.coe.int/eng?i=001-81527" TargetMode="External"/><Relationship Id="rId1754" Type="http://schemas.openxmlformats.org/officeDocument/2006/relationships/hyperlink" Target="http://hudoc.echr.coe.int/eng?i=001-109895" TargetMode="External"/><Relationship Id="rId1961" Type="http://schemas.openxmlformats.org/officeDocument/2006/relationships/hyperlink" Target="http://hudoc.echr.coe.int/eng?i=001-153027" TargetMode="External"/><Relationship Id="rId2805" Type="http://schemas.openxmlformats.org/officeDocument/2006/relationships/hyperlink" Target="http://hudoc.echr.coe.int/eng?i=001-170348" TargetMode="External"/><Relationship Id="rId46" Type="http://schemas.openxmlformats.org/officeDocument/2006/relationships/hyperlink" Target="http://hudoc.echr.coe.int/eng?i=001-58232" TargetMode="External"/><Relationship Id="rId1407" Type="http://schemas.openxmlformats.org/officeDocument/2006/relationships/hyperlink" Target="http://hudoc.echr.coe.int/eng?i=001-93258" TargetMode="External"/><Relationship Id="rId1614" Type="http://schemas.openxmlformats.org/officeDocument/2006/relationships/hyperlink" Target="http://hudoc.echr.coe.int/eng?i=001-74523" TargetMode="External"/><Relationship Id="rId1821" Type="http://schemas.openxmlformats.org/officeDocument/2006/relationships/hyperlink" Target="http://hudoc.echr.coe.int/eng?i=001-116438" TargetMode="External"/><Relationship Id="rId195" Type="http://schemas.openxmlformats.org/officeDocument/2006/relationships/hyperlink" Target="http://hudoc.echr.coe.int/eng?i=001-57951" TargetMode="External"/><Relationship Id="rId1919" Type="http://schemas.openxmlformats.org/officeDocument/2006/relationships/hyperlink" Target="http://hudoc.echr.coe.int/eng?i=001-69481" TargetMode="External"/><Relationship Id="rId2083" Type="http://schemas.openxmlformats.org/officeDocument/2006/relationships/hyperlink" Target="http://hudoc.echr.coe.int/eng?i=001-82877" TargetMode="External"/><Relationship Id="rId2290" Type="http://schemas.openxmlformats.org/officeDocument/2006/relationships/hyperlink" Target="http://hudoc.echr.coe.int/eng?i=001-188860" TargetMode="External"/><Relationship Id="rId2388" Type="http://schemas.openxmlformats.org/officeDocument/2006/relationships/hyperlink" Target="http://hudoc.echr.coe.int/eng?i=001-98349" TargetMode="External"/><Relationship Id="rId2595" Type="http://schemas.openxmlformats.org/officeDocument/2006/relationships/hyperlink" Target="http://hudoc.echr.coe.int/eng?i=001-81724" TargetMode="External"/><Relationship Id="rId262" Type="http://schemas.openxmlformats.org/officeDocument/2006/relationships/hyperlink" Target="http://hudoc.echr.coe.int/eng?i=001-203849" TargetMode="External"/><Relationship Id="rId567" Type="http://schemas.openxmlformats.org/officeDocument/2006/relationships/hyperlink" Target="http://hudoc.echr.coe.int/eng?i=001-201742" TargetMode="External"/><Relationship Id="rId1197" Type="http://schemas.openxmlformats.org/officeDocument/2006/relationships/hyperlink" Target="http://hudoc.echr.coe.int/eng?i=001-139320" TargetMode="External"/><Relationship Id="rId2150" Type="http://schemas.openxmlformats.org/officeDocument/2006/relationships/hyperlink" Target="http://hudoc.echr.coe.int/eng?i=001-59100" TargetMode="External"/><Relationship Id="rId2248" Type="http://schemas.openxmlformats.org/officeDocument/2006/relationships/hyperlink" Target="http://hudoc.echr.coe.int/eng?i=001-81352" TargetMode="External"/><Relationship Id="rId122" Type="http://schemas.openxmlformats.org/officeDocument/2006/relationships/hyperlink" Target="http://hudoc.echr.coe.int/eng?i=001-94162" TargetMode="External"/><Relationship Id="rId774" Type="http://schemas.openxmlformats.org/officeDocument/2006/relationships/hyperlink" Target="http://hudoc.echr.coe.int/eng?i=001-22282" TargetMode="External"/><Relationship Id="rId981" Type="http://schemas.openxmlformats.org/officeDocument/2006/relationships/hyperlink" Target="http://hudoc.echr.coe.int/eng?i=001-156265" TargetMode="External"/><Relationship Id="rId1057" Type="http://schemas.openxmlformats.org/officeDocument/2006/relationships/hyperlink" Target="http://hudoc.echr.coe.int/eng?i=001-177396" TargetMode="External"/><Relationship Id="rId2010" Type="http://schemas.openxmlformats.org/officeDocument/2006/relationships/hyperlink" Target="http://hudoc.echr.coe.int/eng?i=001-161822" TargetMode="External"/><Relationship Id="rId2455" Type="http://schemas.openxmlformats.org/officeDocument/2006/relationships/hyperlink" Target="http://hudoc.echr.coe.int/eng?i=001-100413" TargetMode="External"/><Relationship Id="rId2662" Type="http://schemas.openxmlformats.org/officeDocument/2006/relationships/hyperlink" Target="http://hudoc.echr.coe.int/eng?i=001-173087" TargetMode="External"/><Relationship Id="rId427" Type="http://schemas.openxmlformats.org/officeDocument/2006/relationships/hyperlink" Target="http://hudoc.echr.coe.int/eng?i=001-58062" TargetMode="External"/><Relationship Id="rId634" Type="http://schemas.openxmlformats.org/officeDocument/2006/relationships/hyperlink" Target="http://hudoc.echr.coe.int/eng?i=001-158146" TargetMode="External"/><Relationship Id="rId841" Type="http://schemas.openxmlformats.org/officeDocument/2006/relationships/hyperlink" Target="http://hudoc.echr.coe.int/fre?i=001-202475" TargetMode="External"/><Relationship Id="rId1264" Type="http://schemas.openxmlformats.org/officeDocument/2006/relationships/hyperlink" Target="http://hudoc.echr.coe.int/eng?i=001-92484" TargetMode="External"/><Relationship Id="rId1471" Type="http://schemas.openxmlformats.org/officeDocument/2006/relationships/hyperlink" Target="http://hudoc.echr.coe.int/eng?i=001-57920" TargetMode="External"/><Relationship Id="rId1569" Type="http://schemas.openxmlformats.org/officeDocument/2006/relationships/hyperlink" Target="http://hudoc.echr.coe.int/eng?i=001-72688" TargetMode="External"/><Relationship Id="rId2108" Type="http://schemas.openxmlformats.org/officeDocument/2006/relationships/hyperlink" Target="http://hudoc.echr.coe.int/eng?i=001-57606" TargetMode="External"/><Relationship Id="rId2315" Type="http://schemas.openxmlformats.org/officeDocument/2006/relationships/hyperlink" Target="http://hudoc.echr.coe.int/eng?i=001-2584" TargetMode="External"/><Relationship Id="rId2522" Type="http://schemas.openxmlformats.org/officeDocument/2006/relationships/hyperlink" Target="http://hudoc.echr.coe.int/eng?i=001-95317" TargetMode="External"/><Relationship Id="rId701" Type="http://schemas.openxmlformats.org/officeDocument/2006/relationships/hyperlink" Target="https://hudoc.echr.coe.int/eng%23%7b%22appno%22:%5b%2266994/14%22%5d,%22documentcollectionid2%22:%5b%22GRANDCHAMBER%22,%22CHAMBER%22%5d,%22itemid%22:%5b%22001-206513%22%5d%7d" TargetMode="External"/><Relationship Id="rId939" Type="http://schemas.openxmlformats.org/officeDocument/2006/relationships/hyperlink" Target="http://hudoc.echr.coe.int/eng?i=001-103301" TargetMode="External"/><Relationship Id="rId1124" Type="http://schemas.openxmlformats.org/officeDocument/2006/relationships/hyperlink" Target="https://hudoc.echr.coe.int/eng%23%7b%22docname%22:%5b%22demirtas%22%5d,%22documentcollectionid2%22:%5b%22GRANDCHAMBER%22,%22CHAMBER%22%5d,%22itemid%22:%5b%22001-207173%22%5d%7d" TargetMode="External"/><Relationship Id="rId1331" Type="http://schemas.openxmlformats.org/officeDocument/2006/relationships/hyperlink" Target="http://hudoc.echr.coe.int/eng?i=001-155353" TargetMode="External"/><Relationship Id="rId1776" Type="http://schemas.openxmlformats.org/officeDocument/2006/relationships/hyperlink" Target="http://hudoc.echr.coe.int/eng?i=001-107043" TargetMode="External"/><Relationship Id="rId1983" Type="http://schemas.openxmlformats.org/officeDocument/2006/relationships/hyperlink" Target="http://hudoc.echr.coe.int/eng?i=001-80830" TargetMode="External"/><Relationship Id="rId2827" Type="http://schemas.openxmlformats.org/officeDocument/2006/relationships/hyperlink" Target="http://hudoc.echr.coe.int/eng?i=001-71800" TargetMode="External"/><Relationship Id="rId68" Type="http://schemas.openxmlformats.org/officeDocument/2006/relationships/hyperlink" Target="https://hudoc.echr.coe.int/eng%23%7b%22itemid%22:%5b%22001-206713%22%5d%7d" TargetMode="External"/><Relationship Id="rId1429" Type="http://schemas.openxmlformats.org/officeDocument/2006/relationships/hyperlink" Target="http://hudoc.echr.coe.int/eng?i=001-91461" TargetMode="External"/><Relationship Id="rId1636" Type="http://schemas.openxmlformats.org/officeDocument/2006/relationships/hyperlink" Target="http://hudoc.echr.coe.int/eng?i=001-171835" TargetMode="External"/><Relationship Id="rId1843" Type="http://schemas.openxmlformats.org/officeDocument/2006/relationships/hyperlink" Target="http://hudoc.echr.coe.int/eng?i=001-102755" TargetMode="External"/><Relationship Id="rId1703" Type="http://schemas.openxmlformats.org/officeDocument/2006/relationships/hyperlink" Target="http://hudoc.echr.coe.int/eng?i=001-79022" TargetMode="External"/><Relationship Id="rId1910" Type="http://schemas.openxmlformats.org/officeDocument/2006/relationships/hyperlink" Target="http://hudoc.echr.coe.int/eng?i=001-155161" TargetMode="External"/><Relationship Id="rId284" Type="http://schemas.openxmlformats.org/officeDocument/2006/relationships/hyperlink" Target="https://hudoc.echr.coe.int/eng%23%7b%22sort%22:%5b%22EMPTY%22%5d,%22itemid%22:%5b%22001-207554%22%5d%7d" TargetMode="External"/><Relationship Id="rId491" Type="http://schemas.openxmlformats.org/officeDocument/2006/relationships/hyperlink" Target="http://hudoc.echr.coe.int/eng?i=001-127684" TargetMode="External"/><Relationship Id="rId2172" Type="http://schemas.openxmlformats.org/officeDocument/2006/relationships/hyperlink" Target="http://hudoc.echr.coe.int/eng?i=001-108926" TargetMode="External"/><Relationship Id="rId144" Type="http://schemas.openxmlformats.org/officeDocument/2006/relationships/hyperlink" Target="http://hudoc.echr.coe.int/eng?i=001-201742" TargetMode="External"/><Relationship Id="rId589" Type="http://schemas.openxmlformats.org/officeDocument/2006/relationships/hyperlink" Target="http://hudoc.echr.coe.int/eng?i=001-202437" TargetMode="External"/><Relationship Id="rId796" Type="http://schemas.openxmlformats.org/officeDocument/2006/relationships/hyperlink" Target="http://hudoc.echr.coe.int/eng?i=001-93528" TargetMode="External"/><Relationship Id="rId2477" Type="http://schemas.openxmlformats.org/officeDocument/2006/relationships/hyperlink" Target="http://hudoc.echr.coe.int/eng?i=001-94026" TargetMode="External"/><Relationship Id="rId2684" Type="http://schemas.openxmlformats.org/officeDocument/2006/relationships/hyperlink" Target="https://hudoc.echr.coe.int/eng?i=001-216223" TargetMode="External"/><Relationship Id="rId351" Type="http://schemas.openxmlformats.org/officeDocument/2006/relationships/hyperlink" Target="http://hudoc.echr.coe.int/eng?i=001-114492" TargetMode="External"/><Relationship Id="rId449" Type="http://schemas.openxmlformats.org/officeDocument/2006/relationships/hyperlink" Target="http://hudoc.echr.coe.int/eng?i=001-100941" TargetMode="External"/><Relationship Id="rId656" Type="http://schemas.openxmlformats.org/officeDocument/2006/relationships/hyperlink" Target="http://hudoc.echr.coe.int/eng?i=001-202347" TargetMode="External"/><Relationship Id="rId863" Type="http://schemas.openxmlformats.org/officeDocument/2006/relationships/hyperlink" Target="http://hudoc.echr.coe.int/eng?i=001-72925" TargetMode="External"/><Relationship Id="rId1079" Type="http://schemas.openxmlformats.org/officeDocument/2006/relationships/hyperlink" Target="http://hudoc.echr.coe.int/eng?i=001-74403" TargetMode="External"/><Relationship Id="rId1286" Type="http://schemas.openxmlformats.org/officeDocument/2006/relationships/hyperlink" Target="http://hudoc.echr.coe.int/eng?i=001-90868" TargetMode="External"/><Relationship Id="rId1493" Type="http://schemas.openxmlformats.org/officeDocument/2006/relationships/hyperlink" Target="http://hudoc.echr.coe.int/eng?i=001-163348" TargetMode="External"/><Relationship Id="rId2032" Type="http://schemas.openxmlformats.org/officeDocument/2006/relationships/hyperlink" Target="http://hudoc.echr.coe.int/eng?i=001-58337" TargetMode="External"/><Relationship Id="rId2337" Type="http://schemas.openxmlformats.org/officeDocument/2006/relationships/hyperlink" Target="http://hudoc.echr.coe.int/eng?i=001-57894" TargetMode="External"/><Relationship Id="rId2544" Type="http://schemas.openxmlformats.org/officeDocument/2006/relationships/hyperlink" Target="http://hudoc.echr.coe.int/eng?i=001-23942" TargetMode="External"/><Relationship Id="rId211" Type="http://schemas.openxmlformats.org/officeDocument/2006/relationships/hyperlink" Target="http://hudoc.echr.coe.int/eng?i=001-203762" TargetMode="External"/><Relationship Id="rId309" Type="http://schemas.openxmlformats.org/officeDocument/2006/relationships/hyperlink" Target="http://hudoc.echr.coe.int/eng?i=001-179628" TargetMode="External"/><Relationship Id="rId516" Type="http://schemas.openxmlformats.org/officeDocument/2006/relationships/hyperlink" Target="http://hudoc.echr.coe.int/eng?i=001-58920" TargetMode="External"/><Relationship Id="rId1146" Type="http://schemas.openxmlformats.org/officeDocument/2006/relationships/hyperlink" Target="http://hudoc.echr.coe.int/eng?i=001-106308" TargetMode="External"/><Relationship Id="rId1798" Type="http://schemas.openxmlformats.org/officeDocument/2006/relationships/hyperlink" Target="http://hudoc.echr.coe.int/eng?i=001-145780" TargetMode="External"/><Relationship Id="rId2751" Type="http://schemas.openxmlformats.org/officeDocument/2006/relationships/hyperlink" Target="http://hudoc.echr.coe.int/eng?i=001-57906" TargetMode="External"/><Relationship Id="rId2849" Type="http://schemas.openxmlformats.org/officeDocument/2006/relationships/hyperlink" Target="http://hudoc.echr.coe.int/eng?i=001-201352" TargetMode="External"/><Relationship Id="rId723" Type="http://schemas.openxmlformats.org/officeDocument/2006/relationships/hyperlink" Target="http://hudoc.echr.coe.int/eng?i=001-166578" TargetMode="External"/><Relationship Id="rId930" Type="http://schemas.openxmlformats.org/officeDocument/2006/relationships/hyperlink" Target="http://hudoc.echr.coe.int/eng?i=001-198708" TargetMode="External"/><Relationship Id="rId1006" Type="http://schemas.openxmlformats.org/officeDocument/2006/relationships/hyperlink" Target="http://hudoc.echr.coe.int/eng?i=001-80162" TargetMode="External"/><Relationship Id="rId1353" Type="http://schemas.openxmlformats.org/officeDocument/2006/relationships/hyperlink" Target="http://hudoc.echr.coe.int/eng?i=001-90868" TargetMode="External"/><Relationship Id="rId1560" Type="http://schemas.openxmlformats.org/officeDocument/2006/relationships/hyperlink" Target="http://hudoc.echr.coe.int/eng?i=001-92142" TargetMode="External"/><Relationship Id="rId1658" Type="http://schemas.openxmlformats.org/officeDocument/2006/relationships/hyperlink" Target="http://www.echr.coe.int/Documents/Guide_Art_6_ENG.pdf" TargetMode="External"/><Relationship Id="rId1865" Type="http://schemas.openxmlformats.org/officeDocument/2006/relationships/hyperlink" Target="http://hudoc.echr.coe.int/eng?i=001-112101" TargetMode="External"/><Relationship Id="rId2404" Type="http://schemas.openxmlformats.org/officeDocument/2006/relationships/hyperlink" Target="http://hudoc.echr.coe.int/eng?i=001-58007" TargetMode="External"/><Relationship Id="rId2611" Type="http://schemas.openxmlformats.org/officeDocument/2006/relationships/hyperlink" Target="http://hudoc.echr.coe.int/eng?i=001-80563" TargetMode="External"/><Relationship Id="rId2709" Type="http://schemas.openxmlformats.org/officeDocument/2006/relationships/hyperlink" Target="http://hudoc.echr.coe.int/eng?i=001-76823" TargetMode="External"/><Relationship Id="rId1213" Type="http://schemas.openxmlformats.org/officeDocument/2006/relationships/hyperlink" Target="http://hudoc.echr.coe.int/eng?i=001-171148" TargetMode="External"/><Relationship Id="rId1420" Type="http://schemas.openxmlformats.org/officeDocument/2006/relationships/hyperlink" Target="http://hudoc.echr.coe.int/eng?i=001-164515" TargetMode="External"/><Relationship Id="rId1518" Type="http://schemas.openxmlformats.org/officeDocument/2006/relationships/hyperlink" Target="http://hudoc.echr.coe.int/eng?i=001-145571" TargetMode="External"/><Relationship Id="rId1725" Type="http://schemas.openxmlformats.org/officeDocument/2006/relationships/hyperlink" Target="http://hudoc.echr.coe.int/eng?i=001-47778" TargetMode="External"/><Relationship Id="rId1932" Type="http://schemas.openxmlformats.org/officeDocument/2006/relationships/hyperlink" Target="http://hudoc.echr.coe.int/eng?i=001-105612" TargetMode="External"/><Relationship Id="rId17" Type="http://schemas.openxmlformats.org/officeDocument/2006/relationships/hyperlink" Target="http://hudoc.echr.coe.int/eng?i=001-57506" TargetMode="External"/><Relationship Id="rId2194" Type="http://schemas.openxmlformats.org/officeDocument/2006/relationships/hyperlink" Target="http://hudoc.echr.coe.int/eng?i=001-117890" TargetMode="External"/><Relationship Id="rId166" Type="http://schemas.openxmlformats.org/officeDocument/2006/relationships/hyperlink" Target="http://hudoc.echr.coe.int/eng?i=001-85775" TargetMode="External"/><Relationship Id="rId373" Type="http://schemas.openxmlformats.org/officeDocument/2006/relationships/hyperlink" Target="http://hudoc.echr.coe.int/eng?i=001-90898" TargetMode="External"/><Relationship Id="rId580" Type="http://schemas.openxmlformats.org/officeDocument/2006/relationships/hyperlink" Target="http://hudoc.echr.coe.int/eng?i=001-201734" TargetMode="External"/><Relationship Id="rId2054" Type="http://schemas.openxmlformats.org/officeDocument/2006/relationships/hyperlink" Target="http://hudoc.echr.coe.int/eng?i=001-57772" TargetMode="External"/><Relationship Id="rId2261" Type="http://schemas.openxmlformats.org/officeDocument/2006/relationships/hyperlink" Target="http://hudoc.echr.coe.int/eng?i=001-114492" TargetMode="External"/><Relationship Id="rId2499" Type="http://schemas.openxmlformats.org/officeDocument/2006/relationships/hyperlink" Target="http://hudoc.echr.coe.int/eng?i=001-87458" TargetMode="External"/><Relationship Id="rId1" Type="http://schemas.openxmlformats.org/officeDocument/2006/relationships/customXml" Target="../customXml/item1.xml"/><Relationship Id="rId233" Type="http://schemas.openxmlformats.org/officeDocument/2006/relationships/hyperlink" Target="http://hudoc.echr.coe.int/eng?i=001-118035" TargetMode="External"/><Relationship Id="rId440" Type="http://schemas.openxmlformats.org/officeDocument/2006/relationships/hyperlink" Target="http://hudoc.echr.coe.int/eng?i=001-85611" TargetMode="External"/><Relationship Id="rId678" Type="http://schemas.openxmlformats.org/officeDocument/2006/relationships/hyperlink" Target="http://hudoc.echr.coe.int/eng?i=001-58062" TargetMode="External"/><Relationship Id="rId885" Type="http://schemas.openxmlformats.org/officeDocument/2006/relationships/hyperlink" Target="http://hudoc.echr.coe.int/fre?i=001-202475" TargetMode="External"/><Relationship Id="rId1070" Type="http://schemas.openxmlformats.org/officeDocument/2006/relationships/hyperlink" Target="http://hudoc.echr.coe.int/eng?i=001-94770" TargetMode="External"/><Relationship Id="rId2121" Type="http://schemas.openxmlformats.org/officeDocument/2006/relationships/hyperlink" Target="http://hudoc.echr.coe.int/eng?i=001-177090" TargetMode="External"/><Relationship Id="rId2359" Type="http://schemas.openxmlformats.org/officeDocument/2006/relationships/hyperlink" Target="http://hudoc.echr.coe.int/eng?i=001-172720" TargetMode="External"/><Relationship Id="rId2566" Type="http://schemas.openxmlformats.org/officeDocument/2006/relationships/hyperlink" Target="http://hudoc.echr.coe.int/eng?i=001-69464" TargetMode="External"/><Relationship Id="rId2773" Type="http://schemas.openxmlformats.org/officeDocument/2006/relationships/hyperlink" Target="http://hudoc.echr.coe.int/eng?i=001-182861" TargetMode="External"/><Relationship Id="rId300" Type="http://schemas.openxmlformats.org/officeDocument/2006/relationships/hyperlink" Target="http://hudoc.echr.coe.int/eng?i=001-184520" TargetMode="External"/><Relationship Id="rId538" Type="http://schemas.openxmlformats.org/officeDocument/2006/relationships/hyperlink" Target="http://hudoc.echr.coe.int/eng?i=001-200344" TargetMode="External"/><Relationship Id="rId745" Type="http://schemas.openxmlformats.org/officeDocument/2006/relationships/hyperlink" Target="http://hudoc.echr.coe.int/eng?i=001-4542" TargetMode="External"/><Relationship Id="rId952" Type="http://schemas.openxmlformats.org/officeDocument/2006/relationships/hyperlink" Target="http://hudoc.echr.coe.int/eng?i=001-58087" TargetMode="External"/><Relationship Id="rId1168" Type="http://schemas.openxmlformats.org/officeDocument/2006/relationships/hyperlink" Target="http://hudoc.echr.coe.int/eng?i=001-81724" TargetMode="External"/><Relationship Id="rId1375" Type="http://schemas.openxmlformats.org/officeDocument/2006/relationships/hyperlink" Target="http://hudoc.echr.coe.int/eng?i=001-72683" TargetMode="External"/><Relationship Id="rId1582" Type="http://schemas.openxmlformats.org/officeDocument/2006/relationships/hyperlink" Target="http://hudoc.echr.coe.int/eng?i=001-96027" TargetMode="External"/><Relationship Id="rId2219" Type="http://schemas.openxmlformats.org/officeDocument/2006/relationships/hyperlink" Target="http://hudoc.echr.coe.int/eng?i=001-147623" TargetMode="External"/><Relationship Id="rId2426" Type="http://schemas.openxmlformats.org/officeDocument/2006/relationships/hyperlink" Target="http://hudoc.echr.coe.int/eng?i=001-200657" TargetMode="External"/><Relationship Id="rId2633" Type="http://schemas.openxmlformats.org/officeDocument/2006/relationships/hyperlink" Target="http://hudoc.echr.coe.int/eng?i=001-166956" TargetMode="External"/><Relationship Id="rId81" Type="http://schemas.openxmlformats.org/officeDocument/2006/relationships/hyperlink" Target="http://hudoc.echr.coe.int/eng?i=001-159324" TargetMode="External"/><Relationship Id="rId605" Type="http://schemas.openxmlformats.org/officeDocument/2006/relationships/hyperlink" Target="http://hudoc.echr.coe.int/eng?i=001-44574" TargetMode="External"/><Relationship Id="rId812" Type="http://schemas.openxmlformats.org/officeDocument/2006/relationships/hyperlink" Target="http://hudoc.echr.coe.int/eng?i=001-194307" TargetMode="External"/><Relationship Id="rId1028" Type="http://schemas.openxmlformats.org/officeDocument/2006/relationships/hyperlink" Target="http://hudoc.echr.coe.int/eng?i=001-94162" TargetMode="External"/><Relationship Id="rId1235" Type="http://schemas.openxmlformats.org/officeDocument/2006/relationships/hyperlink" Target="http://hudoc.echr.coe.int/eng?i=001-94026" TargetMode="External"/><Relationship Id="rId1442" Type="http://schemas.openxmlformats.org/officeDocument/2006/relationships/hyperlink" Target="http://hudoc.echr.coe.int/eng?i=001-80830" TargetMode="External"/><Relationship Id="rId1887" Type="http://schemas.openxmlformats.org/officeDocument/2006/relationships/hyperlink" Target="http://hudoc.echr.coe.int/eng?i=001-99748" TargetMode="External"/><Relationship Id="rId2840" Type="http://schemas.openxmlformats.org/officeDocument/2006/relationships/hyperlink" Target="http://hudoc.echr.coe.int/eng?i=001-67103" TargetMode="External"/><Relationship Id="rId1302" Type="http://schemas.openxmlformats.org/officeDocument/2006/relationships/hyperlink" Target="http://hudoc.echr.coe.int/eng?i=001-201353" TargetMode="External"/><Relationship Id="rId1747" Type="http://schemas.openxmlformats.org/officeDocument/2006/relationships/hyperlink" Target="http://hudoc.echr.coe.int/eng?i=001-99748" TargetMode="External"/><Relationship Id="rId1954" Type="http://schemas.openxmlformats.org/officeDocument/2006/relationships/hyperlink" Target="http://hudoc.echr.coe.int/eng?i=001-95651" TargetMode="External"/><Relationship Id="rId2700" Type="http://schemas.openxmlformats.org/officeDocument/2006/relationships/hyperlink" Target="http://hudoc.echr.coe.int/eng?i=001-122763" TargetMode="External"/><Relationship Id="rId39" Type="http://schemas.openxmlformats.org/officeDocument/2006/relationships/hyperlink" Target="http://hudoc.echr.coe.int/eng?i=001-57920" TargetMode="External"/><Relationship Id="rId1607" Type="http://schemas.openxmlformats.org/officeDocument/2006/relationships/hyperlink" Target="http://hudoc.echr.coe.int/eng?i=001-57941" TargetMode="External"/><Relationship Id="rId1814" Type="http://schemas.openxmlformats.org/officeDocument/2006/relationships/hyperlink" Target="http://hudoc.echr.coe.int/eng?i=001-201341" TargetMode="External"/><Relationship Id="rId188" Type="http://schemas.openxmlformats.org/officeDocument/2006/relationships/hyperlink" Target="https://hudoc.echr.coe.int/eng%23%7b%22docname%22:%5b%22akbay%22%5d,%22itemid%22:%5b%22001-204996%22%5d%7d" TargetMode="External"/><Relationship Id="rId395" Type="http://schemas.openxmlformats.org/officeDocument/2006/relationships/hyperlink" Target="http://hudoc.echr.coe.int/eng?i=001-155352" TargetMode="External"/><Relationship Id="rId2076" Type="http://schemas.openxmlformats.org/officeDocument/2006/relationships/hyperlink" Target="http://hudoc.echr.coe.int/eng?i=001-186724" TargetMode="External"/><Relationship Id="rId2283" Type="http://schemas.openxmlformats.org/officeDocument/2006/relationships/hyperlink" Target="http://hudoc.echr.coe.int/eng?i=001-5525" TargetMode="External"/><Relationship Id="rId2490" Type="http://schemas.openxmlformats.org/officeDocument/2006/relationships/hyperlink" Target="http://hudoc.echr.coe.int/eng?i=001-161055" TargetMode="External"/><Relationship Id="rId2588" Type="http://schemas.openxmlformats.org/officeDocument/2006/relationships/hyperlink" Target="http://hudoc.echr.coe.int/eng?i=001-147019" TargetMode="External"/><Relationship Id="rId255" Type="http://schemas.openxmlformats.org/officeDocument/2006/relationships/hyperlink" Target="http://hudoc.echr.coe.int/eng?i=001-111399" TargetMode="External"/><Relationship Id="rId462" Type="http://schemas.openxmlformats.org/officeDocument/2006/relationships/hyperlink" Target="http://hudoc.echr.coe.int/eng?i=001-116936" TargetMode="External"/><Relationship Id="rId1092" Type="http://schemas.openxmlformats.org/officeDocument/2006/relationships/hyperlink" Target="http://hudoc.echr.coe.int/eng?i=001-94162" TargetMode="External"/><Relationship Id="rId1397" Type="http://schemas.openxmlformats.org/officeDocument/2006/relationships/hyperlink" Target="http://hudoc.echr.coe.int/eng?i=001-188267" TargetMode="External"/><Relationship Id="rId2143" Type="http://schemas.openxmlformats.org/officeDocument/2006/relationships/hyperlink" Target="http://hudoc.echr.coe.int/eng?i=001-82831" TargetMode="External"/><Relationship Id="rId2350" Type="http://schemas.openxmlformats.org/officeDocument/2006/relationships/hyperlink" Target="http://hudoc.echr.coe.int/eng?i=001-4627" TargetMode="External"/><Relationship Id="rId2795" Type="http://schemas.openxmlformats.org/officeDocument/2006/relationships/hyperlink" Target="http://hudoc.echr.coe.int/eng?i=001-168082" TargetMode="External"/><Relationship Id="rId115" Type="http://schemas.openxmlformats.org/officeDocument/2006/relationships/hyperlink" Target="http://hudoc.echr.coe.int/eng?i=001-196480" TargetMode="External"/><Relationship Id="rId322" Type="http://schemas.openxmlformats.org/officeDocument/2006/relationships/hyperlink" Target="http://hudoc.echr.coe.int/eng?i=001-186435" TargetMode="External"/><Relationship Id="rId767" Type="http://schemas.openxmlformats.org/officeDocument/2006/relationships/hyperlink" Target="http://hudoc.echr.coe.int/eng?i=001-58062" TargetMode="External"/><Relationship Id="rId974" Type="http://schemas.openxmlformats.org/officeDocument/2006/relationships/hyperlink" Target="http://hudoc.echr.coe.int/eng?i=001-193652" TargetMode="External"/><Relationship Id="rId2003" Type="http://schemas.openxmlformats.org/officeDocument/2006/relationships/hyperlink" Target="http://hudoc.echr.coe.int/eng?i=001-72259" TargetMode="External"/><Relationship Id="rId2210" Type="http://schemas.openxmlformats.org/officeDocument/2006/relationships/hyperlink" Target="https://hudoc.echr.coe.int/eng%23%7b%22itemid%22:%5b%22001-203164%22%5d%7d" TargetMode="External"/><Relationship Id="rId2448" Type="http://schemas.openxmlformats.org/officeDocument/2006/relationships/hyperlink" Target="http://hudoc.echr.coe.int/eng?i=001-201436" TargetMode="External"/><Relationship Id="rId2655" Type="http://schemas.openxmlformats.org/officeDocument/2006/relationships/hyperlink" Target="http://hudoc.echr.coe.int/eng?i=001-193987" TargetMode="External"/><Relationship Id="rId627" Type="http://schemas.openxmlformats.org/officeDocument/2006/relationships/hyperlink" Target="http://hudoc.echr.coe.int/eng?i=001-76823" TargetMode="External"/><Relationship Id="rId834" Type="http://schemas.openxmlformats.org/officeDocument/2006/relationships/hyperlink" Target="http://hudoc.echr.coe.int/eng?i=001-22702" TargetMode="External"/><Relationship Id="rId1257" Type="http://schemas.openxmlformats.org/officeDocument/2006/relationships/hyperlink" Target="http://hudoc.echr.coe.int/eng?i=001-172720" TargetMode="External"/><Relationship Id="rId1464" Type="http://schemas.openxmlformats.org/officeDocument/2006/relationships/hyperlink" Target="http://hudoc.echr.coe.int/eng?i=001-4410" TargetMode="External"/><Relationship Id="rId1671" Type="http://schemas.openxmlformats.org/officeDocument/2006/relationships/hyperlink" Target="https://echr.coe.int/Documents/Guide_Art_4_Protocol_4_ENG.pdf" TargetMode="External"/><Relationship Id="rId2308" Type="http://schemas.openxmlformats.org/officeDocument/2006/relationships/hyperlink" Target="http://hudoc.echr.coe.int/eng?i=001-68136" TargetMode="External"/><Relationship Id="rId2515" Type="http://schemas.openxmlformats.org/officeDocument/2006/relationships/hyperlink" Target="http://hudoc.echr.coe.int/eng?i=001-5568" TargetMode="External"/><Relationship Id="rId2722" Type="http://schemas.openxmlformats.org/officeDocument/2006/relationships/hyperlink" Target="https://hudoc.echr.coe.int/eng%23%7b%22itemid%22:%5b%22001-203165%22%5d%7d" TargetMode="External"/><Relationship Id="rId901" Type="http://schemas.openxmlformats.org/officeDocument/2006/relationships/hyperlink" Target="http://hudoc.echr.coe.int/fre?i=001-111950" TargetMode="External"/><Relationship Id="rId1117" Type="http://schemas.openxmlformats.org/officeDocument/2006/relationships/hyperlink" Target="http://hudoc.echr.coe.int/eng?i=001-3296" TargetMode="External"/><Relationship Id="rId1324" Type="http://schemas.openxmlformats.org/officeDocument/2006/relationships/hyperlink" Target="http://hudoc.echr.coe.int/eng?i=001-22099" TargetMode="External"/><Relationship Id="rId1531" Type="http://schemas.openxmlformats.org/officeDocument/2006/relationships/hyperlink" Target="http://hudoc.echr.coe.int/eng?i=001-94162" TargetMode="External"/><Relationship Id="rId1769" Type="http://schemas.openxmlformats.org/officeDocument/2006/relationships/hyperlink" Target="http://hudoc.echr.coe.int/eng?i=001-106291" TargetMode="External"/><Relationship Id="rId1976" Type="http://schemas.openxmlformats.org/officeDocument/2006/relationships/hyperlink" Target="http://hudoc.echr.coe.int/eng?i=001-57429" TargetMode="External"/><Relationship Id="rId30" Type="http://schemas.openxmlformats.org/officeDocument/2006/relationships/hyperlink" Target="http://conventions.coe.int/Treaty/EN/Treaties/Html/194.htm" TargetMode="External"/><Relationship Id="rId1629" Type="http://schemas.openxmlformats.org/officeDocument/2006/relationships/hyperlink" Target="http://hudoc.echr.coe.int/eng?i=001-146501" TargetMode="External"/><Relationship Id="rId1836" Type="http://schemas.openxmlformats.org/officeDocument/2006/relationships/hyperlink" Target="http://hudoc.echr.coe.int/eng?i=001-207477" TargetMode="External"/><Relationship Id="rId1903" Type="http://schemas.openxmlformats.org/officeDocument/2006/relationships/hyperlink" Target="http://hudoc.echr.coe.int/eng?i=001-194217" TargetMode="External"/><Relationship Id="rId2098" Type="http://schemas.openxmlformats.org/officeDocument/2006/relationships/hyperlink" Target="http://hudoc.echr.coe.int/eng?i=001-83256" TargetMode="External"/><Relationship Id="rId277" Type="http://schemas.openxmlformats.org/officeDocument/2006/relationships/hyperlink" Target="https://hudoc.echr.coe.int/eng%23%7b%22itemid%22:%5b%22001-207418%22%5d%7d" TargetMode="External"/><Relationship Id="rId484" Type="http://schemas.openxmlformats.org/officeDocument/2006/relationships/hyperlink" Target="http://hudoc.echr.coe.int/eng?i=001-61698" TargetMode="External"/><Relationship Id="rId2165" Type="http://schemas.openxmlformats.org/officeDocument/2006/relationships/hyperlink" Target="http://hudoc.echr.coe.int/eng?i=001-100665" TargetMode="External"/><Relationship Id="rId137" Type="http://schemas.openxmlformats.org/officeDocument/2006/relationships/hyperlink" Target="http://hudoc.echr.coe.int/eng?i=001-104098" TargetMode="External"/><Relationship Id="rId344" Type="http://schemas.openxmlformats.org/officeDocument/2006/relationships/hyperlink" Target="http://hudoc.echr.coe.int/eng?i=001-83773" TargetMode="External"/><Relationship Id="rId691" Type="http://schemas.openxmlformats.org/officeDocument/2006/relationships/hyperlink" Target="http://hudoc.echr.coe.int/eng?i=001-145546" TargetMode="External"/><Relationship Id="rId789" Type="http://schemas.openxmlformats.org/officeDocument/2006/relationships/hyperlink" Target="http://hudoc.echr.coe.int/eng?i=001-192926" TargetMode="External"/><Relationship Id="rId996" Type="http://schemas.openxmlformats.org/officeDocument/2006/relationships/hyperlink" Target="https://www.echr.coe.int/Documents/Rule_47_ENG.pdf" TargetMode="External"/><Relationship Id="rId2025" Type="http://schemas.openxmlformats.org/officeDocument/2006/relationships/hyperlink" Target="http://hudoc.echr.coe.int/eng?i=001-103660" TargetMode="External"/><Relationship Id="rId2372" Type="http://schemas.openxmlformats.org/officeDocument/2006/relationships/hyperlink" Target="http://hudoc.echr.coe.int/eng?i=001-110023" TargetMode="External"/><Relationship Id="rId2677" Type="http://schemas.openxmlformats.org/officeDocument/2006/relationships/hyperlink" Target="http://hudoc.echr.coe.int/eng?i=001-58287" TargetMode="External"/><Relationship Id="rId551" Type="http://schemas.openxmlformats.org/officeDocument/2006/relationships/hyperlink" Target="http://hudoc.echr.coe.int/eng?i=001-147019" TargetMode="External"/><Relationship Id="rId649" Type="http://schemas.openxmlformats.org/officeDocument/2006/relationships/hyperlink" Target="http://hudoc.echr.coe.int/eng?i=001-115937" TargetMode="External"/><Relationship Id="rId856" Type="http://schemas.openxmlformats.org/officeDocument/2006/relationships/hyperlink" Target="http://hudoc.echr.coe.int/eng?i=001-100413" TargetMode="External"/><Relationship Id="rId1181" Type="http://schemas.openxmlformats.org/officeDocument/2006/relationships/hyperlink" Target="http://hudoc.echr.coe.int/eng?i=001-184525" TargetMode="External"/><Relationship Id="rId1279" Type="http://schemas.openxmlformats.org/officeDocument/2006/relationships/hyperlink" Target="http://hudoc.echr.coe.int/eng?i=001-201687" TargetMode="External"/><Relationship Id="rId1486" Type="http://schemas.openxmlformats.org/officeDocument/2006/relationships/hyperlink" Target="http://hudoc.echr.coe.int/eng?i=001-105606" TargetMode="External"/><Relationship Id="rId2232" Type="http://schemas.openxmlformats.org/officeDocument/2006/relationships/hyperlink" Target="http://hudoc.echr.coe.int/eng?i=001-205085" TargetMode="External"/><Relationship Id="rId2537" Type="http://schemas.openxmlformats.org/officeDocument/2006/relationships/hyperlink" Target="http://hudoc.echr.coe.int/eng?i=001-156265" TargetMode="External"/><Relationship Id="rId204" Type="http://schemas.openxmlformats.org/officeDocument/2006/relationships/hyperlink" Target="https://hudoc.echr.coe.int/eng%23%7b%22docname%22:%5b%22albert%22%5d,%22documentcollectionid2%22:%5b%22GRANDCHAMBER%22,%22CHAMBER%22%5d,%22itemid%22:%5b%22001-203850%22%5d%7d" TargetMode="External"/><Relationship Id="rId411" Type="http://schemas.openxmlformats.org/officeDocument/2006/relationships/hyperlink" Target="http://hudoc.echr.coe.int/eng?i=001-145577" TargetMode="External"/><Relationship Id="rId509" Type="http://schemas.openxmlformats.org/officeDocument/2006/relationships/hyperlink" Target="http://hudoc.echr.coe.int/eng?i=001-157683" TargetMode="External"/><Relationship Id="rId1041" Type="http://schemas.openxmlformats.org/officeDocument/2006/relationships/hyperlink" Target="http://hudoc.echr.coe.int/eng?i=001-108386" TargetMode="External"/><Relationship Id="rId1139" Type="http://schemas.openxmlformats.org/officeDocument/2006/relationships/hyperlink" Target="http://hudoc.echr.coe.int/eng?i=001-93026" TargetMode="External"/><Relationship Id="rId1346" Type="http://schemas.openxmlformats.org/officeDocument/2006/relationships/hyperlink" Target="http://hudoc.echr.coe.int/eng?i=001-77533" TargetMode="External"/><Relationship Id="rId1693" Type="http://schemas.openxmlformats.org/officeDocument/2006/relationships/hyperlink" Target="http://hudoc.echr.coe.int/eng?i=001-171804" TargetMode="External"/><Relationship Id="rId1998" Type="http://schemas.openxmlformats.org/officeDocument/2006/relationships/hyperlink" Target="http://hudoc.echr.coe.int/eng?i=001-83109" TargetMode="External"/><Relationship Id="rId2744" Type="http://schemas.openxmlformats.org/officeDocument/2006/relationships/hyperlink" Target="http://hudoc.echr.coe.int/eng?i=001-61698" TargetMode="External"/><Relationship Id="rId716" Type="http://schemas.openxmlformats.org/officeDocument/2006/relationships/hyperlink" Target="http://hudoc.echr.coe.int/eng?i=001-94135" TargetMode="External"/><Relationship Id="rId923" Type="http://schemas.openxmlformats.org/officeDocument/2006/relationships/hyperlink" Target="http://hudoc.echr.coe.int/eng?i=001-165032" TargetMode="External"/><Relationship Id="rId1553" Type="http://schemas.openxmlformats.org/officeDocument/2006/relationships/hyperlink" Target="http://hudoc.echr.coe.int/eng?i=001-58115" TargetMode="External"/><Relationship Id="rId1760" Type="http://schemas.openxmlformats.org/officeDocument/2006/relationships/hyperlink" Target="https://hudoc.echr.coe.int/eng%23%7b%22itemid%22:%5b%22001-203165%22%5d%7d" TargetMode="External"/><Relationship Id="rId1858" Type="http://schemas.openxmlformats.org/officeDocument/2006/relationships/hyperlink" Target="http://hudoc.echr.coe.int/sites/eng?i=001-139275" TargetMode="External"/><Relationship Id="rId2604" Type="http://schemas.openxmlformats.org/officeDocument/2006/relationships/hyperlink" Target="http://hudoc.echr.coe.int/eng?i=001-97000" TargetMode="External"/><Relationship Id="rId2811" Type="http://schemas.openxmlformats.org/officeDocument/2006/relationships/hyperlink" Target="https://hudoc.echr.coe.int/eng?i=001-211794" TargetMode="External"/><Relationship Id="rId52" Type="http://schemas.openxmlformats.org/officeDocument/2006/relationships/hyperlink" Target="http://hudoc.echr.coe.int/eng?i=001-5648" TargetMode="External"/><Relationship Id="rId1206" Type="http://schemas.openxmlformats.org/officeDocument/2006/relationships/hyperlink" Target="http://hudoc.echr.coe.int/eng?i=001-167809" TargetMode="External"/><Relationship Id="rId1413" Type="http://schemas.openxmlformats.org/officeDocument/2006/relationships/hyperlink" Target="http://hudoc.echr.coe.int/eng?i=001-161247" TargetMode="External"/><Relationship Id="rId1620" Type="http://schemas.openxmlformats.org/officeDocument/2006/relationships/hyperlink" Target="http://hudoc.echr.coe.int/eng?i=001-22231" TargetMode="External"/><Relationship Id="rId1718" Type="http://schemas.openxmlformats.org/officeDocument/2006/relationships/hyperlink" Target="http://hudoc.echr.coe.int/eng?i=001-79864" TargetMode="External"/><Relationship Id="rId1925" Type="http://schemas.openxmlformats.org/officeDocument/2006/relationships/hyperlink" Target="http://hudoc.echr.coe.int/eng?i=001-195852" TargetMode="External"/><Relationship Id="rId299" Type="http://schemas.openxmlformats.org/officeDocument/2006/relationships/hyperlink" Target="http://hudoc.echr.coe.int/eng?i=001-193736" TargetMode="External"/><Relationship Id="rId2187" Type="http://schemas.openxmlformats.org/officeDocument/2006/relationships/hyperlink" Target="http://hudoc.echr.coe.int/eng?i=001-99015" TargetMode="External"/><Relationship Id="rId2394" Type="http://schemas.openxmlformats.org/officeDocument/2006/relationships/hyperlink" Target="http://hudoc.echr.coe.int/eng?i=001-4806" TargetMode="External"/><Relationship Id="rId159" Type="http://schemas.openxmlformats.org/officeDocument/2006/relationships/hyperlink" Target="http://hudoc.echr.coe.int/eng?i=001-169649" TargetMode="External"/><Relationship Id="rId366" Type="http://schemas.openxmlformats.org/officeDocument/2006/relationships/hyperlink" Target="http://hudoc.echr.coe.int/eng?i=001-83043" TargetMode="External"/><Relationship Id="rId573" Type="http://schemas.openxmlformats.org/officeDocument/2006/relationships/hyperlink" Target="http://hudoc.echr.coe.int/eng?i=001-57772" TargetMode="External"/><Relationship Id="rId780" Type="http://schemas.openxmlformats.org/officeDocument/2006/relationships/hyperlink" Target="http://hudoc.echr.coe.int/eng?i=001-99434" TargetMode="External"/><Relationship Id="rId2047" Type="http://schemas.openxmlformats.org/officeDocument/2006/relationships/hyperlink" Target="http://hudoc.echr.coe.int/eng?i=001-58282" TargetMode="External"/><Relationship Id="rId2254" Type="http://schemas.openxmlformats.org/officeDocument/2006/relationships/hyperlink" Target="http://hudoc.echr.coe.int/eng?i=001-109231" TargetMode="External"/><Relationship Id="rId2461" Type="http://schemas.openxmlformats.org/officeDocument/2006/relationships/hyperlink" Target="http://hudoc.echr.coe.int/eng?i=001-196596" TargetMode="External"/><Relationship Id="rId2699" Type="http://schemas.openxmlformats.org/officeDocument/2006/relationships/hyperlink" Target="http://hudoc.echr.coe.int/eng?i=001-202866" TargetMode="External"/><Relationship Id="rId226" Type="http://schemas.openxmlformats.org/officeDocument/2006/relationships/hyperlink" Target="http://hudoc.echr.coe.int/eng?i=001-159324" TargetMode="External"/><Relationship Id="rId433" Type="http://schemas.openxmlformats.org/officeDocument/2006/relationships/hyperlink" Target="http://hudoc.echr.coe.int/eng?i=001-122697" TargetMode="External"/><Relationship Id="rId878" Type="http://schemas.openxmlformats.org/officeDocument/2006/relationships/hyperlink" Target="http://hudoc.echr.coe.int/eng?i=001-80457" TargetMode="External"/><Relationship Id="rId1063" Type="http://schemas.openxmlformats.org/officeDocument/2006/relationships/hyperlink" Target="http://hudoc.echr.coe.int/eng?i=001-147623" TargetMode="External"/><Relationship Id="rId1270" Type="http://schemas.openxmlformats.org/officeDocument/2006/relationships/hyperlink" Target="http://hudoc.echr.coe.int/eng?i=001-186828" TargetMode="External"/><Relationship Id="rId2114" Type="http://schemas.openxmlformats.org/officeDocument/2006/relationships/hyperlink" Target="http://hudoc.echr.coe.int/eng?i=001-186216" TargetMode="External"/><Relationship Id="rId2559" Type="http://schemas.openxmlformats.org/officeDocument/2006/relationships/hyperlink" Target="http://hudoc.echr.coe.int/eng?i=001-72288" TargetMode="External"/><Relationship Id="rId2766" Type="http://schemas.openxmlformats.org/officeDocument/2006/relationships/hyperlink" Target="http://hudoc.echr.coe.int/eng?i=001-166480" TargetMode="External"/><Relationship Id="rId640" Type="http://schemas.openxmlformats.org/officeDocument/2006/relationships/hyperlink" Target="http://hudoc.echr.coe.int/eng?i=001-22963" TargetMode="External"/><Relationship Id="rId738" Type="http://schemas.openxmlformats.org/officeDocument/2006/relationships/hyperlink" Target="http://hudoc.echr.coe.int/eng?i=001-194520" TargetMode="External"/><Relationship Id="rId945" Type="http://schemas.openxmlformats.org/officeDocument/2006/relationships/hyperlink" Target="http://hudoc.echr.coe.int/eng?i=001-173087" TargetMode="External"/><Relationship Id="rId1368" Type="http://schemas.openxmlformats.org/officeDocument/2006/relationships/hyperlink" Target="http://hudoc.echr.coe.int/eng?i=001-93839" TargetMode="External"/><Relationship Id="rId1575" Type="http://schemas.openxmlformats.org/officeDocument/2006/relationships/hyperlink" Target="http://hudoc.echr.coe.int/eng?i=001-94162" TargetMode="External"/><Relationship Id="rId1782" Type="http://schemas.openxmlformats.org/officeDocument/2006/relationships/hyperlink" Target="http://hudoc.echr.coe.int/eng?i=001-101713" TargetMode="External"/><Relationship Id="rId2321" Type="http://schemas.openxmlformats.org/officeDocument/2006/relationships/hyperlink" Target="http://hudoc.echr.coe.int/eng?i=001-203762" TargetMode="External"/><Relationship Id="rId2419" Type="http://schemas.openxmlformats.org/officeDocument/2006/relationships/hyperlink" Target="http://hudoc.echr.coe.int/eng?i=001-202468" TargetMode="External"/><Relationship Id="rId2626" Type="http://schemas.openxmlformats.org/officeDocument/2006/relationships/hyperlink" Target="http://hudoc.echr.coe.int/eng?i=001-159324" TargetMode="External"/><Relationship Id="rId2833" Type="http://schemas.openxmlformats.org/officeDocument/2006/relationships/hyperlink" Target="http://hudoc.echr.coe.int/sites/eng?i=001-58238" TargetMode="External"/><Relationship Id="rId74" Type="http://schemas.openxmlformats.org/officeDocument/2006/relationships/hyperlink" Target="http://hudoc.echr.coe.int/eng?i=001-91343" TargetMode="External"/><Relationship Id="rId500" Type="http://schemas.openxmlformats.org/officeDocument/2006/relationships/hyperlink" Target="http://hudoc.echr.coe.int/eng?i=001-58282" TargetMode="External"/><Relationship Id="rId805" Type="http://schemas.openxmlformats.org/officeDocument/2006/relationships/hyperlink" Target="http://hudoc.echr.coe.int/eng?i=001-140235" TargetMode="External"/><Relationship Id="rId1130" Type="http://schemas.openxmlformats.org/officeDocument/2006/relationships/hyperlink" Target="http://hudoc.echr.coe.int/eng?i=001-108223" TargetMode="External"/><Relationship Id="rId1228" Type="http://schemas.openxmlformats.org/officeDocument/2006/relationships/hyperlink" Target="http://hudoc.echr.coe.int/eng?i=001-73128" TargetMode="External"/><Relationship Id="rId1435" Type="http://schemas.openxmlformats.org/officeDocument/2006/relationships/hyperlink" Target="http://hudoc.echr.coe.int/eng?i=001-92899" TargetMode="External"/><Relationship Id="rId1642" Type="http://schemas.openxmlformats.org/officeDocument/2006/relationships/hyperlink" Target="http://hudoc.echr.coe.int/eng?i=001-22231" TargetMode="External"/><Relationship Id="rId1947" Type="http://schemas.openxmlformats.org/officeDocument/2006/relationships/hyperlink" Target="http://hudoc.echr.coe.int/eng?i=001-122260" TargetMode="External"/><Relationship Id="rId1502" Type="http://schemas.openxmlformats.org/officeDocument/2006/relationships/hyperlink" Target="http://hudoc.echr.coe.int/eng?i=001-5646" TargetMode="External"/><Relationship Id="rId1807" Type="http://schemas.openxmlformats.org/officeDocument/2006/relationships/hyperlink" Target="http://hudoc.echr.coe.int/eng?i=001-102535" TargetMode="External"/><Relationship Id="rId290" Type="http://schemas.openxmlformats.org/officeDocument/2006/relationships/hyperlink" Target="http://hudoc.echr.coe.int/eng?i=001-101568" TargetMode="External"/><Relationship Id="rId388" Type="http://schemas.openxmlformats.org/officeDocument/2006/relationships/hyperlink" Target="https://hudoc.echr.coe.int/eng?i=001-148629" TargetMode="External"/><Relationship Id="rId2069" Type="http://schemas.openxmlformats.org/officeDocument/2006/relationships/hyperlink" Target="http://hudoc.echr.coe.int/eng?i=001-68476" TargetMode="External"/><Relationship Id="rId150" Type="http://schemas.openxmlformats.org/officeDocument/2006/relationships/hyperlink" Target="http://hudoc.echr.coe.int/eng?i=001-107247" TargetMode="External"/><Relationship Id="rId595" Type="http://schemas.openxmlformats.org/officeDocument/2006/relationships/hyperlink" Target="http://hudoc.echr.coe.int/eng?i=001-156476" TargetMode="External"/><Relationship Id="rId2276" Type="http://schemas.openxmlformats.org/officeDocument/2006/relationships/hyperlink" Target="http://hudoc.echr.coe.int/eng?i=001-58734" TargetMode="External"/><Relationship Id="rId2483" Type="http://schemas.openxmlformats.org/officeDocument/2006/relationships/hyperlink" Target="http://hudoc.echr.coe.int/eng?i=001-93523" TargetMode="External"/><Relationship Id="rId2690" Type="http://schemas.openxmlformats.org/officeDocument/2006/relationships/hyperlink" Target="http://hudoc.echr.coe.int/eng?i=001-202347" TargetMode="External"/><Relationship Id="rId248" Type="http://schemas.openxmlformats.org/officeDocument/2006/relationships/hyperlink" Target="http://hudoc.echr.coe.int/eng?i=001-98428" TargetMode="External"/><Relationship Id="rId455" Type="http://schemas.openxmlformats.org/officeDocument/2006/relationships/hyperlink" Target="http://hudoc.echr.coe.int/eng?i=001-97493" TargetMode="External"/><Relationship Id="rId662" Type="http://schemas.openxmlformats.org/officeDocument/2006/relationships/hyperlink" Target="http://hudoc.echr.coe.int/eng?i=001-158146" TargetMode="External"/><Relationship Id="rId1085" Type="http://schemas.openxmlformats.org/officeDocument/2006/relationships/hyperlink" Target="http://hudoc.echr.coe.int/eng?i=001-70272" TargetMode="External"/><Relationship Id="rId1292" Type="http://schemas.openxmlformats.org/officeDocument/2006/relationships/hyperlink" Target="http://hudoc.echr.coe.int/eng?i=001-76586" TargetMode="External"/><Relationship Id="rId2136" Type="http://schemas.openxmlformats.org/officeDocument/2006/relationships/hyperlink" Target="https://hudoc.echr.coe.int/eng%23%7b%22sort%22:%5b%22EMPTY%22%5d,%22itemid%22:%5b%22001-207554%22%5d%7d" TargetMode="External"/><Relationship Id="rId2343" Type="http://schemas.openxmlformats.org/officeDocument/2006/relationships/hyperlink" Target="http://hudoc.echr.coe.int/eng?i=001-89348" TargetMode="External"/><Relationship Id="rId2550" Type="http://schemas.openxmlformats.org/officeDocument/2006/relationships/hyperlink" Target="http://hudoc.echr.coe.int/eng?i=001-103526" TargetMode="External"/><Relationship Id="rId2788" Type="http://schemas.openxmlformats.org/officeDocument/2006/relationships/hyperlink" Target="http://hudoc.echr.coe.int/eng?i=001-100461" TargetMode="External"/><Relationship Id="rId108" Type="http://schemas.openxmlformats.org/officeDocument/2006/relationships/hyperlink" Target="http://hudoc.echr.coe.int/eng?i=001-114492" TargetMode="External"/><Relationship Id="rId315" Type="http://schemas.openxmlformats.org/officeDocument/2006/relationships/hyperlink" Target="http://hudoc.echr.coe.int/eng?i=001-95651" TargetMode="External"/><Relationship Id="rId522" Type="http://schemas.openxmlformats.org/officeDocument/2006/relationships/hyperlink" Target="http://hudoc.echr.coe.int/eng?i=001-179556" TargetMode="External"/><Relationship Id="rId967" Type="http://schemas.openxmlformats.org/officeDocument/2006/relationships/hyperlink" Target="http://hudoc.echr.coe.int/eng?i=001-178343" TargetMode="External"/><Relationship Id="rId1152" Type="http://schemas.openxmlformats.org/officeDocument/2006/relationships/hyperlink" Target="http://hudoc.echr.coe.int/eng?i=001-92489" TargetMode="External"/><Relationship Id="rId1597" Type="http://schemas.openxmlformats.org/officeDocument/2006/relationships/hyperlink" Target="http://hudoc.echr.coe.int/eng?i=001-186724" TargetMode="External"/><Relationship Id="rId2203" Type="http://schemas.openxmlformats.org/officeDocument/2006/relationships/hyperlink" Target="http://hudoc.echr.coe.int/eng?i=001-106785" TargetMode="External"/><Relationship Id="rId2410" Type="http://schemas.openxmlformats.org/officeDocument/2006/relationships/hyperlink" Target="http://hudoc.echr.coe.int/eng?i=001-104913" TargetMode="External"/><Relationship Id="rId2648" Type="http://schemas.openxmlformats.org/officeDocument/2006/relationships/hyperlink" Target="http://hudoc.echr.coe.int/eng?i=001-102873" TargetMode="External"/><Relationship Id="rId2855" Type="http://schemas.openxmlformats.org/officeDocument/2006/relationships/hyperlink" Target="file:///C:/Users/Brodeala/AppData/Local/Microsoft/Windows/Temporary%20Internet%20Files/Content.Outlook/MEPHPEXS/Zubkov%20and%20Others%20v.%20Russia" TargetMode="External"/><Relationship Id="rId96" Type="http://schemas.openxmlformats.org/officeDocument/2006/relationships/hyperlink" Target="http://hudoc.echr.coe.int/eng?i=001-69891" TargetMode="External"/><Relationship Id="rId827" Type="http://schemas.openxmlformats.org/officeDocument/2006/relationships/hyperlink" Target="http://hudoc.echr.coe.int/eng?i=001-179420" TargetMode="External"/><Relationship Id="rId1012" Type="http://schemas.openxmlformats.org/officeDocument/2006/relationships/hyperlink" Target="http://hudoc.echr.coe.int/eng?i=001-187605" TargetMode="External"/><Relationship Id="rId1457" Type="http://schemas.openxmlformats.org/officeDocument/2006/relationships/hyperlink" Target="http://hudoc.echr.coe.int/eng?i=001-58910" TargetMode="External"/><Relationship Id="rId1664" Type="http://schemas.openxmlformats.org/officeDocument/2006/relationships/hyperlink" Target="https://www.echr.coe.int/Documents/Guide_Art_11_ENG.pdf" TargetMode="External"/><Relationship Id="rId1871" Type="http://schemas.openxmlformats.org/officeDocument/2006/relationships/hyperlink" Target="http://conventions.coe.int/Treaty/EN/Reports/Html/194.htm" TargetMode="External"/><Relationship Id="rId2508" Type="http://schemas.openxmlformats.org/officeDocument/2006/relationships/hyperlink" Target="http://hudoc.echr.coe.int/eng?i=001-122053" TargetMode="External"/><Relationship Id="rId2715" Type="http://schemas.openxmlformats.org/officeDocument/2006/relationships/hyperlink" Target="http://hudoc.echr.coe.int/eng?i=001-202346" TargetMode="External"/><Relationship Id="rId1317" Type="http://schemas.openxmlformats.org/officeDocument/2006/relationships/hyperlink" Target="http://hudoc.echr.coe.int/eng?i=001-114082" TargetMode="External"/><Relationship Id="rId1524" Type="http://schemas.openxmlformats.org/officeDocument/2006/relationships/hyperlink" Target="http://hudoc.echr.coe.int/eng?i=001-57860" TargetMode="External"/><Relationship Id="rId1731" Type="http://schemas.openxmlformats.org/officeDocument/2006/relationships/hyperlink" Target="https://rm.coe.int/CoERMPublicCommonSearchServices/DisplayDCTMContent?documentId=09000016800d383d" TargetMode="External"/><Relationship Id="rId1969" Type="http://schemas.openxmlformats.org/officeDocument/2006/relationships/hyperlink" Target="http://hudoc.echr.coe.int/eng?i=001-167809" TargetMode="External"/><Relationship Id="rId23" Type="http://schemas.openxmlformats.org/officeDocument/2006/relationships/hyperlink" Target="http://hudoc.echr.coe.int/eng?i=001-201353" TargetMode="External"/><Relationship Id="rId1829" Type="http://schemas.openxmlformats.org/officeDocument/2006/relationships/hyperlink" Target="http://hudoc.echr.coe.int/sites/eng?i=001-126599" TargetMode="External"/><Relationship Id="rId2298" Type="http://schemas.openxmlformats.org/officeDocument/2006/relationships/hyperlink" Target="http://hudoc.echr.coe.int/eng?i=001-195531" TargetMode="External"/><Relationship Id="rId172" Type="http://schemas.openxmlformats.org/officeDocument/2006/relationships/hyperlink" Target="http://hudoc.echr.coe.int/eng?i=001-100511" TargetMode="External"/><Relationship Id="rId477" Type="http://schemas.openxmlformats.org/officeDocument/2006/relationships/hyperlink" Target="http://hudoc.echr.coe.int/eng?i=001-76677" TargetMode="External"/><Relationship Id="rId684" Type="http://schemas.openxmlformats.org/officeDocument/2006/relationships/hyperlink" Target="http://hudoc.echr.coe.int/eng?i=001-83256" TargetMode="External"/><Relationship Id="rId2060" Type="http://schemas.openxmlformats.org/officeDocument/2006/relationships/hyperlink" Target="http://hudoc.echr.coe.int/eng?i=001-145577" TargetMode="External"/><Relationship Id="rId2158" Type="http://schemas.openxmlformats.org/officeDocument/2006/relationships/hyperlink" Target="http://hudoc.echr.coe.int/eng?i=001-142512" TargetMode="External"/><Relationship Id="rId2365" Type="http://schemas.openxmlformats.org/officeDocument/2006/relationships/hyperlink" Target="http://hudoc.echr.coe.int/eng?i=001-66758" TargetMode="External"/><Relationship Id="rId337" Type="http://schemas.openxmlformats.org/officeDocument/2006/relationships/hyperlink" Target="https://hudoc.echr.coe.int/eng%23%7b%22itemid%22:%5b%22001-206713%22%5d%7d" TargetMode="External"/><Relationship Id="rId891" Type="http://schemas.openxmlformats.org/officeDocument/2006/relationships/hyperlink" Target="http://hudoc.echr.coe.int/eng?i=001-100666" TargetMode="External"/><Relationship Id="rId989" Type="http://schemas.openxmlformats.org/officeDocument/2006/relationships/hyperlink" Target="http://hudoc.echr.coe.int/eng?i=001-101263" TargetMode="External"/><Relationship Id="rId2018" Type="http://schemas.openxmlformats.org/officeDocument/2006/relationships/hyperlink" Target="http://hudoc.echr.coe.int/eng?i=001-91461" TargetMode="External"/><Relationship Id="rId2572" Type="http://schemas.openxmlformats.org/officeDocument/2006/relationships/hyperlink" Target="http://hudoc.echr.coe.int/eng?i=001-58244" TargetMode="External"/><Relationship Id="rId544" Type="http://schemas.openxmlformats.org/officeDocument/2006/relationships/hyperlink" Target="http://hudoc.echr.coe.int/eng?i=001-71022" TargetMode="External"/><Relationship Id="rId751" Type="http://schemas.openxmlformats.org/officeDocument/2006/relationships/hyperlink" Target="http://hudoc.echr.coe.int/eng?i=001-66953" TargetMode="External"/><Relationship Id="rId849" Type="http://schemas.openxmlformats.org/officeDocument/2006/relationships/hyperlink" Target="http://hudoc.echr.coe.int/eng?i=001-84968" TargetMode="External"/><Relationship Id="rId1174" Type="http://schemas.openxmlformats.org/officeDocument/2006/relationships/hyperlink" Target="http://hudoc.echr.coe.int/eng?i=001-141213" TargetMode="External"/><Relationship Id="rId1381" Type="http://schemas.openxmlformats.org/officeDocument/2006/relationships/hyperlink" Target="http://hudoc.echr.coe.int/eng?i=001-189781" TargetMode="External"/><Relationship Id="rId1479" Type="http://schemas.openxmlformats.org/officeDocument/2006/relationships/hyperlink" Target="http://hudoc.echr.coe.int/eng?i=001-22099" TargetMode="External"/><Relationship Id="rId1686" Type="http://schemas.openxmlformats.org/officeDocument/2006/relationships/hyperlink" Target="http://hudoc.echr.coe.int/eng?i=001-171804" TargetMode="External"/><Relationship Id="rId2225" Type="http://schemas.openxmlformats.org/officeDocument/2006/relationships/hyperlink" Target="http://hudoc.echr.coe.int/eng?i=001-23704" TargetMode="External"/><Relationship Id="rId2432" Type="http://schemas.openxmlformats.org/officeDocument/2006/relationships/hyperlink" Target="http://hudoc.echr.coe.int/eng?i=001-68183" TargetMode="External"/><Relationship Id="rId404" Type="http://schemas.openxmlformats.org/officeDocument/2006/relationships/hyperlink" Target="http://hudoc.echr.coe.int/eng?i=001-175359" TargetMode="External"/><Relationship Id="rId611" Type="http://schemas.openxmlformats.org/officeDocument/2006/relationships/hyperlink" Target="http://hudoc.echr.coe.int/eng?i=001-5568" TargetMode="External"/><Relationship Id="rId1034" Type="http://schemas.openxmlformats.org/officeDocument/2006/relationships/hyperlink" Target="http://hudoc.echr.coe.int/eng?i=001-159047" TargetMode="External"/><Relationship Id="rId1241" Type="http://schemas.openxmlformats.org/officeDocument/2006/relationships/hyperlink" Target="http://hudoc.echr.coe.int/eng?i=001-172547" TargetMode="External"/><Relationship Id="rId1339" Type="http://schemas.openxmlformats.org/officeDocument/2006/relationships/hyperlink" Target="https://hudoc.echr.coe.int/eng%23%7b%22itemid%22:%5b%22001-207810%22%5d%7d" TargetMode="External"/><Relationship Id="rId1893" Type="http://schemas.openxmlformats.org/officeDocument/2006/relationships/hyperlink" Target="http://hudoc.echr.coe.int/eng?i=001-109098" TargetMode="External"/><Relationship Id="rId2737" Type="http://schemas.openxmlformats.org/officeDocument/2006/relationships/hyperlink" Target="http://hudoc.echr.coe.int/eng?i=001-70272" TargetMode="External"/><Relationship Id="rId709" Type="http://schemas.openxmlformats.org/officeDocument/2006/relationships/hyperlink" Target="http://hudoc.echr.coe.int/eng?i=001-100413" TargetMode="External"/><Relationship Id="rId916" Type="http://schemas.openxmlformats.org/officeDocument/2006/relationships/hyperlink" Target="http://hudoc.echr.coe.int/eng?i=001-66550" TargetMode="External"/><Relationship Id="rId1101" Type="http://schemas.openxmlformats.org/officeDocument/2006/relationships/hyperlink" Target="http://hudoc.echr.coe.int/eng?i=001-175502" TargetMode="External"/><Relationship Id="rId1546" Type="http://schemas.openxmlformats.org/officeDocument/2006/relationships/hyperlink" Target="http://hudoc.echr.coe.int/eng?i=001-87441" TargetMode="External"/><Relationship Id="rId1753" Type="http://schemas.openxmlformats.org/officeDocument/2006/relationships/hyperlink" Target="http://hudoc.echr.coe.int/eng?i=001-105441" TargetMode="External"/><Relationship Id="rId1960" Type="http://schemas.openxmlformats.org/officeDocument/2006/relationships/hyperlink" Target="http://hudoc.echr.coe.int/eng?i=001-153027" TargetMode="External"/><Relationship Id="rId2804" Type="http://schemas.openxmlformats.org/officeDocument/2006/relationships/hyperlink" Target="https://hudoc.echr.coe.int/eng%23%7b%22itemid%22:%5b%22001-207810%22%5d%7d" TargetMode="External"/><Relationship Id="rId45" Type="http://schemas.openxmlformats.org/officeDocument/2006/relationships/hyperlink" Target="http://hudoc.echr.coe.int/eng?i=001-58752" TargetMode="External"/><Relationship Id="rId1406" Type="http://schemas.openxmlformats.org/officeDocument/2006/relationships/hyperlink" Target="http://hudoc.echr.coe.int/eng?i=001-69891" TargetMode="External"/><Relationship Id="rId1613" Type="http://schemas.openxmlformats.org/officeDocument/2006/relationships/hyperlink" Target="http://hudoc.echr.coe.int/eng?i=001-200435" TargetMode="External"/><Relationship Id="rId1820" Type="http://schemas.openxmlformats.org/officeDocument/2006/relationships/hyperlink" Target="http://hudoc.echr.coe.int/eng?i=001-104524" TargetMode="External"/><Relationship Id="rId194" Type="http://schemas.openxmlformats.org/officeDocument/2006/relationships/hyperlink" Target="http://hudoc.echr.coe.int/eng?i=001-111399" TargetMode="External"/><Relationship Id="rId1918" Type="http://schemas.openxmlformats.org/officeDocument/2006/relationships/hyperlink" Target="http://hudoc.echr.coe.int/eng?i=001-191117" TargetMode="External"/><Relationship Id="rId2082" Type="http://schemas.openxmlformats.org/officeDocument/2006/relationships/hyperlink" Target="http://hudoc.echr.coe.int/eng?i=001-179408" TargetMode="External"/><Relationship Id="rId261" Type="http://schemas.openxmlformats.org/officeDocument/2006/relationships/hyperlink" Target="http://hudoc.echr.coe.int/eng?i=001-203849" TargetMode="External"/><Relationship Id="rId499" Type="http://schemas.openxmlformats.org/officeDocument/2006/relationships/hyperlink" Target="http://hudoc.echr.coe.int/eng?i=001-76493" TargetMode="External"/><Relationship Id="rId2387" Type="http://schemas.openxmlformats.org/officeDocument/2006/relationships/hyperlink" Target="http://hudoc.echr.coe.int/eng?i=001-155352" TargetMode="External"/><Relationship Id="rId2594" Type="http://schemas.openxmlformats.org/officeDocument/2006/relationships/hyperlink" Target="https://hudoc.echr.coe.int/eng?i=001-216939" TargetMode="External"/><Relationship Id="rId359" Type="http://schemas.openxmlformats.org/officeDocument/2006/relationships/hyperlink" Target="http://hudoc.echr.coe.int/eng?i=001-187508" TargetMode="External"/><Relationship Id="rId566" Type="http://schemas.openxmlformats.org/officeDocument/2006/relationships/hyperlink" Target="http://hudoc.echr.coe.int/eng?i=001-194307" TargetMode="External"/><Relationship Id="rId773" Type="http://schemas.openxmlformats.org/officeDocument/2006/relationships/hyperlink" Target="http://hudoc.echr.coe.int/eng?i=001-22282" TargetMode="External"/><Relationship Id="rId1196" Type="http://schemas.openxmlformats.org/officeDocument/2006/relationships/hyperlink" Target="http://hudoc.echr.coe.int/eng?i=001-110280" TargetMode="External"/><Relationship Id="rId2247" Type="http://schemas.openxmlformats.org/officeDocument/2006/relationships/hyperlink" Target="http://hudoc.echr.coe.int/eng?i=001-95822" TargetMode="External"/><Relationship Id="rId2454" Type="http://schemas.openxmlformats.org/officeDocument/2006/relationships/hyperlink" Target="http://hudoc.echr.coe.int/eng?i=001-5184" TargetMode="External"/><Relationship Id="rId121" Type="http://schemas.openxmlformats.org/officeDocument/2006/relationships/hyperlink" Target="http://hudoc.echr.coe.int/eng?i=001-145577" TargetMode="External"/><Relationship Id="rId219" Type="http://schemas.openxmlformats.org/officeDocument/2006/relationships/hyperlink" Target="https://hudoc.echr.coe.int/eng?i=001-213367" TargetMode="External"/><Relationship Id="rId426" Type="http://schemas.openxmlformats.org/officeDocument/2006/relationships/hyperlink" Target="http://hudoc.echr.coe.int/eng?i=001-61123" TargetMode="External"/><Relationship Id="rId633" Type="http://schemas.openxmlformats.org/officeDocument/2006/relationships/hyperlink" Target="http://hudoc.echr.coe.int/eng?i=001-158146" TargetMode="External"/><Relationship Id="rId980" Type="http://schemas.openxmlformats.org/officeDocument/2006/relationships/hyperlink" Target="http://hudoc.echr.coe.int/eng?i=001-88946" TargetMode="External"/><Relationship Id="rId1056" Type="http://schemas.openxmlformats.org/officeDocument/2006/relationships/hyperlink" Target="http://hudoc.echr.coe.int/eng?i=001-177396" TargetMode="External"/><Relationship Id="rId1263" Type="http://schemas.openxmlformats.org/officeDocument/2006/relationships/hyperlink" Target="http://hudoc.echr.coe.int/eng?i=001-186828" TargetMode="External"/><Relationship Id="rId2107" Type="http://schemas.openxmlformats.org/officeDocument/2006/relationships/hyperlink" Target="http://hudoc.echr.coe.int/eng?i=001-171804" TargetMode="External"/><Relationship Id="rId2314" Type="http://schemas.openxmlformats.org/officeDocument/2006/relationships/hyperlink" Target="http://hudoc.echr.coe.int/eng?i=001-172143" TargetMode="External"/><Relationship Id="rId2661" Type="http://schemas.openxmlformats.org/officeDocument/2006/relationships/hyperlink" Target="http://hudoc.echr.coe.int/eng?i=001-156513" TargetMode="External"/><Relationship Id="rId2759" Type="http://schemas.openxmlformats.org/officeDocument/2006/relationships/hyperlink" Target="http://hudoc.echr.coe.int/eng?i=001-69456" TargetMode="External"/><Relationship Id="rId840" Type="http://schemas.openxmlformats.org/officeDocument/2006/relationships/hyperlink" Target="http://hudoc.echr.coe.int/eng?i=001-97649" TargetMode="External"/><Relationship Id="rId938" Type="http://schemas.openxmlformats.org/officeDocument/2006/relationships/hyperlink" Target="http://hudoc.echr.coe.int/eng?i=001-23737" TargetMode="External"/><Relationship Id="rId1470" Type="http://schemas.openxmlformats.org/officeDocument/2006/relationships/hyperlink" Target="http://hudoc.echr.coe.int/eng?i=001-57774" TargetMode="External"/><Relationship Id="rId1568" Type="http://schemas.openxmlformats.org/officeDocument/2006/relationships/hyperlink" Target="http://hudoc.echr.coe.int/eng?i=001-138888" TargetMode="External"/><Relationship Id="rId1775" Type="http://schemas.openxmlformats.org/officeDocument/2006/relationships/hyperlink" Target="http://hudoc.echr.coe.int/eng?i=001-109895" TargetMode="External"/><Relationship Id="rId2521" Type="http://schemas.openxmlformats.org/officeDocument/2006/relationships/hyperlink" Target="http://hudoc.echr.coe.int/eng?i=001-57546" TargetMode="External"/><Relationship Id="rId2619" Type="http://schemas.openxmlformats.org/officeDocument/2006/relationships/hyperlink" Target="http://hudoc.echr.coe.int/eng?i=001-145219" TargetMode="External"/><Relationship Id="rId2826" Type="http://schemas.openxmlformats.org/officeDocument/2006/relationships/hyperlink" Target="http://hudoc.echr.coe.int/eng?i=001-74405" TargetMode="External"/><Relationship Id="rId67" Type="http://schemas.openxmlformats.org/officeDocument/2006/relationships/hyperlink" Target="https://hudoc.echr.coe.int/eng%23%7b%22appno%22:%5b%2235841/02%22%5d,%22itemid%22:%5b%22001-78381%22%5d%7d" TargetMode="External"/><Relationship Id="rId700" Type="http://schemas.openxmlformats.org/officeDocument/2006/relationships/hyperlink" Target="http://hudoc.echr.coe.int/eng?i=001-194299" TargetMode="External"/><Relationship Id="rId1123" Type="http://schemas.openxmlformats.org/officeDocument/2006/relationships/hyperlink" Target="http://hudoc.echr.coe.int/eng?i=001-113410" TargetMode="External"/><Relationship Id="rId1330" Type="http://schemas.openxmlformats.org/officeDocument/2006/relationships/hyperlink" Target="http://hudoc.echr.coe.int/eng?i=001-114082" TargetMode="External"/><Relationship Id="rId1428" Type="http://schemas.openxmlformats.org/officeDocument/2006/relationships/hyperlink" Target="http://hudoc.echr.coe.int/eng?i=001-91461" TargetMode="External"/><Relationship Id="rId1635" Type="http://schemas.openxmlformats.org/officeDocument/2006/relationships/hyperlink" Target="http://hudoc.echr.coe.int/eng?i=001-200435" TargetMode="External"/><Relationship Id="rId1982" Type="http://schemas.openxmlformats.org/officeDocument/2006/relationships/hyperlink" Target="http://hudoc.echr.coe.int/eng?i=001-93258" TargetMode="External"/><Relationship Id="rId1842" Type="http://schemas.openxmlformats.org/officeDocument/2006/relationships/hyperlink" Target="http://hudoc.echr.coe.int/eng?i=001-102755" TargetMode="External"/><Relationship Id="rId1702" Type="http://schemas.openxmlformats.org/officeDocument/2006/relationships/hyperlink" Target="http://hudoc.echr.coe.int/eng?i=001-79022" TargetMode="External"/><Relationship Id="rId283" Type="http://schemas.openxmlformats.org/officeDocument/2006/relationships/hyperlink" Target="http://hudoc.echr.coe.int/eng?i=001-194065" TargetMode="External"/><Relationship Id="rId490" Type="http://schemas.openxmlformats.org/officeDocument/2006/relationships/hyperlink" Target="http://hudoc.echr.coe.int/eng?i=001-100265" TargetMode="External"/><Relationship Id="rId2171" Type="http://schemas.openxmlformats.org/officeDocument/2006/relationships/hyperlink" Target="http://hudoc.echr.coe.int/eng?i=001-81527" TargetMode="External"/><Relationship Id="rId143" Type="http://schemas.openxmlformats.org/officeDocument/2006/relationships/hyperlink" Target="http://hudoc.echr.coe.int/eng?i=001-201742" TargetMode="External"/><Relationship Id="rId350" Type="http://schemas.openxmlformats.org/officeDocument/2006/relationships/hyperlink" Target="http://hudoc.echr.coe.int/eng?i=001-198705" TargetMode="External"/><Relationship Id="rId588" Type="http://schemas.openxmlformats.org/officeDocument/2006/relationships/hyperlink" Target="http://hudoc.echr.coe.int/eng?i=001-180884" TargetMode="External"/><Relationship Id="rId795" Type="http://schemas.openxmlformats.org/officeDocument/2006/relationships/hyperlink" Target="http://hudoc.echr.coe.int/eng?i=001-197095" TargetMode="External"/><Relationship Id="rId2031" Type="http://schemas.openxmlformats.org/officeDocument/2006/relationships/hyperlink" Target="http://hudoc.echr.coe.int/eng?i=001-78989" TargetMode="External"/><Relationship Id="rId2269" Type="http://schemas.openxmlformats.org/officeDocument/2006/relationships/hyperlink" Target="http://hudoc.echr.coe.int/eng?i=001-4689" TargetMode="External"/><Relationship Id="rId2476" Type="http://schemas.openxmlformats.org/officeDocument/2006/relationships/hyperlink" Target="http://hudoc.echr.coe.int/eng?i=001-196423" TargetMode="External"/><Relationship Id="rId2683" Type="http://schemas.openxmlformats.org/officeDocument/2006/relationships/hyperlink" Target="http://hudoc.echr.coe.int/eng?i=001-140783" TargetMode="External"/><Relationship Id="rId9" Type="http://schemas.openxmlformats.org/officeDocument/2006/relationships/image" Target="media/image2.png"/><Relationship Id="rId210" Type="http://schemas.openxmlformats.org/officeDocument/2006/relationships/hyperlink" Target="http://hudoc.echr.coe.int/eng?i=001-203762" TargetMode="External"/><Relationship Id="rId448" Type="http://schemas.openxmlformats.org/officeDocument/2006/relationships/hyperlink" Target="http://hudoc.echr.coe.int/eng?i=001-91516" TargetMode="External"/><Relationship Id="rId655" Type="http://schemas.openxmlformats.org/officeDocument/2006/relationships/hyperlink" Target="http://hudoc.echr.coe.int/eng?i=001-200446" TargetMode="External"/><Relationship Id="rId862" Type="http://schemas.openxmlformats.org/officeDocument/2006/relationships/hyperlink" Target="http://hudoc.echr.coe.int/eng?i=001-97000" TargetMode="External"/><Relationship Id="rId1078" Type="http://schemas.openxmlformats.org/officeDocument/2006/relationships/hyperlink" Target="http://hudoc.echr.coe.int/eng?i=001-68790" TargetMode="External"/><Relationship Id="rId1285" Type="http://schemas.openxmlformats.org/officeDocument/2006/relationships/hyperlink" Target="http://hudoc.echr.coe.int/eng?i=001-82831" TargetMode="External"/><Relationship Id="rId1492" Type="http://schemas.openxmlformats.org/officeDocument/2006/relationships/hyperlink" Target="http://hudoc.echr.coe.int/eng?i=001-109231" TargetMode="External"/><Relationship Id="rId2129" Type="http://schemas.openxmlformats.org/officeDocument/2006/relationships/hyperlink" Target="http://hudoc.echr.coe.int/eng?i=001-171773" TargetMode="External"/><Relationship Id="rId2336" Type="http://schemas.openxmlformats.org/officeDocument/2006/relationships/hyperlink" Target="https://hudoc.echr.coe.int/eng%23%7b%22itemid%22:%5b%22001-202522%22%5d%7d" TargetMode="External"/><Relationship Id="rId2543" Type="http://schemas.openxmlformats.org/officeDocument/2006/relationships/hyperlink" Target="http://hudoc.echr.coe.int/eng?i=001-23363" TargetMode="External"/><Relationship Id="rId2750" Type="http://schemas.openxmlformats.org/officeDocument/2006/relationships/hyperlink" Target="https://hudoc.echr.coe.int/eng%23%7b%22itemid%22:%5b%22001-203188%22%5d%7d" TargetMode="External"/><Relationship Id="rId308" Type="http://schemas.openxmlformats.org/officeDocument/2006/relationships/hyperlink" Target="http://hudoc.echr.coe.int/eng?i=001-188860" TargetMode="External"/><Relationship Id="rId515" Type="http://schemas.openxmlformats.org/officeDocument/2006/relationships/hyperlink" Target="http://hudoc.echr.coe.int/eng?i=001-58287" TargetMode="External"/><Relationship Id="rId722" Type="http://schemas.openxmlformats.org/officeDocument/2006/relationships/hyperlink" Target="http://hudoc.echr.coe.int/eng?i=001-146540" TargetMode="External"/><Relationship Id="rId1145" Type="http://schemas.openxmlformats.org/officeDocument/2006/relationships/hyperlink" Target="http://hudoc.echr.coe.int/eng?i=001-121143" TargetMode="External"/><Relationship Id="rId1352" Type="http://schemas.openxmlformats.org/officeDocument/2006/relationships/hyperlink" Target="http://hudoc.echr.coe.int/eng?i=001-61886" TargetMode="External"/><Relationship Id="rId1797" Type="http://schemas.openxmlformats.org/officeDocument/2006/relationships/hyperlink" Target="http://hudoc.echr.coe.int/eng?i=001-145780" TargetMode="External"/><Relationship Id="rId2403" Type="http://schemas.openxmlformats.org/officeDocument/2006/relationships/hyperlink" Target="http://hudoc.echr.coe.int/eng?i=001-110457" TargetMode="External"/><Relationship Id="rId2848" Type="http://schemas.openxmlformats.org/officeDocument/2006/relationships/hyperlink" Target="file:///C:/Users/Brodeala/AppData/Local/Microsoft/Windows/Temporary%20Internet%20Files/Content.Outlook/MEPHPEXS/Zehentner%20v.%20Austria" TargetMode="External"/><Relationship Id="rId89" Type="http://schemas.openxmlformats.org/officeDocument/2006/relationships/hyperlink" Target="http://hudoc.echr.coe.int/eng?i=001-76947" TargetMode="External"/><Relationship Id="rId1005" Type="http://schemas.openxmlformats.org/officeDocument/2006/relationships/hyperlink" Target="https://hudoc.echr.coe.int/eng?i=001-210300" TargetMode="External"/><Relationship Id="rId1212" Type="http://schemas.openxmlformats.org/officeDocument/2006/relationships/hyperlink" Target="http://hudoc.echr.coe.int/eng?i=001-170348" TargetMode="External"/><Relationship Id="rId1657" Type="http://schemas.openxmlformats.org/officeDocument/2006/relationships/hyperlink" Target="http://www.echr.coe.int/Documents/Guide_Art_5_ENG.pdf" TargetMode="External"/><Relationship Id="rId1864" Type="http://schemas.openxmlformats.org/officeDocument/2006/relationships/hyperlink" Target="http://hudoc.echr.coe.int/eng?i=001-206352" TargetMode="External"/><Relationship Id="rId2610" Type="http://schemas.openxmlformats.org/officeDocument/2006/relationships/hyperlink" Target="http://hudoc.echr.coe.int/eng?i=001-187507" TargetMode="External"/><Relationship Id="rId2708" Type="http://schemas.openxmlformats.org/officeDocument/2006/relationships/hyperlink" Target="https://hudoc.echr.coe.int/eng%23%7b%22documentcollectionid2%22:%5b%22GRANDCHAMBER%22,%22DECGRANDCHAMBER%22%5d,%22itemid%22:%5b%22001-206897%22%5d%7d" TargetMode="External"/><Relationship Id="rId1517" Type="http://schemas.openxmlformats.org/officeDocument/2006/relationships/hyperlink" Target="http://hudoc.echr.coe.int/eng?i=001-72688" TargetMode="External"/><Relationship Id="rId1724" Type="http://schemas.openxmlformats.org/officeDocument/2006/relationships/hyperlink" Target="http://hudoc.echr.coe.int/eng?i=001-47778" TargetMode="External"/><Relationship Id="rId16" Type="http://schemas.openxmlformats.org/officeDocument/2006/relationships/hyperlink" Target="http://hudoc.echr.coe.int/eng?i=001-57506" TargetMode="External"/><Relationship Id="rId1931" Type="http://schemas.openxmlformats.org/officeDocument/2006/relationships/hyperlink" Target="http://hudoc.echr.coe.int/eng?i=001-164515" TargetMode="External"/><Relationship Id="rId2193" Type="http://schemas.openxmlformats.org/officeDocument/2006/relationships/hyperlink" Target="http://hudoc.echr.coe.int/eng?i=001-93400" TargetMode="External"/><Relationship Id="rId2498" Type="http://schemas.openxmlformats.org/officeDocument/2006/relationships/hyperlink" Target="http://hudoc.echr.coe.int/eng?i=001-67580" TargetMode="External"/><Relationship Id="rId165" Type="http://schemas.openxmlformats.org/officeDocument/2006/relationships/hyperlink" Target="http://hudoc.echr.coe.int/eng?i=001-57546" TargetMode="External"/><Relationship Id="rId372" Type="http://schemas.openxmlformats.org/officeDocument/2006/relationships/hyperlink" Target="http://hudoc.echr.coe.int/eng?i=001-187187" TargetMode="External"/><Relationship Id="rId677" Type="http://schemas.openxmlformats.org/officeDocument/2006/relationships/hyperlink" Target="https://hudoc.echr.coe.int/eng?i=001-217952" TargetMode="External"/><Relationship Id="rId2053" Type="http://schemas.openxmlformats.org/officeDocument/2006/relationships/hyperlink" Target="http://hudoc.echr.coe.int/eng?i=001-97704" TargetMode="External"/><Relationship Id="rId2260" Type="http://schemas.openxmlformats.org/officeDocument/2006/relationships/hyperlink" Target="http://hudoc.echr.coe.int/eng?i=001-182448" TargetMode="External"/><Relationship Id="rId2358" Type="http://schemas.openxmlformats.org/officeDocument/2006/relationships/hyperlink" Target="http://hudoc.echr.coe.int/eng?i=001-89924" TargetMode="External"/><Relationship Id="rId232" Type="http://schemas.openxmlformats.org/officeDocument/2006/relationships/hyperlink" Target="http://hudoc.echr.coe.int/eng?i=001-118035" TargetMode="External"/><Relationship Id="rId884" Type="http://schemas.openxmlformats.org/officeDocument/2006/relationships/hyperlink" Target="http://hudoc.echr.coe.int/eng?i=001-100665" TargetMode="External"/><Relationship Id="rId2120" Type="http://schemas.openxmlformats.org/officeDocument/2006/relationships/hyperlink" Target="http://hudoc.echr.coe.int/eng?i=001-161734" TargetMode="External"/><Relationship Id="rId2565" Type="http://schemas.openxmlformats.org/officeDocument/2006/relationships/hyperlink" Target="http://hudoc.echr.coe.int/eng?i=001-59413" TargetMode="External"/><Relationship Id="rId2772" Type="http://schemas.openxmlformats.org/officeDocument/2006/relationships/hyperlink" Target="http://hudoc.echr.coe.int/eng?i=001-90353" TargetMode="External"/><Relationship Id="rId537" Type="http://schemas.openxmlformats.org/officeDocument/2006/relationships/hyperlink" Target="http://hudoc.echr.coe.int/eng?i=001-179633" TargetMode="External"/><Relationship Id="rId744" Type="http://schemas.openxmlformats.org/officeDocument/2006/relationships/hyperlink" Target="http://hudoc.echr.coe.int/eng?i=001-101568" TargetMode="External"/><Relationship Id="rId951" Type="http://schemas.openxmlformats.org/officeDocument/2006/relationships/hyperlink" Target="http://hudoc.echr.coe.int/eng?i=001-157695" TargetMode="External"/><Relationship Id="rId1167" Type="http://schemas.openxmlformats.org/officeDocument/2006/relationships/hyperlink" Target="http://hudoc.echr.coe.int/eng?i=001-89014" TargetMode="External"/><Relationship Id="rId1374" Type="http://schemas.openxmlformats.org/officeDocument/2006/relationships/hyperlink" Target="http://hudoc.echr.coe.int/eng?i=001-72683" TargetMode="External"/><Relationship Id="rId1581" Type="http://schemas.openxmlformats.org/officeDocument/2006/relationships/hyperlink" Target="http://hudoc.echr.coe.int/eng?i=001-146540" TargetMode="External"/><Relationship Id="rId1679" Type="http://schemas.openxmlformats.org/officeDocument/2006/relationships/hyperlink" Target="http://hudoc.echr.coe.int/eng?i=001-168066" TargetMode="External"/><Relationship Id="rId2218" Type="http://schemas.openxmlformats.org/officeDocument/2006/relationships/hyperlink" Target="http://hudoc.echr.coe.int/eng?i=001-61731" TargetMode="External"/><Relationship Id="rId2425" Type="http://schemas.openxmlformats.org/officeDocument/2006/relationships/hyperlink" Target="http://hudoc.echr.coe.int/eng?i=001-142196" TargetMode="External"/><Relationship Id="rId2632" Type="http://schemas.openxmlformats.org/officeDocument/2006/relationships/hyperlink" Target="http://hudoc.echr.coe.int/eng?i=001-154162" TargetMode="External"/><Relationship Id="rId80" Type="http://schemas.openxmlformats.org/officeDocument/2006/relationships/hyperlink" Target="http://hudoc.echr.coe.int/eng?i=001-193593" TargetMode="External"/><Relationship Id="rId604" Type="http://schemas.openxmlformats.org/officeDocument/2006/relationships/hyperlink" Target="http://hudoc.echr.coe.int/eng?i=001-145466" TargetMode="External"/><Relationship Id="rId811" Type="http://schemas.openxmlformats.org/officeDocument/2006/relationships/hyperlink" Target="http://hudoc.echr.coe.int/eng?i=001-140944" TargetMode="External"/><Relationship Id="rId1027" Type="http://schemas.openxmlformats.org/officeDocument/2006/relationships/hyperlink" Target="http://hudoc.echr.coe.int/eng?i=001-68263" TargetMode="External"/><Relationship Id="rId1234" Type="http://schemas.openxmlformats.org/officeDocument/2006/relationships/hyperlink" Target="http://hudoc.echr.coe.int/eng?i=001-201436" TargetMode="External"/><Relationship Id="rId1441" Type="http://schemas.openxmlformats.org/officeDocument/2006/relationships/hyperlink" Target="http://hudoc.echr.coe.int/eng?i=001-164515" TargetMode="External"/><Relationship Id="rId1886" Type="http://schemas.openxmlformats.org/officeDocument/2006/relationships/hyperlink" Target="http://hudoc.echr.coe.int/eng?i=001-73294" TargetMode="External"/><Relationship Id="rId909" Type="http://schemas.openxmlformats.org/officeDocument/2006/relationships/hyperlink" Target="http://hudoc.echr.coe.int/eng?i=001-126835" TargetMode="External"/><Relationship Id="rId1301" Type="http://schemas.openxmlformats.org/officeDocument/2006/relationships/hyperlink" Target="http://hudoc.echr.coe.int/eng?i=001-114082" TargetMode="External"/><Relationship Id="rId1539" Type="http://schemas.openxmlformats.org/officeDocument/2006/relationships/hyperlink" Target="http://hudoc.echr.coe.int/eng?i=001-76084" TargetMode="External"/><Relationship Id="rId1746" Type="http://schemas.openxmlformats.org/officeDocument/2006/relationships/hyperlink" Target="http://hudoc.echr.coe.int/eng?i=001-168082" TargetMode="External"/><Relationship Id="rId1953" Type="http://schemas.openxmlformats.org/officeDocument/2006/relationships/hyperlink" Target="http://hudoc.echr.coe.int/eng?i=001-58239" TargetMode="External"/><Relationship Id="rId38" Type="http://schemas.openxmlformats.org/officeDocument/2006/relationships/hyperlink" Target="http://hudoc.echr.coe.int/eng?i=001-68183" TargetMode="External"/><Relationship Id="rId1606" Type="http://schemas.openxmlformats.org/officeDocument/2006/relationships/hyperlink" Target="http://hudoc.echr.coe.int/eng?i=001-57429" TargetMode="External"/><Relationship Id="rId1813" Type="http://schemas.openxmlformats.org/officeDocument/2006/relationships/hyperlink" Target="http://hudoc.echr.coe.int/eng?i=001-113723" TargetMode="External"/><Relationship Id="rId187" Type="http://schemas.openxmlformats.org/officeDocument/2006/relationships/hyperlink" Target="http://hudoc.echr.coe.int/eng?i=001-107247" TargetMode="External"/><Relationship Id="rId394" Type="http://schemas.openxmlformats.org/officeDocument/2006/relationships/hyperlink" Target="http://hudoc.echr.coe.int/eng?i=001-145577" TargetMode="External"/><Relationship Id="rId2075" Type="http://schemas.openxmlformats.org/officeDocument/2006/relationships/hyperlink" Target="http://hudoc.echr.coe.int/eng?i=001-155353" TargetMode="External"/><Relationship Id="rId2282" Type="http://schemas.openxmlformats.org/officeDocument/2006/relationships/hyperlink" Target="https://hudoc.echr.coe.int/eng?i=001-76507" TargetMode="External"/><Relationship Id="rId254" Type="http://schemas.openxmlformats.org/officeDocument/2006/relationships/hyperlink" Target="http://hudoc.echr.coe.int/eng?i=001-60449" TargetMode="External"/><Relationship Id="rId699" Type="http://schemas.openxmlformats.org/officeDocument/2006/relationships/hyperlink" Target="http://hudoc.echr.coe.int/eng?i=001-93631" TargetMode="External"/><Relationship Id="rId1091" Type="http://schemas.openxmlformats.org/officeDocument/2006/relationships/hyperlink" Target="http://hudoc.echr.coe.int/eng?i=001-181591" TargetMode="External"/><Relationship Id="rId2587" Type="http://schemas.openxmlformats.org/officeDocument/2006/relationships/hyperlink" Target="http://hudoc.echr.coe.int/eng?i=001-196607" TargetMode="External"/><Relationship Id="rId2794" Type="http://schemas.openxmlformats.org/officeDocument/2006/relationships/hyperlink" Target="http://hudoc.echr.coe.int/eng?i=001-102533" TargetMode="External"/><Relationship Id="rId114" Type="http://schemas.openxmlformats.org/officeDocument/2006/relationships/hyperlink" Target="http://hudoc.echr.coe.int/eng?i=001-111399" TargetMode="External"/><Relationship Id="rId461" Type="http://schemas.openxmlformats.org/officeDocument/2006/relationships/hyperlink" Target="http://hudoc.echr.coe.int/eng?i=001-91702" TargetMode="External"/><Relationship Id="rId559" Type="http://schemas.openxmlformats.org/officeDocument/2006/relationships/hyperlink" Target="http://hudoc.echr.coe.int/eng?i=001-58239" TargetMode="External"/><Relationship Id="rId766" Type="http://schemas.openxmlformats.org/officeDocument/2006/relationships/hyperlink" Target="http://hudoc.echr.coe.int/eng?i=001-98885" TargetMode="External"/><Relationship Id="rId1189" Type="http://schemas.openxmlformats.org/officeDocument/2006/relationships/hyperlink" Target="http://hudoc.echr.coe.int/eng?i=001-200294" TargetMode="External"/><Relationship Id="rId1396" Type="http://schemas.openxmlformats.org/officeDocument/2006/relationships/hyperlink" Target="http://hudoc.echr.coe.int/eng?i=001-60454" TargetMode="External"/><Relationship Id="rId2142" Type="http://schemas.openxmlformats.org/officeDocument/2006/relationships/hyperlink" Target="http://hudoc.echr.coe.int/eng?i=001-23703" TargetMode="External"/><Relationship Id="rId2447" Type="http://schemas.openxmlformats.org/officeDocument/2006/relationships/hyperlink" Target="https://hudoc.echr.coe.int/eng?i=001-215709" TargetMode="External"/><Relationship Id="rId321" Type="http://schemas.openxmlformats.org/officeDocument/2006/relationships/hyperlink" Target="http://hudoc.echr.coe.int/eng?i=001-92372" TargetMode="External"/><Relationship Id="rId419" Type="http://schemas.openxmlformats.org/officeDocument/2006/relationships/hyperlink" Target="http://www.conventions.coe.int/Treaty/EN/Treaties/Html/161.htm" TargetMode="External"/><Relationship Id="rId626" Type="http://schemas.openxmlformats.org/officeDocument/2006/relationships/hyperlink" Target="http://hudoc.echr.coe.int/eng?i=001-101910" TargetMode="External"/><Relationship Id="rId973" Type="http://schemas.openxmlformats.org/officeDocument/2006/relationships/hyperlink" Target="http://hudoc.echr.coe.int/eng?i=001-145817" TargetMode="External"/><Relationship Id="rId1049" Type="http://schemas.openxmlformats.org/officeDocument/2006/relationships/hyperlink" Target="http://hudoc.echr.coe.int/eng?i=001-154391" TargetMode="External"/><Relationship Id="rId1256" Type="http://schemas.openxmlformats.org/officeDocument/2006/relationships/hyperlink" Target="http://hudoc.echr.coe.int/eng?i=001-172665" TargetMode="External"/><Relationship Id="rId2002" Type="http://schemas.openxmlformats.org/officeDocument/2006/relationships/hyperlink" Target="http://hudoc.echr.coe.int/eng?i=001-93341" TargetMode="External"/><Relationship Id="rId2307" Type="http://schemas.openxmlformats.org/officeDocument/2006/relationships/hyperlink" Target="http://hudoc.echr.coe.int/eng?i=001-179420" TargetMode="External"/><Relationship Id="rId2654" Type="http://schemas.openxmlformats.org/officeDocument/2006/relationships/hyperlink" Target="http://hudoc.echr.coe.int/eng?i=001-175121" TargetMode="External"/><Relationship Id="rId833" Type="http://schemas.openxmlformats.org/officeDocument/2006/relationships/hyperlink" Target="http://hudoc.echr.coe.int/eng?i=001-22806" TargetMode="External"/><Relationship Id="rId1116" Type="http://schemas.openxmlformats.org/officeDocument/2006/relationships/hyperlink" Target="http://hudoc.echr.coe.int/eng?i=001-2909" TargetMode="External"/><Relationship Id="rId1463" Type="http://schemas.openxmlformats.org/officeDocument/2006/relationships/hyperlink" Target="http://hudoc.echr.coe.int/eng?i=001-91278" TargetMode="External"/><Relationship Id="rId1670" Type="http://schemas.openxmlformats.org/officeDocument/2006/relationships/hyperlink" Target="https://echr.coe.int/Documents/Guide_Art_3_Protocol_1_ENG.pdf" TargetMode="External"/><Relationship Id="rId1768" Type="http://schemas.openxmlformats.org/officeDocument/2006/relationships/hyperlink" Target="http://hudoc.echr.coe.int/eng?i=001-99843" TargetMode="External"/><Relationship Id="rId2514" Type="http://schemas.openxmlformats.org/officeDocument/2006/relationships/hyperlink" Target="http://hudoc.echr.coe.int/eng?i=001-110178" TargetMode="External"/><Relationship Id="rId2721" Type="http://schemas.openxmlformats.org/officeDocument/2006/relationships/hyperlink" Target="http://hudoc.echr.coe.int/eng?i=001-145360" TargetMode="External"/><Relationship Id="rId2819" Type="http://schemas.openxmlformats.org/officeDocument/2006/relationships/hyperlink" Target="http://hudoc.echr.coe.int/eng?i=001-57801" TargetMode="External"/><Relationship Id="rId900" Type="http://schemas.openxmlformats.org/officeDocument/2006/relationships/hyperlink" Target="http://hudoc.echr.coe.int/eng?i=001-179556" TargetMode="External"/><Relationship Id="rId1323" Type="http://schemas.openxmlformats.org/officeDocument/2006/relationships/hyperlink" Target="http://hudoc.echr.coe.int/eng?i=001-61886" TargetMode="External"/><Relationship Id="rId1530" Type="http://schemas.openxmlformats.org/officeDocument/2006/relationships/hyperlink" Target="http://hudoc.echr.coe.int/eng?i=001-67103" TargetMode="External"/><Relationship Id="rId1628" Type="http://schemas.openxmlformats.org/officeDocument/2006/relationships/hyperlink" Target="http://hudoc.echr.coe.int/eng?i=001-89558" TargetMode="External"/><Relationship Id="rId1975" Type="http://schemas.openxmlformats.org/officeDocument/2006/relationships/hyperlink" Target="http://hudoc.echr.coe.int/eng?i=001-120941" TargetMode="External"/><Relationship Id="rId1835" Type="http://schemas.openxmlformats.org/officeDocument/2006/relationships/hyperlink" Target="http://hudoc.echr.coe.int/eng?i=001-168082" TargetMode="External"/><Relationship Id="rId1902" Type="http://schemas.openxmlformats.org/officeDocument/2006/relationships/hyperlink" Target="http://hudoc.echr.coe.int/eng?i=001-102332" TargetMode="External"/><Relationship Id="rId2097" Type="http://schemas.openxmlformats.org/officeDocument/2006/relationships/hyperlink" Target="http://hudoc.echr.coe.int/eng?i=001-99907" TargetMode="External"/><Relationship Id="rId276" Type="http://schemas.openxmlformats.org/officeDocument/2006/relationships/hyperlink" Target="https://hudoc.echr.coe.int/eng%23%7b%22docname%22:%5b%22g%c3%a4fgen%22%5d,%22itemid%22:%5b%22001-99015%22%5d%7d" TargetMode="External"/><Relationship Id="rId483" Type="http://schemas.openxmlformats.org/officeDocument/2006/relationships/hyperlink" Target="http://hudoc.echr.coe.int/eng?i=001-76493" TargetMode="External"/><Relationship Id="rId690" Type="http://schemas.openxmlformats.org/officeDocument/2006/relationships/hyperlink" Target="http://hudoc.echr.coe.int/eng?i=001-58003" TargetMode="External"/><Relationship Id="rId2164" Type="http://schemas.openxmlformats.org/officeDocument/2006/relationships/hyperlink" Target="http://hudoc.echr.coe.int/eng?i=001-68767" TargetMode="External"/><Relationship Id="rId2371" Type="http://schemas.openxmlformats.org/officeDocument/2006/relationships/hyperlink" Target="https://hudoc.echr.coe.int/eng%23%7b%22itemid%22:%5b%22001-204603%22%5d%7d" TargetMode="External"/><Relationship Id="rId136" Type="http://schemas.openxmlformats.org/officeDocument/2006/relationships/hyperlink" Target="http://hudoc.echr.coe.int/eng?i=001-80563" TargetMode="External"/><Relationship Id="rId343" Type="http://schemas.openxmlformats.org/officeDocument/2006/relationships/hyperlink" Target="http://hudoc.echr.coe.int/eng?i=001-84088" TargetMode="External"/><Relationship Id="rId550" Type="http://schemas.openxmlformats.org/officeDocument/2006/relationships/hyperlink" Target="http://hudoc.echr.coe.int/eng?i=001-145790" TargetMode="External"/><Relationship Id="rId788" Type="http://schemas.openxmlformats.org/officeDocument/2006/relationships/hyperlink" Target="http://hudoc.echr.coe.int/eng?i=001-192926" TargetMode="External"/><Relationship Id="rId995" Type="http://schemas.openxmlformats.org/officeDocument/2006/relationships/hyperlink" Target="https://hudoc.echr.coe.int/eng?i=001-216434" TargetMode="External"/><Relationship Id="rId1180" Type="http://schemas.openxmlformats.org/officeDocument/2006/relationships/hyperlink" Target="http://hudoc.echr.coe.int/eng?i=001-60522" TargetMode="External"/><Relationship Id="rId2024" Type="http://schemas.openxmlformats.org/officeDocument/2006/relationships/hyperlink" Target="http://hudoc.echr.coe.int/eng?i=001-68263" TargetMode="External"/><Relationship Id="rId2231" Type="http://schemas.openxmlformats.org/officeDocument/2006/relationships/hyperlink" Target="http://hudoc.echr.coe.int/eng?i=001-58810" TargetMode="External"/><Relationship Id="rId2469" Type="http://schemas.openxmlformats.org/officeDocument/2006/relationships/hyperlink" Target="http://hudoc.echr.coe.int/eng?i=001-95031" TargetMode="External"/><Relationship Id="rId2676" Type="http://schemas.openxmlformats.org/officeDocument/2006/relationships/hyperlink" Target="http://hudoc.echr.coe.int/eng?i=001-181178" TargetMode="External"/><Relationship Id="rId203" Type="http://schemas.openxmlformats.org/officeDocument/2006/relationships/hyperlink" Target="http://hudoc.echr.coe.int/eng?i=001-5357" TargetMode="External"/><Relationship Id="rId648" Type="http://schemas.openxmlformats.org/officeDocument/2006/relationships/hyperlink" Target="http://hudoc.echr.coe.int/eng?i=001-115937" TargetMode="External"/><Relationship Id="rId855" Type="http://schemas.openxmlformats.org/officeDocument/2006/relationships/hyperlink" Target="http://hudoc.echr.coe.int/eng?i=001-97460" TargetMode="External"/><Relationship Id="rId1040" Type="http://schemas.openxmlformats.org/officeDocument/2006/relationships/hyperlink" Target="http://hudoc.echr.coe.int/eng?i=001-174966" TargetMode="External"/><Relationship Id="rId1278" Type="http://schemas.openxmlformats.org/officeDocument/2006/relationships/hyperlink" Target="http://hudoc.echr.coe.int/eng?i=001-192208" TargetMode="External"/><Relationship Id="rId1485" Type="http://schemas.openxmlformats.org/officeDocument/2006/relationships/hyperlink" Target="http://hudoc.echr.coe.int/eng?i=001-82912" TargetMode="External"/><Relationship Id="rId1692" Type="http://schemas.openxmlformats.org/officeDocument/2006/relationships/hyperlink" Target="http://hudoc.echr.coe.int/eng?i=001-58841" TargetMode="External"/><Relationship Id="rId2329" Type="http://schemas.openxmlformats.org/officeDocument/2006/relationships/hyperlink" Target="http://hudoc.echr.coe.int/eng?i=001-103216" TargetMode="External"/><Relationship Id="rId2536" Type="http://schemas.openxmlformats.org/officeDocument/2006/relationships/hyperlink" Target="http://hudoc.echr.coe.int/eng?i=001-93436" TargetMode="External"/><Relationship Id="rId2743" Type="http://schemas.openxmlformats.org/officeDocument/2006/relationships/hyperlink" Target="http://hudoc.echr.coe.int/eng?i=001-198705" TargetMode="External"/><Relationship Id="rId410" Type="http://schemas.openxmlformats.org/officeDocument/2006/relationships/hyperlink" Target="http://hudoc.echr.coe.int/eng?i=001-166744" TargetMode="External"/><Relationship Id="rId508" Type="http://schemas.openxmlformats.org/officeDocument/2006/relationships/hyperlink" Target="http://hudoc.echr.coe.int/eng?i=001-157683" TargetMode="External"/><Relationship Id="rId715" Type="http://schemas.openxmlformats.org/officeDocument/2006/relationships/hyperlink" Target="http://hudoc.echr.coe.int/eng?i=001-75689" TargetMode="External"/><Relationship Id="rId922" Type="http://schemas.openxmlformats.org/officeDocument/2006/relationships/hyperlink" Target="http://hudoc.echr.coe.int/eng?i=001-146540" TargetMode="External"/><Relationship Id="rId1138" Type="http://schemas.openxmlformats.org/officeDocument/2006/relationships/hyperlink" Target="http://hudoc.echr.coe.int/eng?i=001-81436" TargetMode="External"/><Relationship Id="rId1345" Type="http://schemas.openxmlformats.org/officeDocument/2006/relationships/hyperlink" Target="http://hudoc.echr.coe.int/eng?i=001-105612" TargetMode="External"/><Relationship Id="rId1552" Type="http://schemas.openxmlformats.org/officeDocument/2006/relationships/hyperlink" Target="http://hudoc.echr.coe.int/eng?i=001-57931" TargetMode="External"/><Relationship Id="rId1997" Type="http://schemas.openxmlformats.org/officeDocument/2006/relationships/hyperlink" Target="http://hudoc.echr.coe.int/eng?i=001-23737" TargetMode="External"/><Relationship Id="rId2603" Type="http://schemas.openxmlformats.org/officeDocument/2006/relationships/hyperlink" Target="http://hudoc.echr.coe.int/eng?i=001-22963" TargetMode="External"/><Relationship Id="rId1205" Type="http://schemas.openxmlformats.org/officeDocument/2006/relationships/hyperlink" Target="http://hudoc.echr.coe.int/eng?i=001-154162" TargetMode="External"/><Relationship Id="rId1857" Type="http://schemas.openxmlformats.org/officeDocument/2006/relationships/hyperlink" Target="http://hudoc.echr.coe.int/eng?i=001-189421" TargetMode="External"/><Relationship Id="rId2810" Type="http://schemas.openxmlformats.org/officeDocument/2006/relationships/hyperlink" Target="http://hudoc.echr.coe.int/sites/eng?i=001-112143" TargetMode="External"/><Relationship Id="rId51" Type="http://schemas.openxmlformats.org/officeDocument/2006/relationships/hyperlink" Target="http://hudoc.echr.coe.int/eng?i=001-22367" TargetMode="External"/><Relationship Id="rId1412" Type="http://schemas.openxmlformats.org/officeDocument/2006/relationships/hyperlink" Target="http://hudoc.echr.coe.int/eng?i=001-146044" TargetMode="External"/><Relationship Id="rId1717" Type="http://schemas.openxmlformats.org/officeDocument/2006/relationships/hyperlink" Target="http://hudoc.echr.coe.int/eng?i=001-95822" TargetMode="External"/><Relationship Id="rId1924" Type="http://schemas.openxmlformats.org/officeDocument/2006/relationships/hyperlink" Target="http://hudoc.echr.coe.int/eng?i=001-58062" TargetMode="External"/><Relationship Id="rId298" Type="http://schemas.openxmlformats.org/officeDocument/2006/relationships/hyperlink" Target="http://hudoc.echr.coe.int/eng?i=001-202587" TargetMode="External"/><Relationship Id="rId158" Type="http://schemas.openxmlformats.org/officeDocument/2006/relationships/hyperlink" Target="http://hudoc.echr.coe.int/eng?i=001-160431" TargetMode="External"/><Relationship Id="rId2186" Type="http://schemas.openxmlformats.org/officeDocument/2006/relationships/hyperlink" Target="http://hudoc.echr.coe.int/eng?i=001-58916" TargetMode="External"/><Relationship Id="rId2393" Type="http://schemas.openxmlformats.org/officeDocument/2006/relationships/hyperlink" Target="http://hudoc.echr.coe.int/eng?i=001-91940" TargetMode="External"/><Relationship Id="rId2698" Type="http://schemas.openxmlformats.org/officeDocument/2006/relationships/hyperlink" Target="http://hudoc.echr.coe.int/eng?i=001-138958" TargetMode="External"/><Relationship Id="rId365" Type="http://schemas.openxmlformats.org/officeDocument/2006/relationships/hyperlink" Target="http://hudoc.echr.coe.int/eng?i=001-57870" TargetMode="External"/><Relationship Id="rId572" Type="http://schemas.openxmlformats.org/officeDocument/2006/relationships/hyperlink" Target="https://hudoc.echr.coe.int/eng?i=001-212125" TargetMode="External"/><Relationship Id="rId2046" Type="http://schemas.openxmlformats.org/officeDocument/2006/relationships/hyperlink" Target="http://hudoc.echr.coe.int/eng?i=001-167176" TargetMode="External"/><Relationship Id="rId2253" Type="http://schemas.openxmlformats.org/officeDocument/2006/relationships/hyperlink" Target="http://hudoc.echr.coe.int/eng?i=001-72219" TargetMode="External"/><Relationship Id="rId2460" Type="http://schemas.openxmlformats.org/officeDocument/2006/relationships/hyperlink" Target="http://hudoc.echr.coe.int/eng?i=001-193486" TargetMode="External"/><Relationship Id="rId225" Type="http://schemas.openxmlformats.org/officeDocument/2006/relationships/hyperlink" Target="http://hudoc.echr.coe.int/eng?i=001-57473" TargetMode="External"/><Relationship Id="rId432" Type="http://schemas.openxmlformats.org/officeDocument/2006/relationships/hyperlink" Target="http://hudoc.echr.coe.int/eng?i=001-60484" TargetMode="External"/><Relationship Id="rId877" Type="http://schemas.openxmlformats.org/officeDocument/2006/relationships/hyperlink" Target="http://hudoc.echr.coe.int/eng?i=001-100666" TargetMode="External"/><Relationship Id="rId1062" Type="http://schemas.openxmlformats.org/officeDocument/2006/relationships/hyperlink" Target="http://hudoc.echr.coe.int/eng?i=001-157400" TargetMode="External"/><Relationship Id="rId2113" Type="http://schemas.openxmlformats.org/officeDocument/2006/relationships/hyperlink" Target="http://hudoc.echr.coe.int/eng?i=001-97649" TargetMode="External"/><Relationship Id="rId2320" Type="http://schemas.openxmlformats.org/officeDocument/2006/relationships/hyperlink" Target="http://hudoc.echr.coe.int/eng?i=001-60606" TargetMode="External"/><Relationship Id="rId2558" Type="http://schemas.openxmlformats.org/officeDocument/2006/relationships/hyperlink" Target="http://hudoc.echr.coe.int/eng?i=001-78459" TargetMode="External"/><Relationship Id="rId2765" Type="http://schemas.openxmlformats.org/officeDocument/2006/relationships/hyperlink" Target="http://hudoc.echr.coe.int/eng?i=001-87441" TargetMode="External"/><Relationship Id="rId737" Type="http://schemas.openxmlformats.org/officeDocument/2006/relationships/hyperlink" Target="http://hudoc.echr.coe.int/eng?i=001-157263" TargetMode="External"/><Relationship Id="rId944" Type="http://schemas.openxmlformats.org/officeDocument/2006/relationships/hyperlink" Target="http://hudoc.echr.coe.int/eng?i=001-90535" TargetMode="External"/><Relationship Id="rId1367" Type="http://schemas.openxmlformats.org/officeDocument/2006/relationships/hyperlink" Target="http://hudoc.echr.coe.int/eng?i=001-114056" TargetMode="External"/><Relationship Id="rId1574" Type="http://schemas.openxmlformats.org/officeDocument/2006/relationships/hyperlink" Target="http://hudoc.echr.coe.int/eng?i=001-182448" TargetMode="External"/><Relationship Id="rId1781" Type="http://schemas.openxmlformats.org/officeDocument/2006/relationships/hyperlink" Target="http://hudoc.echr.coe.int/eng?i=001-100461" TargetMode="External"/><Relationship Id="rId2418" Type="http://schemas.openxmlformats.org/officeDocument/2006/relationships/hyperlink" Target="http://hudoc.echr.coe.int/eng?i=001-203840" TargetMode="External"/><Relationship Id="rId2625" Type="http://schemas.openxmlformats.org/officeDocument/2006/relationships/hyperlink" Target="http://hudoc.echr.coe.int/eng?i=001-176928" TargetMode="External"/><Relationship Id="rId2832" Type="http://schemas.openxmlformats.org/officeDocument/2006/relationships/hyperlink" Target="http://hudoc.echr.coe.int/eng?i=001-200315" TargetMode="External"/><Relationship Id="rId73" Type="http://schemas.openxmlformats.org/officeDocument/2006/relationships/hyperlink" Target="http://hudoc.echr.coe.int/sites/eng?i=001-119268" TargetMode="External"/><Relationship Id="rId804" Type="http://schemas.openxmlformats.org/officeDocument/2006/relationships/hyperlink" Target="http://hudoc.echr.coe.int/eng?i=001-170054" TargetMode="External"/><Relationship Id="rId1227" Type="http://schemas.openxmlformats.org/officeDocument/2006/relationships/hyperlink" Target="https://hudoc.echr.coe.int/eng%23%7b%22sort%22:%5b%22EMPTY%22%5d,%22languageisocode%22:%5b%22ENG%22%5d,%22kpthesaurus%22:%5b%22350%22,%2289%22,%2290%22,%22596%22,%22620%22,%22618%22,%22192%22,%22193%22,%22633%22,%22492%22%5d,%22documentcollectionid2%22:%5b%22GRANDCHAMBER%22%5d,%22itemid%22:%5b%22001-207953%22%5d%7d" TargetMode="External"/><Relationship Id="rId1434" Type="http://schemas.openxmlformats.org/officeDocument/2006/relationships/hyperlink" Target="http://hudoc.echr.coe.int/eng?i=001-154210" TargetMode="External"/><Relationship Id="rId1641" Type="http://schemas.openxmlformats.org/officeDocument/2006/relationships/hyperlink" Target="http://hudoc.echr.coe.int/eng?i=001-57434" TargetMode="External"/><Relationship Id="rId1879" Type="http://schemas.openxmlformats.org/officeDocument/2006/relationships/hyperlink" Target="http://hudoc.echr.coe.int/eng?i=001-110258" TargetMode="External"/><Relationship Id="rId1501" Type="http://schemas.openxmlformats.org/officeDocument/2006/relationships/hyperlink" Target="http://hudoc.echr.coe.int/eng?i=001-647" TargetMode="External"/><Relationship Id="rId1739" Type="http://schemas.openxmlformats.org/officeDocument/2006/relationships/hyperlink" Target="http://hudoc.echr.coe.int/eng?i=001-167176" TargetMode="External"/><Relationship Id="rId1946" Type="http://schemas.openxmlformats.org/officeDocument/2006/relationships/hyperlink" Target="http://hudoc.echr.coe.int/eng?i=001-1184" TargetMode="External"/><Relationship Id="rId1806" Type="http://schemas.openxmlformats.org/officeDocument/2006/relationships/hyperlink" Target="http://hudoc.echr.coe.int/eng?i=001-108926" TargetMode="External"/><Relationship Id="rId387" Type="http://schemas.openxmlformats.org/officeDocument/2006/relationships/hyperlink" Target="https://hudoc.echr.coe.int/eng?i=001-148629" TargetMode="External"/><Relationship Id="rId594" Type="http://schemas.openxmlformats.org/officeDocument/2006/relationships/hyperlink" Target="http://hudoc.echr.coe.int/eng?i=001-142199" TargetMode="External"/><Relationship Id="rId2068" Type="http://schemas.openxmlformats.org/officeDocument/2006/relationships/hyperlink" Target="http://hudoc.echr.coe.int/eng?i=001-25922" TargetMode="External"/><Relationship Id="rId2275" Type="http://schemas.openxmlformats.org/officeDocument/2006/relationships/hyperlink" Target="http://hudoc.echr.coe.int/eng?i=001-61886" TargetMode="External"/><Relationship Id="rId247" Type="http://schemas.openxmlformats.org/officeDocument/2006/relationships/hyperlink" Target="http://hudoc.echr.coe.int/eng?i=001-203762" TargetMode="External"/><Relationship Id="rId899" Type="http://schemas.openxmlformats.org/officeDocument/2006/relationships/hyperlink" Target="http://hudoc.echr.coe.int/eng?i=001-111957" TargetMode="External"/><Relationship Id="rId1084" Type="http://schemas.openxmlformats.org/officeDocument/2006/relationships/hyperlink" Target="http://hudoc.echr.coe.int/eng?i=001-67125" TargetMode="External"/><Relationship Id="rId2482" Type="http://schemas.openxmlformats.org/officeDocument/2006/relationships/hyperlink" Target="http://hudoc.echr.coe.int/eng?i=001-76947" TargetMode="External"/><Relationship Id="rId2787" Type="http://schemas.openxmlformats.org/officeDocument/2006/relationships/hyperlink" Target="http://hudoc.echr.coe.int/sites/eng?i=001-139275" TargetMode="External"/><Relationship Id="rId107" Type="http://schemas.openxmlformats.org/officeDocument/2006/relationships/hyperlink" Target="http://hudoc.echr.coe.int/eng?i=001-155352" TargetMode="External"/><Relationship Id="rId454" Type="http://schemas.openxmlformats.org/officeDocument/2006/relationships/hyperlink" Target="http://hudoc.echr.coe.int/eng?i=001-79022" TargetMode="External"/><Relationship Id="rId661" Type="http://schemas.openxmlformats.org/officeDocument/2006/relationships/hyperlink" Target="https://hudoc.echr.coe.int/eng%23%7b%22sort%22:%5b%22EMPTY%22%5d,%22itemid%22:%5b%22001-207554%22%5d%7d" TargetMode="External"/><Relationship Id="rId759" Type="http://schemas.openxmlformats.org/officeDocument/2006/relationships/hyperlink" Target="http://hudoc.echr.coe.int/eng?i=001-23731" TargetMode="External"/><Relationship Id="rId966" Type="http://schemas.openxmlformats.org/officeDocument/2006/relationships/hyperlink" Target="http://hudoc.echr.coe.int/eng?i=001-165032" TargetMode="External"/><Relationship Id="rId1291" Type="http://schemas.openxmlformats.org/officeDocument/2006/relationships/hyperlink" Target="http://hudoc.echr.coe.int/eng?i=001-61886" TargetMode="External"/><Relationship Id="rId1389" Type="http://schemas.openxmlformats.org/officeDocument/2006/relationships/hyperlink" Target="http://hudoc.echr.coe.int/eng?i=001-173256" TargetMode="External"/><Relationship Id="rId1596" Type="http://schemas.openxmlformats.org/officeDocument/2006/relationships/hyperlink" Target="http://hudoc.echr.coe.int/eng?i=001-127684" TargetMode="External"/><Relationship Id="rId2135" Type="http://schemas.openxmlformats.org/officeDocument/2006/relationships/hyperlink" Target="http://hudoc.echr.coe.int/eng?i=001-179628" TargetMode="External"/><Relationship Id="rId2342" Type="http://schemas.openxmlformats.org/officeDocument/2006/relationships/hyperlink" Target="http://hudoc.echr.coe.int/eng?i=001-67125" TargetMode="External"/><Relationship Id="rId2647" Type="http://schemas.openxmlformats.org/officeDocument/2006/relationships/hyperlink" Target="http://hudoc.echr.coe.int/eng?i=001-82811" TargetMode="External"/><Relationship Id="rId314" Type="http://schemas.openxmlformats.org/officeDocument/2006/relationships/hyperlink" Target="http://hudoc.echr.coe.int/eng?i=001-200866" TargetMode="External"/><Relationship Id="rId521" Type="http://schemas.openxmlformats.org/officeDocument/2006/relationships/hyperlink" Target="http://hudoc.echr.coe.int/eng?i=001-58062" TargetMode="External"/><Relationship Id="rId619" Type="http://schemas.openxmlformats.org/officeDocument/2006/relationships/hyperlink" Target="http://hudoc.echr.coe.int/eng?i=001-196423" TargetMode="External"/><Relationship Id="rId1151" Type="http://schemas.openxmlformats.org/officeDocument/2006/relationships/hyperlink" Target="http://hudoc.echr.coe.int/eng?i=001-193851" TargetMode="External"/><Relationship Id="rId1249" Type="http://schemas.openxmlformats.org/officeDocument/2006/relationships/hyperlink" Target="http://hudoc.echr.coe.int/eng?i=001-138958" TargetMode="External"/><Relationship Id="rId2202" Type="http://schemas.openxmlformats.org/officeDocument/2006/relationships/hyperlink" Target="http://hudoc.echr.coe.int/eng?i=001-31545" TargetMode="External"/><Relationship Id="rId2854" Type="http://schemas.openxmlformats.org/officeDocument/2006/relationships/hyperlink" Target="http://hudoc.echr.coe.int/eng?i=001-106192" TargetMode="External"/><Relationship Id="rId95" Type="http://schemas.openxmlformats.org/officeDocument/2006/relationships/hyperlink" Target="http://hudoc.echr.coe.int/eng?i=001-69891" TargetMode="External"/><Relationship Id="rId826" Type="http://schemas.openxmlformats.org/officeDocument/2006/relationships/hyperlink" Target="http://hudoc.echr.coe.int/eng?i=001-154162" TargetMode="External"/><Relationship Id="rId1011" Type="http://schemas.openxmlformats.org/officeDocument/2006/relationships/hyperlink" Target="http://hudoc.echr.coe.int/eng?i=001-181591" TargetMode="External"/><Relationship Id="rId1109" Type="http://schemas.openxmlformats.org/officeDocument/2006/relationships/hyperlink" Target="http://hudoc.echr.coe.int/eng?i=001-162688" TargetMode="External"/><Relationship Id="rId1456" Type="http://schemas.openxmlformats.org/officeDocument/2006/relationships/hyperlink" Target="http://hudoc.echr.coe.int/eng?i=001-69564" TargetMode="External"/><Relationship Id="rId1663" Type="http://schemas.openxmlformats.org/officeDocument/2006/relationships/hyperlink" Target="https://echr.coe.int/Documents/Guide_Art_10_FRA.pdf" TargetMode="External"/><Relationship Id="rId1870" Type="http://schemas.openxmlformats.org/officeDocument/2006/relationships/hyperlink" Target="http://hudoc.echr.coe.int/eng?i=001-145360" TargetMode="External"/><Relationship Id="rId1968" Type="http://schemas.openxmlformats.org/officeDocument/2006/relationships/hyperlink" Target="http://hudoc.echr.coe.int/eng?i=001-61748" TargetMode="External"/><Relationship Id="rId2507" Type="http://schemas.openxmlformats.org/officeDocument/2006/relationships/hyperlink" Target="http://hudoc.echr.coe.int/eng?i=001-100941" TargetMode="External"/><Relationship Id="rId2714" Type="http://schemas.openxmlformats.org/officeDocument/2006/relationships/hyperlink" Target="http://hudoc.echr.coe.int/eng?i=001-79053" TargetMode="External"/><Relationship Id="rId1316" Type="http://schemas.openxmlformats.org/officeDocument/2006/relationships/hyperlink" Target="http://hudoc.echr.coe.int/eng?i=001-61886" TargetMode="External"/><Relationship Id="rId1523" Type="http://schemas.openxmlformats.org/officeDocument/2006/relationships/hyperlink" Target="http://hudoc.echr.coe.int/eng?i=001-73821" TargetMode="External"/><Relationship Id="rId1730" Type="http://schemas.openxmlformats.org/officeDocument/2006/relationships/hyperlink" Target="http://hudoc.echr.coe.int/eng?i=001-43193" TargetMode="External"/><Relationship Id="rId22" Type="http://schemas.openxmlformats.org/officeDocument/2006/relationships/hyperlink" Target="http://hudoc.echr.coe.int/eng?i=001-69564" TargetMode="External"/><Relationship Id="rId1828" Type="http://schemas.openxmlformats.org/officeDocument/2006/relationships/hyperlink" Target="http://hudoc.echr.coe.int/eng?i=001-126597" TargetMode="External"/><Relationship Id="rId171" Type="http://schemas.openxmlformats.org/officeDocument/2006/relationships/hyperlink" Target="http://hudoc.echr.coe.int/eng?i=001-100511" TargetMode="External"/><Relationship Id="rId2297" Type="http://schemas.openxmlformats.org/officeDocument/2006/relationships/hyperlink" Target="http://hudoc.echr.coe.int/eng?i=001-127684" TargetMode="External"/><Relationship Id="rId269" Type="http://schemas.openxmlformats.org/officeDocument/2006/relationships/hyperlink" Target="http://hudoc.echr.coe.int/eng?i=001-21936" TargetMode="External"/><Relationship Id="rId476" Type="http://schemas.openxmlformats.org/officeDocument/2006/relationships/hyperlink" Target="http://hudoc.echr.coe.int/eng?i=001-91702" TargetMode="External"/><Relationship Id="rId683" Type="http://schemas.openxmlformats.org/officeDocument/2006/relationships/hyperlink" Target="https://hudoc.echr.coe.int/eng?i=001-216195" TargetMode="External"/><Relationship Id="rId890" Type="http://schemas.openxmlformats.org/officeDocument/2006/relationships/hyperlink" Target="http://hudoc.echr.coe.int/eng?i=001-100666" TargetMode="External"/><Relationship Id="rId2157" Type="http://schemas.openxmlformats.org/officeDocument/2006/relationships/hyperlink" Target="http://hudoc.echr.coe.int/eng?i=001-112586" TargetMode="External"/><Relationship Id="rId2364" Type="http://schemas.openxmlformats.org/officeDocument/2006/relationships/hyperlink" Target="http://hudoc.echr.coe.int/eng?i=001-142457" TargetMode="External"/><Relationship Id="rId2571" Type="http://schemas.openxmlformats.org/officeDocument/2006/relationships/hyperlink" Target="http://hudoc.echr.coe.int/eng?i=001-199287" TargetMode="External"/><Relationship Id="rId129" Type="http://schemas.openxmlformats.org/officeDocument/2006/relationships/hyperlink" Target="http://hudoc.echr.coe.int/eng?i=001-179564" TargetMode="External"/><Relationship Id="rId336" Type="http://schemas.openxmlformats.org/officeDocument/2006/relationships/hyperlink" Target="http://hudoc.echr.coe.int/eng?i=001-183555" TargetMode="External"/><Relationship Id="rId543" Type="http://schemas.openxmlformats.org/officeDocument/2006/relationships/hyperlink" Target="http://hudoc.echr.coe.int/eng?i=001-23887" TargetMode="External"/><Relationship Id="rId988" Type="http://schemas.openxmlformats.org/officeDocument/2006/relationships/hyperlink" Target="http://hudoc.echr.coe.int/eng?i=001-145973" TargetMode="External"/><Relationship Id="rId1173" Type="http://schemas.openxmlformats.org/officeDocument/2006/relationships/hyperlink" Target="http://hudoc.echr.coe.int/eng?i=001-92538" TargetMode="External"/><Relationship Id="rId1380" Type="http://schemas.openxmlformats.org/officeDocument/2006/relationships/hyperlink" Target="http://hudoc.echr.coe.int/eng?i=001-202468" TargetMode="External"/><Relationship Id="rId2017" Type="http://schemas.openxmlformats.org/officeDocument/2006/relationships/hyperlink" Target="http://hudoc.echr.coe.int/eng?i=001-76295" TargetMode="External"/><Relationship Id="rId2224" Type="http://schemas.openxmlformats.org/officeDocument/2006/relationships/hyperlink" Target="http://hudoc.echr.coe.int/eng?i=001-108223" TargetMode="External"/><Relationship Id="rId2669" Type="http://schemas.openxmlformats.org/officeDocument/2006/relationships/hyperlink" Target="http://hudoc.echr.coe.int/eng?i=001-111373" TargetMode="External"/><Relationship Id="rId403" Type="http://schemas.openxmlformats.org/officeDocument/2006/relationships/hyperlink" Target="http://hudoc.echr.coe.int/eng?i=001-155352" TargetMode="External"/><Relationship Id="rId750" Type="http://schemas.openxmlformats.org/officeDocument/2006/relationships/hyperlink" Target="http://hudoc.echr.coe.int/eng?i=001-61685" TargetMode="External"/><Relationship Id="rId848" Type="http://schemas.openxmlformats.org/officeDocument/2006/relationships/hyperlink" Target="http://hudoc.echr.coe.int/eng?i=001-97649" TargetMode="External"/><Relationship Id="rId1033" Type="http://schemas.openxmlformats.org/officeDocument/2006/relationships/hyperlink" Target="http://hudoc.echr.coe.int/eng?i=001-146775" TargetMode="External"/><Relationship Id="rId1478" Type="http://schemas.openxmlformats.org/officeDocument/2006/relationships/hyperlink" Target="http://hudoc.echr.coe.int/eng?i=001-22099" TargetMode="External"/><Relationship Id="rId1685" Type="http://schemas.openxmlformats.org/officeDocument/2006/relationships/hyperlink" Target="http://hudoc.echr.coe.int/eng?i=001-171804" TargetMode="External"/><Relationship Id="rId1892" Type="http://schemas.openxmlformats.org/officeDocument/2006/relationships/hyperlink" Target="http://hudoc.echr.coe.int/eng?i=001-105441" TargetMode="External"/><Relationship Id="rId2431" Type="http://schemas.openxmlformats.org/officeDocument/2006/relationships/hyperlink" Target="http://hudoc.echr.coe.int/eng?i=001-147032" TargetMode="External"/><Relationship Id="rId2529" Type="http://schemas.openxmlformats.org/officeDocument/2006/relationships/hyperlink" Target="http://hudoc.echr.coe.int/eng?i=001-198482" TargetMode="External"/><Relationship Id="rId2736" Type="http://schemas.openxmlformats.org/officeDocument/2006/relationships/hyperlink" Target="http://hudoc.echr.coe.int/eng?i=001-109373" TargetMode="External"/><Relationship Id="rId610" Type="http://schemas.openxmlformats.org/officeDocument/2006/relationships/hyperlink" Target="http://hudoc.echr.coe.int/eng?i=001-5568" TargetMode="External"/><Relationship Id="rId708" Type="http://schemas.openxmlformats.org/officeDocument/2006/relationships/hyperlink" Target="http://hudoc.echr.coe.int/eng?i=001-100413" TargetMode="External"/><Relationship Id="rId915" Type="http://schemas.openxmlformats.org/officeDocument/2006/relationships/hyperlink" Target="http://hudoc.echr.coe.int/eng?i=001-188268" TargetMode="External"/><Relationship Id="rId1240" Type="http://schemas.openxmlformats.org/officeDocument/2006/relationships/hyperlink" Target="http://hudoc.echr.coe.int/eng?i=001-172547" TargetMode="External"/><Relationship Id="rId1338" Type="http://schemas.openxmlformats.org/officeDocument/2006/relationships/hyperlink" Target="http://hudoc.echr.coe.int/eng?i=001-69022" TargetMode="External"/><Relationship Id="rId1545" Type="http://schemas.openxmlformats.org/officeDocument/2006/relationships/hyperlink" Target="http://hudoc.echr.coe.int/eng?i=001-81352" TargetMode="External"/><Relationship Id="rId1100" Type="http://schemas.openxmlformats.org/officeDocument/2006/relationships/hyperlink" Target="https://hudoc.echr.coe.int/eng?i=001-214673" TargetMode="External"/><Relationship Id="rId1405" Type="http://schemas.openxmlformats.org/officeDocument/2006/relationships/hyperlink" Target="http://hudoc.echr.coe.int/eng?i=001-109577" TargetMode="External"/><Relationship Id="rId1752" Type="http://schemas.openxmlformats.org/officeDocument/2006/relationships/hyperlink" Target="http://hudoc.echr.coe.int/eng?i=001-103812" TargetMode="External"/><Relationship Id="rId2803" Type="http://schemas.openxmlformats.org/officeDocument/2006/relationships/hyperlink" Target="http://hudoc.echr.coe.int/eng?i=001-57672" TargetMode="External"/><Relationship Id="rId44" Type="http://schemas.openxmlformats.org/officeDocument/2006/relationships/hyperlink" Target="http://hudoc.echr.coe.int/sites/eng?i=001-57946" TargetMode="External"/><Relationship Id="rId1612" Type="http://schemas.openxmlformats.org/officeDocument/2006/relationships/hyperlink" Target="http://hudoc.echr.coe.int/eng?i=001-200435" TargetMode="External"/><Relationship Id="rId1917" Type="http://schemas.openxmlformats.org/officeDocument/2006/relationships/hyperlink" Target="http://hudoc.echr.coe.int/eng?i=001-58066" TargetMode="External"/><Relationship Id="rId193" Type="http://schemas.openxmlformats.org/officeDocument/2006/relationships/hyperlink" Target="http://hudoc.echr.coe.int/eng?i=001-57951" TargetMode="External"/><Relationship Id="rId498" Type="http://schemas.openxmlformats.org/officeDocument/2006/relationships/hyperlink" Target="http://hudoc.echr.coe.int/eng?i=001-91302" TargetMode="External"/><Relationship Id="rId2081" Type="http://schemas.openxmlformats.org/officeDocument/2006/relationships/hyperlink" Target="http://hudoc.echr.coe.int/eng?i=001-72929" TargetMode="External"/><Relationship Id="rId2179" Type="http://schemas.openxmlformats.org/officeDocument/2006/relationships/hyperlink" Target="http://hudoc.echr.coe.int/eng?i=001-104698" TargetMode="External"/><Relationship Id="rId260" Type="http://schemas.openxmlformats.org/officeDocument/2006/relationships/hyperlink" Target="http://hudoc.echr.coe.int/eng?i=001-194058" TargetMode="External"/><Relationship Id="rId2386" Type="http://schemas.openxmlformats.org/officeDocument/2006/relationships/hyperlink" Target="http://hudoc.echr.coe.int/eng?i=001-142518" TargetMode="External"/><Relationship Id="rId2593" Type="http://schemas.openxmlformats.org/officeDocument/2006/relationships/hyperlink" Target="http://hudoc.echr.coe.int/eng?i=001-91158" TargetMode="External"/><Relationship Id="rId120" Type="http://schemas.openxmlformats.org/officeDocument/2006/relationships/hyperlink" Target="http://hudoc.echr.coe.int/eng?i=001-145577" TargetMode="External"/><Relationship Id="rId358" Type="http://schemas.openxmlformats.org/officeDocument/2006/relationships/hyperlink" Target="http://hudoc.echr.coe.int/eng?i=001-109231" TargetMode="External"/><Relationship Id="rId565" Type="http://schemas.openxmlformats.org/officeDocument/2006/relationships/hyperlink" Target="http://hudoc.echr.coe.int/eng?i=001-142518" TargetMode="External"/><Relationship Id="rId772" Type="http://schemas.openxmlformats.org/officeDocument/2006/relationships/hyperlink" Target="http://hudoc.echr.coe.int/eng?i=001-22195" TargetMode="External"/><Relationship Id="rId1195" Type="http://schemas.openxmlformats.org/officeDocument/2006/relationships/hyperlink" Target="https://hudoc.echr.coe.int/eng%23%7b%22itemid%22:%5b%22001-203849%22%5d%7d" TargetMode="External"/><Relationship Id="rId2039" Type="http://schemas.openxmlformats.org/officeDocument/2006/relationships/hyperlink" Target="http://hudoc.echr.coe.int/eng?i=001-60449" TargetMode="External"/><Relationship Id="rId2246" Type="http://schemas.openxmlformats.org/officeDocument/2006/relationships/hyperlink" Target="http://hudoc.echr.coe.int/eng?i=001-61196" TargetMode="External"/><Relationship Id="rId2453" Type="http://schemas.openxmlformats.org/officeDocument/2006/relationships/hyperlink" Target="http://hudoc.echr.coe.int/eng?i=001-57943" TargetMode="External"/><Relationship Id="rId2660" Type="http://schemas.openxmlformats.org/officeDocument/2006/relationships/hyperlink" Target="http://hudoc.echr.coe.int/eng?i=001-184520" TargetMode="External"/><Relationship Id="rId218" Type="http://schemas.openxmlformats.org/officeDocument/2006/relationships/hyperlink" Target="https://hudoc.echr.coe.int/eng?i=001-213367" TargetMode="External"/><Relationship Id="rId425" Type="http://schemas.openxmlformats.org/officeDocument/2006/relationships/hyperlink" Target="http://hudoc.echr.coe.int/eng?i=001-87105" TargetMode="External"/><Relationship Id="rId632" Type="http://schemas.openxmlformats.org/officeDocument/2006/relationships/hyperlink" Target="http://hudoc.echr.coe.int/eng?i=001-145219" TargetMode="External"/><Relationship Id="rId1055" Type="http://schemas.openxmlformats.org/officeDocument/2006/relationships/hyperlink" Target="http://hudoc.echr.coe.int/eng?i=001-154391" TargetMode="External"/><Relationship Id="rId1262" Type="http://schemas.openxmlformats.org/officeDocument/2006/relationships/hyperlink" Target="http://hudoc.echr.coe.int/eng?i=001-96491" TargetMode="External"/><Relationship Id="rId2106" Type="http://schemas.openxmlformats.org/officeDocument/2006/relationships/hyperlink" Target="http://hudoc.echr.coe.int/eng?i=001-81846" TargetMode="External"/><Relationship Id="rId2313" Type="http://schemas.openxmlformats.org/officeDocument/2006/relationships/hyperlink" Target="http://hudoc.echr.coe.int/eng?i=001-173261" TargetMode="External"/><Relationship Id="rId2520" Type="http://schemas.openxmlformats.org/officeDocument/2006/relationships/hyperlink" Target="http://hudoc.echr.coe.int/eng?i=001-76139" TargetMode="External"/><Relationship Id="rId2758" Type="http://schemas.openxmlformats.org/officeDocument/2006/relationships/hyperlink" Target="http://hudoc.echr.coe.int/eng?i=001-174966" TargetMode="External"/><Relationship Id="rId937" Type="http://schemas.openxmlformats.org/officeDocument/2006/relationships/hyperlink" Target="http://hudoc.echr.coe.int/eng?i=001-23737" TargetMode="External"/><Relationship Id="rId1122" Type="http://schemas.openxmlformats.org/officeDocument/2006/relationships/hyperlink" Target="http://hudoc.echr.coe.int/eng?i=001-106308" TargetMode="External"/><Relationship Id="rId1567" Type="http://schemas.openxmlformats.org/officeDocument/2006/relationships/hyperlink" Target="http://hudoc.echr.coe.int/eng?i=001-75882" TargetMode="External"/><Relationship Id="rId1774" Type="http://schemas.openxmlformats.org/officeDocument/2006/relationships/hyperlink" Target="http://hudoc.echr.coe.int/eng?i=001-158155" TargetMode="External"/><Relationship Id="rId1981" Type="http://schemas.openxmlformats.org/officeDocument/2006/relationships/hyperlink" Target="http://hudoc.echr.coe.int/eng?i=001-58299" TargetMode="External"/><Relationship Id="rId2618" Type="http://schemas.openxmlformats.org/officeDocument/2006/relationships/hyperlink" Target="http://hudoc.echr.coe.int/eng?i=001-108395" TargetMode="External"/><Relationship Id="rId2825" Type="http://schemas.openxmlformats.org/officeDocument/2006/relationships/hyperlink" Target="http://hudoc.echr.coe.int/eng?i=001-74957" TargetMode="External"/><Relationship Id="rId66" Type="http://schemas.openxmlformats.org/officeDocument/2006/relationships/hyperlink" Target="https://hudoc.echr.coe.int/eng%23%7b%22appno%22:%5b%2235841/02%22%5d,%22itemid%22:%5b%22001-78381%22%5d%7d" TargetMode="External"/><Relationship Id="rId1427" Type="http://schemas.openxmlformats.org/officeDocument/2006/relationships/hyperlink" Target="http://hudoc.echr.coe.int/eng?i=001-151029" TargetMode="External"/><Relationship Id="rId1634" Type="http://schemas.openxmlformats.org/officeDocument/2006/relationships/hyperlink" Target="http://hudoc.echr.coe.int/eng?i=001-200435" TargetMode="External"/><Relationship Id="rId1841" Type="http://schemas.openxmlformats.org/officeDocument/2006/relationships/hyperlink" Target="http://hudoc.echr.coe.int/eng?i=001-103468" TargetMode="External"/><Relationship Id="rId1939" Type="http://schemas.openxmlformats.org/officeDocument/2006/relationships/hyperlink" Target="http://hudoc.echr.coe.int/eng?i=001-90390" TargetMode="External"/><Relationship Id="rId1701" Type="http://schemas.openxmlformats.org/officeDocument/2006/relationships/hyperlink" Target="http://hudoc.echr.coe.int/eng?i=001-87180" TargetMode="External"/><Relationship Id="rId282" Type="http://schemas.openxmlformats.org/officeDocument/2006/relationships/hyperlink" Target="http://hudoc.echr.coe.int/eng?i=001-200446" TargetMode="External"/><Relationship Id="rId587" Type="http://schemas.openxmlformats.org/officeDocument/2006/relationships/hyperlink" Target="http://hudoc.echr.coe.int/eng?i=001-180884" TargetMode="External"/><Relationship Id="rId2170" Type="http://schemas.openxmlformats.org/officeDocument/2006/relationships/hyperlink" Target="http://hudoc.echr.coe.int/eng?i=001-73294" TargetMode="External"/><Relationship Id="rId2268" Type="http://schemas.openxmlformats.org/officeDocument/2006/relationships/hyperlink" Target="http://hudoc.echr.coe.int/eng?i=001-75882" TargetMode="External"/><Relationship Id="rId8" Type="http://schemas.openxmlformats.org/officeDocument/2006/relationships/image" Target="media/image1.png"/><Relationship Id="rId142" Type="http://schemas.openxmlformats.org/officeDocument/2006/relationships/hyperlink" Target="http://hudoc.echr.coe.int/eng?i=001-174966" TargetMode="External"/><Relationship Id="rId447" Type="http://schemas.openxmlformats.org/officeDocument/2006/relationships/hyperlink" Target="http://hudoc.echr.coe.int/eng?i=001-91238" TargetMode="External"/><Relationship Id="rId794" Type="http://schemas.openxmlformats.org/officeDocument/2006/relationships/hyperlink" Target="https://hudoc.echr.coe.int/eng%23%7b%22docname%22:%5b%22demirtas%22%5d,%22documentcollectionid2%22:%5b%22GRANDCHAMBER%22,%22CHAMBER%22%5d,%22itemid%22:%5b%22001-207173%22%5d%7d" TargetMode="External"/><Relationship Id="rId1077" Type="http://schemas.openxmlformats.org/officeDocument/2006/relationships/hyperlink" Target="http://hudoc.echr.coe.int/eng?i=001-68790" TargetMode="External"/><Relationship Id="rId2030" Type="http://schemas.openxmlformats.org/officeDocument/2006/relationships/hyperlink" Target="http://hudoc.echr.coe.int/eng?i=001-22924" TargetMode="External"/><Relationship Id="rId2128" Type="http://schemas.openxmlformats.org/officeDocument/2006/relationships/hyperlink" Target="http://hudoc.echr.coe.int/eng?i=001-193851" TargetMode="External"/><Relationship Id="rId2475" Type="http://schemas.openxmlformats.org/officeDocument/2006/relationships/hyperlink" Target="http://hudoc.echr.coe.int/eng?i=001-22282" TargetMode="External"/><Relationship Id="rId2682" Type="http://schemas.openxmlformats.org/officeDocument/2006/relationships/hyperlink" Target="http://hudoc.echr.coe.int/eng?i=001-68790" TargetMode="External"/><Relationship Id="rId654" Type="http://schemas.openxmlformats.org/officeDocument/2006/relationships/hyperlink" Target="http://hudoc.echr.coe.int/eng?i=001-200446" TargetMode="External"/><Relationship Id="rId861" Type="http://schemas.openxmlformats.org/officeDocument/2006/relationships/hyperlink" Target="http://hudoc.echr.coe.int/eng?i=001-102533" TargetMode="External"/><Relationship Id="rId959" Type="http://schemas.openxmlformats.org/officeDocument/2006/relationships/hyperlink" Target="http://hudoc.echr.coe.int/eng?i=001-165032" TargetMode="External"/><Relationship Id="rId1284" Type="http://schemas.openxmlformats.org/officeDocument/2006/relationships/hyperlink" Target="http://hudoc.echr.coe.int/eng?i=001-74957" TargetMode="External"/><Relationship Id="rId1491" Type="http://schemas.openxmlformats.org/officeDocument/2006/relationships/hyperlink" Target="http://hudoc.echr.coe.int/eng?i=001-22099" TargetMode="External"/><Relationship Id="rId1589" Type="http://schemas.openxmlformats.org/officeDocument/2006/relationships/hyperlink" Target="http://hudoc.echr.coe.int/eng?i=001-173261" TargetMode="External"/><Relationship Id="rId2335" Type="http://schemas.openxmlformats.org/officeDocument/2006/relationships/hyperlink" Target="http://hudoc.echr.coe.int/eng?i=001-57931" TargetMode="External"/><Relationship Id="rId2542" Type="http://schemas.openxmlformats.org/officeDocument/2006/relationships/hyperlink" Target="http://hudoc.echr.coe.int/eng?i=001-140944" TargetMode="External"/><Relationship Id="rId307" Type="http://schemas.openxmlformats.org/officeDocument/2006/relationships/hyperlink" Target="http://hudoc.echr.coe.int/eng?i=001-111634" TargetMode="External"/><Relationship Id="rId514" Type="http://schemas.openxmlformats.org/officeDocument/2006/relationships/hyperlink" Target="http://hudoc.echr.coe.int/eng?i=001-142199" TargetMode="External"/><Relationship Id="rId721" Type="http://schemas.openxmlformats.org/officeDocument/2006/relationships/hyperlink" Target="https://hudoc.echr.coe.int/eng%23%7b%22docname%22:%5b%22demirtas%22%5d,%22documentcollectionid2%22:%5b%22GRANDCHAMBER%22,%22CHAMBER%22%5d,%22itemid%22:%5b%22001-207173%22%5d%7d" TargetMode="External"/><Relationship Id="rId1144" Type="http://schemas.openxmlformats.org/officeDocument/2006/relationships/hyperlink" Target="http://hudoc.echr.coe.int/eng?i=001-121143" TargetMode="External"/><Relationship Id="rId1351" Type="http://schemas.openxmlformats.org/officeDocument/2006/relationships/hyperlink" Target="http://hudoc.echr.coe.int/eng?i=001-61886" TargetMode="External"/><Relationship Id="rId1449" Type="http://schemas.openxmlformats.org/officeDocument/2006/relationships/hyperlink" Target="http://hudoc.echr.coe.int/eng?i=001-151029" TargetMode="External"/><Relationship Id="rId1796" Type="http://schemas.openxmlformats.org/officeDocument/2006/relationships/hyperlink" Target="http://hudoc.echr.coe.int/eng?i=001-115920" TargetMode="External"/><Relationship Id="rId2402" Type="http://schemas.openxmlformats.org/officeDocument/2006/relationships/hyperlink" Target="http://hudoc.echr.coe.int/eng?i=001-101910" TargetMode="External"/><Relationship Id="rId2847" Type="http://schemas.openxmlformats.org/officeDocument/2006/relationships/hyperlink" Target="http://hudoc.echr.coe.int/sites/eng?i=001-119268" TargetMode="External"/><Relationship Id="rId88" Type="http://schemas.openxmlformats.org/officeDocument/2006/relationships/hyperlink" Target="http://hudoc.echr.coe.int/eng?i=001-58337" TargetMode="External"/><Relationship Id="rId819" Type="http://schemas.openxmlformats.org/officeDocument/2006/relationships/hyperlink" Target="http://hudoc.echr.coe.int/eng?i=001-94135" TargetMode="External"/><Relationship Id="rId1004" Type="http://schemas.openxmlformats.org/officeDocument/2006/relationships/hyperlink" Target="http://hudoc.echr.coe.int/eng?i=001-158290" TargetMode="External"/><Relationship Id="rId1211" Type="http://schemas.openxmlformats.org/officeDocument/2006/relationships/hyperlink" Target="http://hudoc.echr.coe.int/eng?i=001-170348" TargetMode="External"/><Relationship Id="rId1656" Type="http://schemas.openxmlformats.org/officeDocument/2006/relationships/hyperlink" Target="https://echr.coe.int/Documents/Guide_Art_4_ENG.pdf" TargetMode="External"/><Relationship Id="rId1863" Type="http://schemas.openxmlformats.org/officeDocument/2006/relationships/hyperlink" Target="https://hudoc.echr.coe.int/eng?i=001-215642" TargetMode="External"/><Relationship Id="rId2707" Type="http://schemas.openxmlformats.org/officeDocument/2006/relationships/hyperlink" Target="http://hudoc.echr.coe.int/eng?i=001-22231" TargetMode="External"/><Relationship Id="rId1309" Type="http://schemas.openxmlformats.org/officeDocument/2006/relationships/hyperlink" Target="http://hudoc.echr.coe.int/eng?i=001-57774" TargetMode="External"/><Relationship Id="rId1516" Type="http://schemas.openxmlformats.org/officeDocument/2006/relationships/hyperlink" Target="http://hudoc.echr.coe.int/eng?i=001-111634" TargetMode="External"/><Relationship Id="rId1723" Type="http://schemas.openxmlformats.org/officeDocument/2006/relationships/hyperlink" Target="http://hudoc.echr.coe.int/eng?i=001-45846" TargetMode="External"/><Relationship Id="rId1930" Type="http://schemas.openxmlformats.org/officeDocument/2006/relationships/hyperlink" Target="http://hudoc.echr.coe.int/eng?i=001-18368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chr.coe.int/Documents/Guide_Art_6_criminal_ENG.pdf" TargetMode="External"/><Relationship Id="rId3" Type="http://schemas.openxmlformats.org/officeDocument/2006/relationships/hyperlink" Target="https://www.echr.coe.int/Documents/Guide_Prisoners_rights_ENG.pdf" TargetMode="External"/><Relationship Id="rId7" Type="http://schemas.openxmlformats.org/officeDocument/2006/relationships/hyperlink" Target="http://www.echr.coe.int/Documents/Guide_Art_6_ENG.pdf" TargetMode="External"/><Relationship Id="rId2" Type="http://schemas.openxmlformats.org/officeDocument/2006/relationships/hyperlink" Target="https://www.echr.coe.int/Documents/Case_processing_ENG.pdf" TargetMode="External"/><Relationship Id="rId1" Type="http://schemas.openxmlformats.org/officeDocument/2006/relationships/hyperlink" Target="https://hudoc.echr.coe.int/eng%23%7b%22documentcollectionid2%22:%5b%22GRANDCHAMBER%22,%22DECGRANDCHAMBER%22%5d,%22itemid%22:%5b%22001-206897%22%5d%7d" TargetMode="External"/><Relationship Id="rId6" Type="http://schemas.openxmlformats.org/officeDocument/2006/relationships/hyperlink" Target="https://www.echr.coe.int/Documents/Guide_Art_1_ENG.pdf" TargetMode="External"/><Relationship Id="rId5" Type="http://schemas.openxmlformats.org/officeDocument/2006/relationships/hyperlink" Target="http://www.echr.coe.int/Documents/Guide_Art_1_ENG.pdf" TargetMode="External"/><Relationship Id="rId4" Type="http://schemas.openxmlformats.org/officeDocument/2006/relationships/hyperlink" Target="http://www.echr.coe.int/Documents/Rules_Court_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71AA2-FA69-4BB1-94EE-CA883371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110</Pages>
  <Words>71923</Words>
  <Characters>504905</Characters>
  <Application>Microsoft Office Word</Application>
  <DocSecurity>0</DocSecurity>
  <Lines>7012</Lines>
  <Paragraphs>848</Paragraphs>
  <ScaleCrop>false</ScaleCrop>
  <HeadingPairs>
    <vt:vector size="2" baseType="variant">
      <vt:variant>
        <vt:lpstr>Tytuł</vt:lpstr>
      </vt:variant>
      <vt:variant>
        <vt:i4>1</vt:i4>
      </vt:variant>
    </vt:vector>
  </HeadingPairs>
  <TitlesOfParts>
    <vt:vector size="1" baseType="lpstr">
      <vt:lpstr>Practical Guide on Admissibility Criteria</vt:lpstr>
    </vt:vector>
  </TitlesOfParts>
  <Company>Ministerstwo Spraw Zagranicznych</Company>
  <LinksUpToDate>false</LinksUpToDate>
  <CharactersWithSpaces>575980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Guide on Admissibility Criteria</dc:title>
  <dc:subject>Practical Guide on Admissibility Criteria</dc:subject>
  <dc:creator>ECHR-CEDH</dc:creator>
  <cp:keywords>Practical Guide on Admissibility Criteria</cp:keywords>
  <cp:lastModifiedBy>Szymonik Michał</cp:lastModifiedBy>
  <cp:revision>151</cp:revision>
  <cp:lastPrinted>2023-02-07T10:13:00Z</cp:lastPrinted>
  <dcterms:created xsi:type="dcterms:W3CDTF">2023-02-02T11:07:00Z</dcterms:created>
  <dcterms:modified xsi:type="dcterms:W3CDTF">2023-02-07T10:14:00Z</dcterms:modified>
</cp:coreProperties>
</file>